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78A2B">
      <w:pPr>
        <w:jc w:val="center"/>
        <w:rPr>
          <w:rFonts w:ascii="新宋体" w:hAnsi="新宋体" w:eastAsia="新宋体" w:cs="新宋体"/>
          <w:b/>
          <w:bCs/>
          <w:spacing w:val="30"/>
          <w:sz w:val="52"/>
          <w:szCs w:val="52"/>
        </w:rPr>
      </w:pPr>
    </w:p>
    <w:p w14:paraId="78D17694">
      <w:pPr>
        <w:jc w:val="center"/>
        <w:rPr>
          <w:rFonts w:ascii="新宋体" w:hAnsi="新宋体" w:eastAsia="新宋体"/>
          <w:b/>
          <w:bCs/>
          <w:spacing w:val="140"/>
          <w:sz w:val="60"/>
          <w:szCs w:val="22"/>
        </w:rPr>
      </w:pPr>
      <w:r>
        <w:rPr>
          <w:rFonts w:hint="eastAsia" w:ascii="新宋体" w:hAnsi="新宋体" w:eastAsia="新宋体" w:cs="新宋体"/>
          <w:b/>
          <w:bCs/>
          <w:spacing w:val="30"/>
          <w:sz w:val="52"/>
          <w:szCs w:val="52"/>
        </w:rPr>
        <w:t>温 州 市 第 七 人 民 医 院</w:t>
      </w:r>
    </w:p>
    <w:p w14:paraId="4044A183">
      <w:pPr>
        <w:adjustRightInd w:val="0"/>
        <w:snapToGrid w:val="0"/>
        <w:spacing w:line="480" w:lineRule="auto"/>
        <w:ind w:right="361"/>
        <w:rPr>
          <w:rFonts w:ascii="新宋体" w:hAnsi="新宋体" w:eastAsia="新宋体"/>
          <w:b/>
          <w:bCs/>
          <w:sz w:val="84"/>
          <w:szCs w:val="84"/>
        </w:rPr>
      </w:pPr>
    </w:p>
    <w:p w14:paraId="04A9C9EC">
      <w:pPr>
        <w:adjustRightInd w:val="0"/>
        <w:snapToGrid w:val="0"/>
        <w:spacing w:line="480" w:lineRule="auto"/>
        <w:ind w:right="361"/>
        <w:jc w:val="center"/>
        <w:rPr>
          <w:rFonts w:ascii="新宋体" w:hAnsi="新宋体" w:eastAsia="新宋体"/>
          <w:sz w:val="84"/>
          <w:szCs w:val="84"/>
        </w:rPr>
      </w:pPr>
      <w:r>
        <w:rPr>
          <w:rFonts w:hint="eastAsia" w:ascii="新宋体" w:hAnsi="新宋体" w:eastAsia="新宋体"/>
          <w:b/>
          <w:bCs/>
          <w:sz w:val="84"/>
          <w:szCs w:val="84"/>
        </w:rPr>
        <w:t>比 选 文 件</w:t>
      </w:r>
    </w:p>
    <w:p w14:paraId="26EDA0BD">
      <w:pPr>
        <w:ind w:firstLine="1140" w:firstLineChars="300"/>
        <w:rPr>
          <w:rFonts w:ascii="新宋体" w:hAnsi="新宋体" w:eastAsia="新宋体"/>
          <w:spacing w:val="40"/>
          <w:sz w:val="30"/>
          <w:szCs w:val="30"/>
        </w:rPr>
      </w:pPr>
    </w:p>
    <w:p w14:paraId="74311664">
      <w:pPr>
        <w:ind w:firstLine="1140" w:firstLineChars="300"/>
        <w:rPr>
          <w:rFonts w:ascii="新宋体" w:hAnsi="新宋体" w:eastAsia="新宋体"/>
          <w:spacing w:val="40"/>
          <w:sz w:val="30"/>
          <w:szCs w:val="30"/>
        </w:rPr>
      </w:pPr>
    </w:p>
    <w:p w14:paraId="2BF228B7">
      <w:pPr>
        <w:ind w:firstLine="1140" w:firstLineChars="300"/>
        <w:rPr>
          <w:rFonts w:ascii="新宋体" w:hAnsi="新宋体" w:eastAsia="新宋体"/>
          <w:spacing w:val="40"/>
          <w:sz w:val="30"/>
          <w:szCs w:val="30"/>
        </w:rPr>
      </w:pPr>
    </w:p>
    <w:p w14:paraId="533C306B">
      <w:pPr>
        <w:adjustRightInd w:val="0"/>
        <w:snapToGrid w:val="0"/>
        <w:spacing w:line="720" w:lineRule="auto"/>
        <w:ind w:left="3913" w:leftChars="912" w:hanging="1998" w:hangingChars="498"/>
        <w:jc w:val="left"/>
        <w:rPr>
          <w:rFonts w:ascii="宋体" w:hAnsi="宋体" w:cs="宋体"/>
          <w:b/>
          <w:bCs/>
          <w:spacing w:val="40"/>
          <w:sz w:val="32"/>
          <w:szCs w:val="32"/>
        </w:rPr>
      </w:pPr>
      <w:r>
        <w:rPr>
          <w:rFonts w:hint="eastAsia" w:ascii="宋体" w:hAnsi="宋体" w:cs="宋体"/>
          <w:b/>
          <w:bCs/>
          <w:spacing w:val="40"/>
          <w:sz w:val="32"/>
          <w:szCs w:val="32"/>
        </w:rPr>
        <w:t>项目名称：</w:t>
      </w:r>
      <w:r>
        <w:rPr>
          <w:rFonts w:hint="eastAsia" w:ascii="宋体" w:hAnsi="宋体" w:cs="宋体"/>
          <w:b/>
          <w:bCs/>
          <w:spacing w:val="40"/>
          <w:sz w:val="32"/>
          <w:szCs w:val="32"/>
          <w:lang w:eastAsia="zh-CN"/>
        </w:rPr>
        <w:t>档案管理系统</w:t>
      </w:r>
      <w:r>
        <w:rPr>
          <w:rFonts w:hint="eastAsia" w:ascii="宋体" w:hAnsi="宋体" w:cs="宋体"/>
          <w:b/>
          <w:bCs/>
          <w:spacing w:val="40"/>
          <w:sz w:val="32"/>
          <w:szCs w:val="32"/>
        </w:rPr>
        <w:t>采购项目</w:t>
      </w:r>
    </w:p>
    <w:p w14:paraId="67D5C0DE">
      <w:pPr>
        <w:adjustRightInd w:val="0"/>
        <w:snapToGrid w:val="0"/>
        <w:spacing w:line="720" w:lineRule="auto"/>
        <w:ind w:firstLine="2026" w:firstLineChars="505"/>
        <w:rPr>
          <w:rFonts w:ascii="宋体" w:hAnsi="宋体" w:cs="宋体"/>
          <w:b/>
          <w:bCs/>
          <w:sz w:val="32"/>
          <w:szCs w:val="32"/>
        </w:rPr>
      </w:pPr>
      <w:r>
        <w:rPr>
          <w:rFonts w:hint="eastAsia" w:ascii="宋体" w:hAnsi="宋体" w:cs="宋体"/>
          <w:b/>
          <w:bCs/>
          <w:spacing w:val="40"/>
          <w:sz w:val="32"/>
          <w:szCs w:val="32"/>
        </w:rPr>
        <w:t>采购方式：</w:t>
      </w:r>
      <w:r>
        <w:rPr>
          <w:rFonts w:hint="eastAsia" w:ascii="宋体" w:hAnsi="宋体" w:cs="宋体"/>
          <w:b/>
          <w:bCs/>
          <w:color w:val="000000"/>
          <w:kern w:val="0"/>
          <w:sz w:val="32"/>
          <w:szCs w:val="32"/>
        </w:rPr>
        <w:t>公开比选</w:t>
      </w:r>
    </w:p>
    <w:p w14:paraId="3AF8F7C7">
      <w:pPr>
        <w:adjustRightInd w:val="0"/>
        <w:snapToGrid w:val="0"/>
        <w:spacing w:line="720" w:lineRule="auto"/>
        <w:ind w:firstLine="2026" w:firstLineChars="505"/>
        <w:rPr>
          <w:rFonts w:ascii="宋体" w:hAnsi="宋体" w:cs="宋体"/>
          <w:b/>
          <w:bCs/>
          <w:spacing w:val="30"/>
          <w:sz w:val="32"/>
          <w:szCs w:val="32"/>
        </w:rPr>
      </w:pPr>
      <w:r>
        <w:rPr>
          <w:rFonts w:hint="eastAsia" w:ascii="宋体" w:hAnsi="宋体" w:cs="宋体"/>
          <w:b/>
          <w:bCs/>
          <w:spacing w:val="40"/>
          <w:sz w:val="32"/>
          <w:szCs w:val="32"/>
        </w:rPr>
        <w:t>招 标 人：</w:t>
      </w:r>
      <w:r>
        <w:rPr>
          <w:rFonts w:hint="eastAsia" w:ascii="宋体" w:hAnsi="宋体" w:cs="宋体"/>
          <w:b/>
          <w:bCs/>
          <w:spacing w:val="30"/>
          <w:sz w:val="32"/>
          <w:szCs w:val="32"/>
        </w:rPr>
        <w:t>温州市第七人民医院</w:t>
      </w:r>
    </w:p>
    <w:p w14:paraId="653ADF17">
      <w:pPr>
        <w:adjustRightInd w:val="0"/>
        <w:snapToGrid w:val="0"/>
        <w:spacing w:line="720" w:lineRule="auto"/>
        <w:ind w:firstLine="2026" w:firstLineChars="505"/>
        <w:rPr>
          <w:rFonts w:ascii="新宋体" w:hAnsi="新宋体" w:eastAsia="新宋体"/>
          <w:b/>
          <w:bCs/>
          <w:spacing w:val="40"/>
          <w:sz w:val="32"/>
          <w:szCs w:val="28"/>
        </w:rPr>
      </w:pPr>
      <w:r>
        <w:rPr>
          <w:rFonts w:hint="eastAsia" w:ascii="宋体" w:hAnsi="宋体" w:cs="宋体"/>
          <w:b/>
          <w:bCs/>
          <w:spacing w:val="40"/>
          <w:sz w:val="32"/>
          <w:szCs w:val="32"/>
        </w:rPr>
        <w:t>采购日期：</w:t>
      </w:r>
      <w:r>
        <w:rPr>
          <w:rFonts w:hint="eastAsia" w:ascii="新宋体" w:hAnsi="新宋体" w:eastAsia="新宋体"/>
          <w:b/>
          <w:bCs/>
          <w:spacing w:val="40"/>
          <w:sz w:val="32"/>
          <w:szCs w:val="28"/>
        </w:rPr>
        <w:t>二〇二五年</w:t>
      </w:r>
      <w:r>
        <w:rPr>
          <w:rFonts w:hint="eastAsia" w:ascii="新宋体" w:hAnsi="新宋体" w:eastAsia="新宋体"/>
          <w:b/>
          <w:bCs/>
          <w:spacing w:val="40"/>
          <w:sz w:val="32"/>
          <w:szCs w:val="28"/>
          <w:lang w:eastAsia="zh-CN"/>
        </w:rPr>
        <w:t>九</w:t>
      </w:r>
      <w:r>
        <w:rPr>
          <w:rFonts w:hint="eastAsia" w:ascii="新宋体" w:hAnsi="新宋体" w:eastAsia="新宋体"/>
          <w:b/>
          <w:bCs/>
          <w:spacing w:val="40"/>
          <w:sz w:val="32"/>
          <w:szCs w:val="28"/>
        </w:rPr>
        <w:t>月</w:t>
      </w:r>
    </w:p>
    <w:p w14:paraId="40D33707">
      <w:pPr>
        <w:pStyle w:val="6"/>
      </w:pPr>
    </w:p>
    <w:p w14:paraId="4DB5B5CD">
      <w:pPr>
        <w:pStyle w:val="4"/>
        <w:numPr>
          <w:ilvl w:val="0"/>
          <w:numId w:val="0"/>
        </w:numPr>
        <w:rPr>
          <w:rFonts w:ascii="宋体" w:hAnsi="宋体" w:eastAsia="宋体" w:cs="宋体"/>
          <w:b w:val="0"/>
          <w:bCs/>
          <w:color w:val="000000"/>
          <w:sz w:val="36"/>
          <w:szCs w:val="21"/>
        </w:rPr>
      </w:pPr>
      <w:r>
        <w:rPr>
          <w:rFonts w:hint="eastAsia" w:ascii="宋体" w:hAnsi="宋体" w:eastAsia="宋体" w:cs="宋体"/>
          <w:b w:val="0"/>
          <w:bCs/>
          <w:color w:val="000000"/>
          <w:sz w:val="36"/>
          <w:szCs w:val="21"/>
        </w:rPr>
        <w:t>招标公告</w:t>
      </w:r>
    </w:p>
    <w:p w14:paraId="5E06E255">
      <w:pPr>
        <w:pStyle w:val="17"/>
        <w:shd w:val="clear" w:color="auto" w:fill="FFFFFF"/>
        <w:adjustRightInd w:val="0"/>
        <w:snapToGrid w:val="0"/>
        <w:spacing w:before="0" w:beforeAutospacing="0" w:after="0" w:afterAutospacing="0" w:line="360" w:lineRule="auto"/>
        <w:jc w:val="both"/>
        <w:rPr>
          <w:color w:val="000000"/>
        </w:rPr>
      </w:pPr>
    </w:p>
    <w:p w14:paraId="05905AF2">
      <w:pPr>
        <w:pStyle w:val="17"/>
        <w:shd w:val="clear" w:color="auto" w:fill="FFFFFF"/>
        <w:adjustRightInd w:val="0"/>
        <w:snapToGrid w:val="0"/>
        <w:spacing w:before="0" w:beforeAutospacing="0" w:after="0" w:afterAutospacing="0" w:line="400" w:lineRule="exact"/>
        <w:ind w:firstLine="480" w:firstLineChars="200"/>
        <w:jc w:val="both"/>
        <w:rPr>
          <w:color w:val="000000"/>
        </w:rPr>
      </w:pPr>
      <w:r>
        <w:rPr>
          <w:rFonts w:hint="eastAsia"/>
          <w:color w:val="000000"/>
        </w:rPr>
        <w:t>现对温州市第七人民医院</w:t>
      </w:r>
      <w:r>
        <w:rPr>
          <w:rFonts w:hint="eastAsia"/>
          <w:color w:val="000000"/>
          <w:u w:val="single"/>
        </w:rPr>
        <w:t xml:space="preserve"> </w:t>
      </w:r>
      <w:r>
        <w:rPr>
          <w:rFonts w:hint="eastAsia"/>
          <w:color w:val="000000"/>
          <w:u w:val="single"/>
          <w:lang w:eastAsia="zh-CN"/>
        </w:rPr>
        <w:t>档案管理系统</w:t>
      </w:r>
      <w:r>
        <w:rPr>
          <w:rFonts w:hint="eastAsia"/>
          <w:color w:val="000000"/>
          <w:u w:val="single"/>
        </w:rPr>
        <w:t xml:space="preserve">采购项目 </w:t>
      </w:r>
      <w:r>
        <w:rPr>
          <w:rFonts w:hint="eastAsia"/>
          <w:color w:val="000000"/>
        </w:rPr>
        <w:t>进行公开比选，我们诚恳地邀请有资质的单位参加投标，并请按比选文件的要求认真准备按时前来投标。</w:t>
      </w:r>
    </w:p>
    <w:p w14:paraId="3ADCC44C">
      <w:pPr>
        <w:pStyle w:val="17"/>
        <w:shd w:val="clear" w:color="auto" w:fill="FFFFFF"/>
        <w:adjustRightInd w:val="0"/>
        <w:snapToGrid w:val="0"/>
        <w:spacing w:before="0" w:beforeAutospacing="0" w:after="0" w:afterAutospacing="0" w:line="400" w:lineRule="exact"/>
        <w:ind w:firstLine="482" w:firstLineChars="200"/>
        <w:rPr>
          <w:b/>
          <w:bCs/>
          <w:color w:val="000000"/>
        </w:rPr>
      </w:pPr>
      <w:r>
        <w:rPr>
          <w:rFonts w:hint="eastAsia"/>
          <w:b/>
          <w:bCs/>
          <w:color w:val="000000"/>
        </w:rPr>
        <w:t>一、项目基本情况</w:t>
      </w:r>
    </w:p>
    <w:p w14:paraId="7BC30F1C">
      <w:pPr>
        <w:pStyle w:val="17"/>
        <w:shd w:val="clear" w:color="auto" w:fill="FFFFFF"/>
        <w:adjustRightInd w:val="0"/>
        <w:snapToGrid w:val="0"/>
        <w:spacing w:before="0" w:beforeAutospacing="0" w:after="0" w:afterAutospacing="0" w:line="400" w:lineRule="exact"/>
        <w:ind w:firstLine="480" w:firstLineChars="200"/>
        <w:jc w:val="both"/>
        <w:rPr>
          <w:color w:val="000000"/>
          <w:u w:val="single"/>
        </w:rPr>
      </w:pPr>
      <w:r>
        <w:rPr>
          <w:rFonts w:hint="eastAsia"/>
          <w:color w:val="000000"/>
        </w:rPr>
        <w:t>项目名称：</w:t>
      </w:r>
      <w:r>
        <w:rPr>
          <w:rFonts w:hint="eastAsia"/>
          <w:color w:val="000000"/>
          <w:u w:val="single"/>
        </w:rPr>
        <w:t xml:space="preserve"> </w:t>
      </w:r>
      <w:r>
        <w:rPr>
          <w:rFonts w:hint="eastAsia"/>
          <w:color w:val="000000"/>
          <w:u w:val="single"/>
          <w:lang w:eastAsia="zh-CN"/>
        </w:rPr>
        <w:t>档案管理系统</w:t>
      </w:r>
      <w:r>
        <w:rPr>
          <w:rFonts w:hint="eastAsia"/>
          <w:color w:val="000000"/>
          <w:u w:val="single"/>
        </w:rPr>
        <w:t xml:space="preserve">采购项目 </w:t>
      </w:r>
    </w:p>
    <w:p w14:paraId="56294008">
      <w:pPr>
        <w:pStyle w:val="17"/>
        <w:shd w:val="clear" w:color="auto" w:fill="FFFFFF"/>
        <w:adjustRightInd w:val="0"/>
        <w:snapToGrid w:val="0"/>
        <w:spacing w:before="0" w:beforeAutospacing="0" w:after="0" w:afterAutospacing="0" w:line="400" w:lineRule="exact"/>
        <w:ind w:firstLine="480" w:firstLineChars="200"/>
        <w:jc w:val="both"/>
        <w:rPr>
          <w:rFonts w:eastAsiaTheme="majorEastAsia"/>
          <w:color w:val="000000"/>
        </w:rPr>
      </w:pPr>
      <w:r>
        <w:rPr>
          <w:rFonts w:hint="eastAsia" w:asciiTheme="majorEastAsia" w:hAnsiTheme="majorEastAsia" w:eastAsiaTheme="majorEastAsia" w:cstheme="majorEastAsia"/>
        </w:rPr>
        <w:t>预算金额：</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u w:val="single"/>
          <w:lang w:val="en-US" w:eastAsia="zh-CN"/>
        </w:rPr>
        <w:t>99000</w:t>
      </w:r>
      <w:r>
        <w:rPr>
          <w:rFonts w:hint="eastAsia" w:asciiTheme="majorEastAsia" w:hAnsiTheme="majorEastAsia" w:eastAsiaTheme="majorEastAsia" w:cstheme="majorEastAsia"/>
          <w:u w:val="single"/>
        </w:rPr>
        <w:t xml:space="preserve">元  </w:t>
      </w:r>
    </w:p>
    <w:p w14:paraId="6755F16B">
      <w:pPr>
        <w:pStyle w:val="17"/>
        <w:shd w:val="clear" w:color="auto" w:fill="FFFFFF"/>
        <w:adjustRightInd w:val="0"/>
        <w:snapToGrid w:val="0"/>
        <w:spacing w:before="0" w:beforeAutospacing="0" w:after="0" w:afterAutospacing="0" w:line="400" w:lineRule="exact"/>
        <w:ind w:firstLine="480" w:firstLineChars="200"/>
        <w:jc w:val="both"/>
        <w:rPr>
          <w:color w:val="000000"/>
        </w:rPr>
      </w:pPr>
      <w:r>
        <w:rPr>
          <w:rFonts w:hint="eastAsia"/>
          <w:color w:val="000000"/>
        </w:rPr>
        <w:t>比选内容：详细内容见比选内容及要求</w:t>
      </w:r>
    </w:p>
    <w:p w14:paraId="1E34EE50">
      <w:pPr>
        <w:pStyle w:val="17"/>
        <w:shd w:val="clear" w:color="auto" w:fill="FFFFFF"/>
        <w:adjustRightInd w:val="0"/>
        <w:snapToGrid w:val="0"/>
        <w:spacing w:before="0" w:beforeAutospacing="0" w:after="0" w:afterAutospacing="0" w:line="400" w:lineRule="exact"/>
        <w:ind w:firstLine="482" w:firstLineChars="200"/>
        <w:rPr>
          <w:rStyle w:val="23"/>
          <w:color w:val="000000"/>
          <w:shd w:val="clear" w:color="auto" w:fill="FFFFFF"/>
        </w:rPr>
      </w:pPr>
      <w:r>
        <w:rPr>
          <w:rStyle w:val="23"/>
          <w:rFonts w:hint="eastAsia"/>
          <w:color w:val="000000"/>
          <w:shd w:val="clear" w:color="auto" w:fill="FFFFFF"/>
        </w:rPr>
        <w:t>投标人报价不得超过最高限价金额，否则当无效标处理。</w:t>
      </w:r>
    </w:p>
    <w:p w14:paraId="4E89FF6D">
      <w:pPr>
        <w:pStyle w:val="17"/>
        <w:shd w:val="clear" w:color="auto" w:fill="FFFFFF"/>
        <w:adjustRightInd w:val="0"/>
        <w:snapToGrid w:val="0"/>
        <w:spacing w:before="0" w:beforeAutospacing="0" w:after="0" w:afterAutospacing="0" w:line="400" w:lineRule="exact"/>
        <w:ind w:firstLine="482" w:firstLineChars="200"/>
        <w:rPr>
          <w:color w:val="000000"/>
        </w:rPr>
      </w:pPr>
      <w:r>
        <w:rPr>
          <w:rFonts w:hint="eastAsia"/>
          <w:b/>
          <w:bCs/>
          <w:color w:val="000000"/>
        </w:rPr>
        <w:t>二、</w:t>
      </w:r>
      <w:r>
        <w:rPr>
          <w:rFonts w:hint="eastAsia"/>
          <w:color w:val="000000"/>
        </w:rPr>
        <w:t>申请人资格要求：</w:t>
      </w:r>
    </w:p>
    <w:p w14:paraId="28E2ABE3">
      <w:pPr>
        <w:pStyle w:val="17"/>
        <w:shd w:val="clear" w:color="auto" w:fill="FFFFFF"/>
        <w:adjustRightInd w:val="0"/>
        <w:snapToGrid w:val="0"/>
        <w:spacing w:before="0" w:beforeAutospacing="0" w:after="0" w:afterAutospacing="0" w:line="400" w:lineRule="exact"/>
        <w:ind w:firstLine="480" w:firstLineChars="200"/>
        <w:rPr>
          <w:color w:val="000000"/>
        </w:rPr>
      </w:pPr>
      <w:r>
        <w:rPr>
          <w:rFonts w:hint="eastAsia"/>
          <w:color w:val="000000"/>
          <w:shd w:val="clear" w:color="auto" w:fill="FFFFFF"/>
        </w:rPr>
        <w:t>1、符合《中华人民共和国政府采购法》第二十二条的规定：</w:t>
      </w:r>
    </w:p>
    <w:p w14:paraId="5929D504">
      <w:pPr>
        <w:pStyle w:val="17"/>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（1）具有独立承担民事责任的能力；</w:t>
      </w:r>
    </w:p>
    <w:p w14:paraId="5F14C544">
      <w:pPr>
        <w:pStyle w:val="17"/>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（2）法定代表人授权书及身份证复印件、投标人代表有效身份证件</w:t>
      </w:r>
      <w:r>
        <w:rPr>
          <w:rFonts w:hint="eastAsia"/>
          <w:b/>
          <w:bCs/>
          <w:color w:val="000000"/>
          <w:shd w:val="clear" w:color="auto" w:fill="FFFFFF"/>
        </w:rPr>
        <w:t>原件及复印件</w:t>
      </w:r>
      <w:r>
        <w:rPr>
          <w:rFonts w:hint="eastAsia"/>
          <w:color w:val="000000"/>
          <w:shd w:val="clear" w:color="auto" w:fill="FFFFFF"/>
        </w:rPr>
        <w:t>、企业营业执照复印件（以上均需加盖公章）；</w:t>
      </w:r>
      <w:r>
        <w:rPr>
          <w:rFonts w:hint="eastAsia"/>
          <w:color w:val="000000"/>
        </w:rPr>
        <w:t>（</w:t>
      </w:r>
      <w:r>
        <w:rPr>
          <w:rFonts w:hint="eastAsia"/>
          <w:b/>
          <w:bCs/>
          <w:color w:val="000000"/>
        </w:rPr>
        <w:t>投标文件递交时提供</w:t>
      </w:r>
      <w:r>
        <w:rPr>
          <w:rFonts w:hint="eastAsia"/>
          <w:color w:val="000000"/>
        </w:rPr>
        <w:t>）</w:t>
      </w:r>
    </w:p>
    <w:p w14:paraId="1434DC59">
      <w:pPr>
        <w:pStyle w:val="17"/>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2.投标供应商必须是在中华人民共和国境内注册的具有法人资格的机构或其它组织，具有从事本项目的经营范围、资质和能力；</w:t>
      </w:r>
    </w:p>
    <w:p w14:paraId="15DD764B">
      <w:pPr>
        <w:pStyle w:val="17"/>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3.本项目不接受联合体投标，不允许转包和分包；</w:t>
      </w:r>
    </w:p>
    <w:p w14:paraId="09D57A7E">
      <w:pPr>
        <w:pStyle w:val="17"/>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三</w:t>
      </w:r>
      <w:r>
        <w:rPr>
          <w:color w:val="000000"/>
          <w:shd w:val="clear" w:color="auto" w:fill="FFFFFF"/>
        </w:rPr>
        <w:t>．报名时间、地点及注意事项：</w:t>
      </w:r>
    </w:p>
    <w:p w14:paraId="53FF11AE">
      <w:pPr>
        <w:pStyle w:val="17"/>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color w:val="000000"/>
          <w:highlight w:val="none"/>
          <w:shd w:val="clear" w:color="auto" w:fill="FFFFFF"/>
        </w:rPr>
        <w:t>1．报名时间：202</w:t>
      </w:r>
      <w:r>
        <w:rPr>
          <w:rFonts w:hint="eastAsia"/>
          <w:color w:val="000000"/>
          <w:highlight w:val="none"/>
          <w:shd w:val="clear" w:color="auto" w:fill="FFFFFF"/>
        </w:rPr>
        <w:t>5</w:t>
      </w:r>
      <w:r>
        <w:rPr>
          <w:color w:val="000000"/>
          <w:highlight w:val="none"/>
          <w:shd w:val="clear" w:color="auto" w:fill="FFFFFF"/>
        </w:rPr>
        <w:t>年</w:t>
      </w:r>
      <w:r>
        <w:rPr>
          <w:rFonts w:hint="eastAsia"/>
          <w:color w:val="000000"/>
          <w:highlight w:val="none"/>
          <w:shd w:val="clear" w:color="auto" w:fill="FFFFFF"/>
          <w:lang w:val="en-US" w:eastAsia="zh-CN"/>
        </w:rPr>
        <w:t>9</w:t>
      </w:r>
      <w:r>
        <w:rPr>
          <w:color w:val="000000"/>
          <w:highlight w:val="none"/>
          <w:shd w:val="clear" w:color="auto" w:fill="FFFFFF"/>
        </w:rPr>
        <w:t>月</w:t>
      </w:r>
      <w:r>
        <w:rPr>
          <w:rFonts w:hint="eastAsia"/>
          <w:color w:val="000000"/>
          <w:highlight w:val="none"/>
          <w:shd w:val="clear" w:color="auto" w:fill="FFFFFF"/>
          <w:lang w:val="en-US" w:eastAsia="zh-CN"/>
        </w:rPr>
        <w:t>10</w:t>
      </w:r>
      <w:r>
        <w:rPr>
          <w:color w:val="000000"/>
          <w:highlight w:val="none"/>
          <w:shd w:val="clear" w:color="auto" w:fill="FFFFFF"/>
        </w:rPr>
        <w:t>日至202</w:t>
      </w:r>
      <w:r>
        <w:rPr>
          <w:rFonts w:hint="eastAsia"/>
          <w:color w:val="000000"/>
          <w:highlight w:val="none"/>
          <w:shd w:val="clear" w:color="auto" w:fill="FFFFFF"/>
        </w:rPr>
        <w:t>5</w:t>
      </w:r>
      <w:r>
        <w:rPr>
          <w:color w:val="000000"/>
          <w:highlight w:val="none"/>
          <w:shd w:val="clear" w:color="auto" w:fill="FFFFFF"/>
        </w:rPr>
        <w:t>年</w:t>
      </w:r>
      <w:r>
        <w:rPr>
          <w:rFonts w:hint="eastAsia"/>
          <w:color w:val="000000"/>
          <w:highlight w:val="none"/>
          <w:shd w:val="clear" w:color="auto" w:fill="FFFFFF"/>
          <w:lang w:val="en-US" w:eastAsia="zh-CN"/>
        </w:rPr>
        <w:t>9</w:t>
      </w:r>
      <w:r>
        <w:rPr>
          <w:color w:val="000000"/>
          <w:highlight w:val="none"/>
          <w:shd w:val="clear" w:color="auto" w:fill="FFFFFF"/>
        </w:rPr>
        <w:t>月</w:t>
      </w:r>
      <w:r>
        <w:rPr>
          <w:rFonts w:hint="eastAsia"/>
          <w:color w:val="000000"/>
          <w:highlight w:val="none"/>
          <w:shd w:val="clear" w:color="auto" w:fill="FFFFFF"/>
          <w:lang w:val="en-US" w:eastAsia="zh-CN"/>
        </w:rPr>
        <w:t>18</w:t>
      </w:r>
      <w:r>
        <w:rPr>
          <w:color w:val="000000"/>
          <w:highlight w:val="none"/>
          <w:shd w:val="clear" w:color="auto" w:fill="FFFFFF"/>
        </w:rPr>
        <w:t>日</w:t>
      </w:r>
      <w:r>
        <w:rPr>
          <w:rFonts w:hint="eastAsia"/>
          <w:color w:val="000000"/>
          <w:highlight w:val="none"/>
          <w:shd w:val="clear" w:color="auto" w:fill="FFFFFF"/>
        </w:rPr>
        <w:t>9</w:t>
      </w:r>
      <w:r>
        <w:rPr>
          <w:color w:val="000000"/>
          <w:highlight w:val="none"/>
          <w:shd w:val="clear" w:color="auto" w:fill="FFFFFF"/>
        </w:rPr>
        <w:t>:</w:t>
      </w:r>
      <w:r>
        <w:rPr>
          <w:rFonts w:hint="eastAsia"/>
          <w:color w:val="000000"/>
          <w:highlight w:val="none"/>
          <w:shd w:val="clear" w:color="auto" w:fill="FFFFFF"/>
        </w:rPr>
        <w:t>0</w:t>
      </w:r>
      <w:r>
        <w:rPr>
          <w:color w:val="000000"/>
          <w:highlight w:val="none"/>
          <w:shd w:val="clear" w:color="auto" w:fill="FFFFFF"/>
        </w:rPr>
        <w:t>0时（上午：8:10-11:40；下午：1:00-4:30、双休日不接收）。</w:t>
      </w:r>
    </w:p>
    <w:p w14:paraId="1397FA6E">
      <w:pPr>
        <w:pStyle w:val="17"/>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rFonts w:hint="eastAsia"/>
          <w:color w:val="000000"/>
          <w:highlight w:val="none"/>
          <w:shd w:val="clear" w:color="auto" w:fill="FFFFFF"/>
        </w:rPr>
        <w:t>2.</w:t>
      </w:r>
      <w:r>
        <w:rPr>
          <w:color w:val="000000"/>
          <w:highlight w:val="none"/>
          <w:shd w:val="clear" w:color="auto" w:fill="FFFFFF"/>
        </w:rPr>
        <w:t>本次比选不适用《招标投标法》和《中华人民共和国政府采购法》，并且</w:t>
      </w:r>
      <w:r>
        <w:rPr>
          <w:rFonts w:hint="eastAsia"/>
          <w:color w:val="000000"/>
          <w:highlight w:val="none"/>
          <w:shd w:val="clear" w:color="auto" w:fill="FFFFFF"/>
        </w:rPr>
        <w:t>本单位</w:t>
      </w:r>
      <w:r>
        <w:rPr>
          <w:color w:val="000000"/>
          <w:highlight w:val="none"/>
          <w:shd w:val="clear" w:color="auto" w:fill="FFFFFF"/>
        </w:rPr>
        <w:t>保留对本</w:t>
      </w:r>
      <w:r>
        <w:rPr>
          <w:rFonts w:hint="eastAsia"/>
          <w:color w:val="000000"/>
          <w:highlight w:val="none"/>
          <w:shd w:val="clear" w:color="auto" w:fill="FFFFFF"/>
        </w:rPr>
        <w:t>公告</w:t>
      </w:r>
      <w:r>
        <w:rPr>
          <w:color w:val="000000"/>
          <w:highlight w:val="none"/>
          <w:shd w:val="clear" w:color="auto" w:fill="FFFFFF"/>
        </w:rPr>
        <w:t>及比选文件的解释权。</w:t>
      </w:r>
      <w:r>
        <w:rPr>
          <w:rFonts w:hint="eastAsia"/>
          <w:color w:val="000000"/>
          <w:highlight w:val="none"/>
          <w:shd w:val="clear" w:color="auto" w:fill="FFFFFF"/>
        </w:rPr>
        <w:t>本单位</w:t>
      </w:r>
      <w:r>
        <w:rPr>
          <w:color w:val="000000"/>
          <w:highlight w:val="none"/>
          <w:shd w:val="clear" w:color="auto" w:fill="FFFFFF"/>
        </w:rPr>
        <w:t>保留撤回/取消本</w:t>
      </w:r>
      <w:r>
        <w:rPr>
          <w:rFonts w:hint="eastAsia"/>
          <w:color w:val="000000"/>
          <w:highlight w:val="none"/>
          <w:shd w:val="clear" w:color="auto" w:fill="FFFFFF"/>
        </w:rPr>
        <w:t>公告</w:t>
      </w:r>
      <w:r>
        <w:rPr>
          <w:color w:val="000000"/>
          <w:highlight w:val="none"/>
          <w:shd w:val="clear" w:color="auto" w:fill="FFFFFF"/>
        </w:rPr>
        <w:t>及比选文件的权利而无需承担任何责任。请拟参选单位审慎阅读本</w:t>
      </w:r>
      <w:r>
        <w:rPr>
          <w:rFonts w:hint="eastAsia"/>
          <w:color w:val="000000"/>
          <w:highlight w:val="none"/>
          <w:shd w:val="clear" w:color="auto" w:fill="FFFFFF"/>
        </w:rPr>
        <w:t>公告</w:t>
      </w:r>
      <w:r>
        <w:rPr>
          <w:color w:val="000000"/>
          <w:highlight w:val="none"/>
          <w:shd w:val="clear" w:color="auto" w:fill="FFFFFF"/>
        </w:rPr>
        <w:t>，若有不明之处可联系问询。</w:t>
      </w:r>
    </w:p>
    <w:p w14:paraId="7D03B432">
      <w:pPr>
        <w:pStyle w:val="17"/>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rFonts w:hint="eastAsia"/>
          <w:color w:val="000000"/>
          <w:highlight w:val="none"/>
          <w:shd w:val="clear" w:color="auto" w:fill="FFFFFF"/>
        </w:rPr>
        <w:t>3.</w:t>
      </w:r>
      <w:r>
        <w:rPr>
          <w:color w:val="000000"/>
          <w:highlight w:val="none"/>
          <w:shd w:val="clear" w:color="auto" w:fill="FFFFFF"/>
        </w:rPr>
        <w:t>比选采购文件在线获取，不提供纸质版。</w:t>
      </w:r>
    </w:p>
    <w:p w14:paraId="7F84799A">
      <w:pPr>
        <w:pStyle w:val="17"/>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rFonts w:hint="eastAsia"/>
          <w:color w:val="000000"/>
          <w:highlight w:val="none"/>
          <w:shd w:val="clear" w:color="auto" w:fill="FFFFFF"/>
        </w:rPr>
        <w:t>4.</w:t>
      </w:r>
      <w:r>
        <w:rPr>
          <w:color w:val="000000"/>
          <w:highlight w:val="none"/>
          <w:shd w:val="clear" w:color="auto" w:fill="FFFFFF"/>
        </w:rPr>
        <w:t>联系人：</w:t>
      </w:r>
      <w:r>
        <w:rPr>
          <w:rFonts w:hint="eastAsia"/>
          <w:color w:val="000000"/>
          <w:highlight w:val="none"/>
          <w:shd w:val="clear" w:color="auto" w:fill="FFFFFF"/>
        </w:rPr>
        <w:t>朱老师</w:t>
      </w:r>
      <w:r>
        <w:rPr>
          <w:color w:val="000000"/>
          <w:highlight w:val="none"/>
          <w:shd w:val="clear" w:color="auto" w:fill="FFFFFF"/>
        </w:rPr>
        <w:t>      </w:t>
      </w:r>
    </w:p>
    <w:p w14:paraId="34AB2AF6">
      <w:pPr>
        <w:pStyle w:val="17"/>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color w:val="000000"/>
          <w:highlight w:val="none"/>
          <w:shd w:val="clear" w:color="auto" w:fill="FFFFFF"/>
        </w:rPr>
        <w:t>联系电话：0577-89870153</w:t>
      </w:r>
    </w:p>
    <w:p w14:paraId="79CADD88">
      <w:pPr>
        <w:pStyle w:val="17"/>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四、投标文件递交截止时间：2025年</w:t>
      </w:r>
      <w:r>
        <w:rPr>
          <w:rFonts w:hint="eastAsia"/>
          <w:color w:val="000000"/>
          <w:highlight w:val="none"/>
          <w:lang w:val="en-US" w:eastAsia="zh-CN"/>
        </w:rPr>
        <w:t>9</w:t>
      </w:r>
      <w:r>
        <w:rPr>
          <w:rFonts w:hint="eastAsia"/>
          <w:color w:val="000000"/>
          <w:highlight w:val="none"/>
        </w:rPr>
        <w:t>月</w:t>
      </w:r>
      <w:r>
        <w:rPr>
          <w:rFonts w:hint="eastAsia"/>
          <w:color w:val="000000"/>
          <w:highlight w:val="none"/>
          <w:lang w:val="en-US" w:eastAsia="zh-CN"/>
        </w:rPr>
        <w:t>18</w:t>
      </w:r>
      <w:r>
        <w:rPr>
          <w:rFonts w:hint="eastAsia"/>
          <w:color w:val="000000"/>
          <w:highlight w:val="none"/>
        </w:rPr>
        <w:t>日9:00分整；</w:t>
      </w:r>
    </w:p>
    <w:p w14:paraId="442E6120">
      <w:pPr>
        <w:pStyle w:val="17"/>
        <w:shd w:val="clear" w:color="auto" w:fill="FFFFFF"/>
        <w:adjustRightInd w:val="0"/>
        <w:snapToGrid w:val="0"/>
        <w:spacing w:before="0" w:beforeAutospacing="0" w:after="0" w:afterAutospacing="0" w:line="400" w:lineRule="exact"/>
        <w:ind w:firstLine="480" w:firstLineChars="200"/>
        <w:textAlignment w:val="bottom"/>
        <w:rPr>
          <w:color w:val="000000"/>
          <w:highlight w:val="none"/>
        </w:rPr>
      </w:pPr>
      <w:r>
        <w:rPr>
          <w:rFonts w:hint="eastAsia"/>
          <w:color w:val="000000"/>
          <w:highlight w:val="none"/>
        </w:rPr>
        <w:t>  递交地点：温州市第七人民医院潘桥院区学士前路158号</w:t>
      </w:r>
    </w:p>
    <w:p w14:paraId="718B7B68">
      <w:pPr>
        <w:pStyle w:val="17"/>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五、开标时间：2025年</w:t>
      </w:r>
      <w:r>
        <w:rPr>
          <w:rFonts w:hint="eastAsia"/>
          <w:color w:val="000000"/>
          <w:highlight w:val="none"/>
          <w:lang w:val="en-US" w:eastAsia="zh-CN"/>
        </w:rPr>
        <w:t>9</w:t>
      </w:r>
      <w:r>
        <w:rPr>
          <w:rFonts w:hint="eastAsia"/>
          <w:color w:val="000000"/>
          <w:highlight w:val="none"/>
        </w:rPr>
        <w:t>月</w:t>
      </w:r>
      <w:r>
        <w:rPr>
          <w:rFonts w:hint="eastAsia"/>
          <w:color w:val="000000"/>
          <w:highlight w:val="none"/>
          <w:lang w:val="en-US" w:eastAsia="zh-CN"/>
        </w:rPr>
        <w:t>18</w:t>
      </w:r>
      <w:r>
        <w:rPr>
          <w:rFonts w:hint="eastAsia"/>
          <w:color w:val="000000"/>
          <w:highlight w:val="none"/>
        </w:rPr>
        <w:t>日9:00分整；</w:t>
      </w:r>
    </w:p>
    <w:p w14:paraId="5174915E">
      <w:pPr>
        <w:pStyle w:val="17"/>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开标地点：温州市第七人民医院潘桥院区学士前路158号门诊楼4楼三号会议室</w:t>
      </w:r>
    </w:p>
    <w:p w14:paraId="736BD23C">
      <w:pPr>
        <w:pStyle w:val="17"/>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六、招标人：温州市第七人民医院</w:t>
      </w:r>
    </w:p>
    <w:p w14:paraId="747A145C">
      <w:pPr>
        <w:pStyle w:val="17"/>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联系人： </w:t>
      </w:r>
      <w:r>
        <w:rPr>
          <w:rFonts w:hint="eastAsia"/>
          <w:color w:val="000000"/>
          <w:highlight w:val="none"/>
          <w:shd w:val="clear" w:color="auto" w:fill="FFFFFF"/>
        </w:rPr>
        <w:t>朱老师</w:t>
      </w:r>
      <w:r>
        <w:rPr>
          <w:color w:val="000000"/>
          <w:highlight w:val="none"/>
          <w:shd w:val="clear" w:color="auto" w:fill="FFFFFF"/>
        </w:rPr>
        <w:t> </w:t>
      </w:r>
    </w:p>
    <w:p w14:paraId="5C99DA8B">
      <w:pPr>
        <w:pStyle w:val="17"/>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电话：  0577-89870153</w:t>
      </w:r>
    </w:p>
    <w:p w14:paraId="53D76E20">
      <w:pPr>
        <w:pStyle w:val="17"/>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监督电话：0577-89870113 </w:t>
      </w:r>
    </w:p>
    <w:p w14:paraId="20A4E0C3">
      <w:pPr>
        <w:pStyle w:val="17"/>
        <w:shd w:val="clear" w:color="auto" w:fill="FFFFFF"/>
        <w:wordWrap w:val="0"/>
        <w:adjustRightInd w:val="0"/>
        <w:snapToGrid w:val="0"/>
        <w:spacing w:before="0" w:beforeAutospacing="0" w:after="0" w:afterAutospacing="0" w:line="400" w:lineRule="exact"/>
        <w:ind w:firstLine="480" w:firstLineChars="200"/>
        <w:jc w:val="right"/>
        <w:rPr>
          <w:color w:val="000000"/>
          <w:highlight w:val="none"/>
        </w:rPr>
      </w:pPr>
      <w:r>
        <w:rPr>
          <w:rFonts w:hint="eastAsia"/>
          <w:color w:val="000000"/>
          <w:highlight w:val="none"/>
        </w:rPr>
        <w:t xml:space="preserve">                                                                  温州市第七人民医院  </w:t>
      </w:r>
    </w:p>
    <w:p w14:paraId="734EFFAB">
      <w:pPr>
        <w:pStyle w:val="17"/>
        <w:shd w:val="clear" w:color="auto" w:fill="FFFFFF"/>
        <w:wordWrap w:val="0"/>
        <w:adjustRightInd w:val="0"/>
        <w:snapToGrid w:val="0"/>
        <w:spacing w:before="0" w:beforeAutospacing="0" w:after="0" w:afterAutospacing="0" w:line="400" w:lineRule="exact"/>
        <w:ind w:firstLine="480" w:firstLineChars="200"/>
        <w:jc w:val="right"/>
        <w:rPr>
          <w:rStyle w:val="23"/>
          <w:rFonts w:ascii="Calibri" w:hAnsi="Calibri" w:cs="Times New Roman"/>
          <w:color w:val="333333"/>
          <w:highlight w:val="none"/>
          <w:shd w:val="clear" w:color="auto" w:fill="FFFFFF"/>
        </w:rPr>
      </w:pPr>
      <w:r>
        <w:rPr>
          <w:rFonts w:hint="eastAsia"/>
          <w:color w:val="000000"/>
          <w:highlight w:val="none"/>
        </w:rPr>
        <w:t>                           2025年</w:t>
      </w:r>
      <w:r>
        <w:rPr>
          <w:rFonts w:hint="eastAsia"/>
          <w:color w:val="000000"/>
          <w:highlight w:val="none"/>
          <w:lang w:val="en-US" w:eastAsia="zh-CN"/>
        </w:rPr>
        <w:t>9</w:t>
      </w:r>
      <w:r>
        <w:rPr>
          <w:rFonts w:hint="eastAsia"/>
          <w:color w:val="000000"/>
          <w:highlight w:val="none"/>
        </w:rPr>
        <w:t>月</w:t>
      </w:r>
      <w:r>
        <w:rPr>
          <w:rFonts w:hint="eastAsia"/>
          <w:color w:val="000000"/>
          <w:highlight w:val="none"/>
          <w:lang w:val="en-US" w:eastAsia="zh-CN"/>
        </w:rPr>
        <w:t>10</w:t>
      </w:r>
      <w:bookmarkStart w:id="6" w:name="_GoBack"/>
      <w:bookmarkEnd w:id="6"/>
      <w:r>
        <w:rPr>
          <w:rFonts w:hint="eastAsia"/>
          <w:color w:val="000000"/>
          <w:highlight w:val="none"/>
        </w:rPr>
        <w:t xml:space="preserve">日  </w:t>
      </w:r>
      <w:r>
        <w:rPr>
          <w:rFonts w:hint="eastAsia"/>
          <w:color w:val="000000"/>
          <w:sz w:val="23"/>
          <w:szCs w:val="23"/>
          <w:highlight w:val="none"/>
        </w:rPr>
        <w:t xml:space="preserve"> </w:t>
      </w:r>
    </w:p>
    <w:p w14:paraId="4CB5728E">
      <w:pPr>
        <w:pStyle w:val="17"/>
        <w:shd w:val="clear" w:color="auto" w:fill="FFFFFF"/>
        <w:spacing w:line="465" w:lineRule="atLeast"/>
        <w:jc w:val="both"/>
        <w:rPr>
          <w:rFonts w:ascii="新宋体" w:hAnsi="新宋体" w:eastAsia="新宋体"/>
          <w:b/>
          <w:bCs/>
          <w:sz w:val="32"/>
          <w:szCs w:val="32"/>
        </w:rPr>
      </w:pPr>
    </w:p>
    <w:p w14:paraId="301C4713">
      <w:pPr>
        <w:pStyle w:val="17"/>
        <w:shd w:val="clear" w:color="auto" w:fill="FFFFFF"/>
        <w:spacing w:line="465" w:lineRule="atLeast"/>
        <w:jc w:val="both"/>
        <w:rPr>
          <w:rFonts w:ascii="新宋体" w:hAnsi="新宋体" w:eastAsia="新宋体"/>
          <w:b/>
          <w:bCs/>
          <w:sz w:val="32"/>
          <w:szCs w:val="32"/>
        </w:rPr>
      </w:pPr>
    </w:p>
    <w:p w14:paraId="55FB7C4A">
      <w:pPr>
        <w:pStyle w:val="17"/>
        <w:shd w:val="clear" w:color="auto" w:fill="FFFFFF"/>
        <w:spacing w:line="465" w:lineRule="atLeast"/>
        <w:jc w:val="both"/>
        <w:rPr>
          <w:rFonts w:ascii="新宋体" w:hAnsi="新宋体" w:eastAsia="新宋体"/>
          <w:b/>
          <w:bCs/>
          <w:sz w:val="32"/>
          <w:szCs w:val="32"/>
        </w:rPr>
      </w:pPr>
    </w:p>
    <w:p w14:paraId="67BAE0D5">
      <w:pPr>
        <w:pStyle w:val="17"/>
        <w:shd w:val="clear" w:color="auto" w:fill="FFFFFF"/>
        <w:spacing w:line="465" w:lineRule="atLeast"/>
        <w:jc w:val="both"/>
        <w:rPr>
          <w:rFonts w:ascii="新宋体" w:hAnsi="新宋体" w:eastAsia="新宋体"/>
          <w:b/>
          <w:bCs/>
          <w:sz w:val="32"/>
          <w:szCs w:val="32"/>
        </w:rPr>
      </w:pPr>
    </w:p>
    <w:p w14:paraId="6D4F53C5">
      <w:pPr>
        <w:pStyle w:val="17"/>
        <w:shd w:val="clear" w:color="auto" w:fill="FFFFFF"/>
        <w:spacing w:line="465" w:lineRule="atLeast"/>
        <w:jc w:val="both"/>
        <w:rPr>
          <w:rFonts w:ascii="新宋体" w:hAnsi="新宋体" w:eastAsia="新宋体"/>
          <w:b/>
          <w:bCs/>
          <w:sz w:val="32"/>
          <w:szCs w:val="32"/>
        </w:rPr>
      </w:pPr>
    </w:p>
    <w:p w14:paraId="1461E0C0">
      <w:pPr>
        <w:pStyle w:val="17"/>
        <w:shd w:val="clear" w:color="auto" w:fill="FFFFFF"/>
        <w:spacing w:line="465" w:lineRule="atLeast"/>
        <w:jc w:val="both"/>
        <w:rPr>
          <w:rFonts w:ascii="新宋体" w:hAnsi="新宋体" w:eastAsia="新宋体"/>
          <w:b/>
          <w:bCs/>
          <w:sz w:val="32"/>
          <w:szCs w:val="32"/>
        </w:rPr>
      </w:pPr>
    </w:p>
    <w:p w14:paraId="63F37DE0">
      <w:pPr>
        <w:pStyle w:val="17"/>
        <w:shd w:val="clear" w:color="auto" w:fill="FFFFFF"/>
        <w:spacing w:line="465" w:lineRule="atLeast"/>
        <w:jc w:val="both"/>
        <w:rPr>
          <w:rFonts w:ascii="新宋体" w:hAnsi="新宋体" w:eastAsia="新宋体"/>
          <w:b/>
          <w:bCs/>
          <w:sz w:val="32"/>
          <w:szCs w:val="32"/>
        </w:rPr>
      </w:pPr>
    </w:p>
    <w:p w14:paraId="5A71196E">
      <w:pPr>
        <w:pStyle w:val="17"/>
        <w:shd w:val="clear" w:color="auto" w:fill="FFFFFF"/>
        <w:spacing w:line="465" w:lineRule="atLeast"/>
        <w:jc w:val="both"/>
        <w:rPr>
          <w:rFonts w:ascii="新宋体" w:hAnsi="新宋体" w:eastAsia="新宋体"/>
          <w:b/>
          <w:bCs/>
          <w:sz w:val="32"/>
          <w:szCs w:val="32"/>
        </w:rPr>
      </w:pPr>
    </w:p>
    <w:p w14:paraId="18B802A1">
      <w:pPr>
        <w:pStyle w:val="17"/>
        <w:shd w:val="clear" w:color="auto" w:fill="FFFFFF"/>
        <w:spacing w:line="465" w:lineRule="atLeast"/>
        <w:jc w:val="both"/>
        <w:rPr>
          <w:rFonts w:ascii="新宋体" w:hAnsi="新宋体" w:eastAsia="新宋体"/>
          <w:b/>
          <w:bCs/>
          <w:sz w:val="32"/>
          <w:szCs w:val="32"/>
        </w:rPr>
      </w:pPr>
    </w:p>
    <w:p w14:paraId="127194E8">
      <w:pPr>
        <w:pStyle w:val="17"/>
        <w:shd w:val="clear" w:color="auto" w:fill="FFFFFF"/>
        <w:spacing w:line="465" w:lineRule="atLeast"/>
        <w:jc w:val="both"/>
        <w:rPr>
          <w:rFonts w:ascii="新宋体" w:hAnsi="新宋体" w:eastAsia="新宋体"/>
          <w:b/>
          <w:bCs/>
          <w:sz w:val="32"/>
          <w:szCs w:val="32"/>
        </w:rPr>
      </w:pPr>
    </w:p>
    <w:p w14:paraId="2BED76FC">
      <w:pPr>
        <w:pStyle w:val="17"/>
        <w:shd w:val="clear" w:color="auto" w:fill="FFFFFF"/>
        <w:spacing w:line="465" w:lineRule="atLeast"/>
        <w:jc w:val="both"/>
        <w:rPr>
          <w:rFonts w:ascii="新宋体" w:hAnsi="新宋体" w:eastAsia="新宋体"/>
          <w:b/>
          <w:bCs/>
          <w:sz w:val="32"/>
          <w:szCs w:val="32"/>
        </w:rPr>
      </w:pPr>
    </w:p>
    <w:p w14:paraId="4BABDEFD">
      <w:pPr>
        <w:pStyle w:val="17"/>
        <w:shd w:val="clear" w:color="auto" w:fill="FFFFFF"/>
        <w:spacing w:line="465" w:lineRule="atLeast"/>
        <w:jc w:val="both"/>
        <w:rPr>
          <w:rFonts w:ascii="新宋体" w:hAnsi="新宋体" w:eastAsia="新宋体"/>
          <w:b/>
          <w:bCs/>
          <w:sz w:val="32"/>
          <w:szCs w:val="32"/>
        </w:rPr>
      </w:pPr>
    </w:p>
    <w:p w14:paraId="5FF6DCB8">
      <w:pPr>
        <w:pStyle w:val="17"/>
        <w:shd w:val="clear" w:color="auto" w:fill="FFFFFF"/>
        <w:spacing w:line="465" w:lineRule="atLeast"/>
        <w:jc w:val="center"/>
        <w:rPr>
          <w:rFonts w:ascii="新宋体" w:hAnsi="新宋体" w:eastAsia="新宋体"/>
          <w:color w:val="5A5A5A"/>
          <w:sz w:val="23"/>
          <w:szCs w:val="23"/>
        </w:rPr>
      </w:pPr>
      <w:r>
        <w:rPr>
          <w:rFonts w:hint="eastAsia" w:ascii="新宋体" w:hAnsi="新宋体" w:eastAsia="新宋体"/>
          <w:b/>
          <w:bCs/>
          <w:sz w:val="32"/>
          <w:szCs w:val="32"/>
        </w:rPr>
        <w:t>招标内容及要求</w:t>
      </w:r>
    </w:p>
    <w:p w14:paraId="38DAB631">
      <w:pPr>
        <w:numPr>
          <w:ilvl w:val="0"/>
          <w:numId w:val="2"/>
        </w:numPr>
        <w:spacing w:line="360" w:lineRule="auto"/>
        <w:rPr>
          <w:rFonts w:ascii="宋体" w:hAnsi="宋体"/>
          <w:sz w:val="28"/>
          <w:szCs w:val="28"/>
        </w:rPr>
      </w:pPr>
      <w:r>
        <w:rPr>
          <w:rFonts w:hint="eastAsia"/>
          <w:b/>
          <w:bCs/>
          <w:sz w:val="28"/>
          <w:szCs w:val="28"/>
        </w:rPr>
        <w:t>招标内容</w:t>
      </w:r>
    </w:p>
    <w:p w14:paraId="3AB9D84C">
      <w:pPr>
        <w:spacing w:line="360" w:lineRule="auto"/>
        <w:rPr>
          <w:rFonts w:ascii="宋体" w:hAnsi="宋体"/>
          <w:sz w:val="28"/>
          <w:szCs w:val="28"/>
        </w:rPr>
      </w:pPr>
      <w:r>
        <w:rPr>
          <w:rFonts w:hint="eastAsia" w:ascii="宋体" w:hAnsi="宋体"/>
          <w:sz w:val="28"/>
          <w:szCs w:val="28"/>
        </w:rPr>
        <w:t>（一）招标单位：温州市第七人民医院</w:t>
      </w:r>
    </w:p>
    <w:p w14:paraId="0752AA0B">
      <w:pPr>
        <w:spacing w:line="360" w:lineRule="auto"/>
        <w:rPr>
          <w:rFonts w:ascii="宋体" w:hAnsi="宋体"/>
          <w:sz w:val="28"/>
          <w:szCs w:val="28"/>
        </w:rPr>
      </w:pPr>
      <w:r>
        <w:rPr>
          <w:rFonts w:hint="eastAsia" w:ascii="宋体" w:hAnsi="宋体"/>
          <w:sz w:val="28"/>
          <w:szCs w:val="28"/>
        </w:rPr>
        <w:t>（二）项目名称：</w:t>
      </w:r>
      <w:r>
        <w:rPr>
          <w:rFonts w:hint="eastAsia" w:ascii="宋体" w:hAnsi="宋体"/>
          <w:sz w:val="28"/>
          <w:szCs w:val="28"/>
          <w:lang w:eastAsia="zh-CN"/>
        </w:rPr>
        <w:t>档案管理系统</w:t>
      </w:r>
      <w:r>
        <w:rPr>
          <w:rFonts w:hint="eastAsia" w:ascii="宋体" w:hAnsi="宋体"/>
          <w:sz w:val="28"/>
          <w:szCs w:val="28"/>
        </w:rPr>
        <w:t>采购项目</w:t>
      </w:r>
    </w:p>
    <w:p w14:paraId="341FDFD5">
      <w:pPr>
        <w:spacing w:line="360" w:lineRule="auto"/>
        <w:rPr>
          <w:rFonts w:ascii="宋体" w:hAnsi="宋体"/>
          <w:sz w:val="28"/>
          <w:szCs w:val="28"/>
        </w:rPr>
      </w:pPr>
      <w:r>
        <w:rPr>
          <w:rFonts w:hint="eastAsia" w:ascii="宋体" w:hAnsi="宋体"/>
          <w:sz w:val="28"/>
          <w:szCs w:val="28"/>
        </w:rPr>
        <w:t>（三）预算金额：</w:t>
      </w:r>
      <w:r>
        <w:rPr>
          <w:rFonts w:hint="eastAsia" w:ascii="宋体" w:hAnsi="宋体"/>
          <w:sz w:val="28"/>
          <w:szCs w:val="28"/>
          <w:lang w:val="en-US" w:eastAsia="zh-CN"/>
        </w:rPr>
        <w:t>99</w:t>
      </w:r>
      <w:r>
        <w:rPr>
          <w:rFonts w:hint="eastAsia" w:ascii="宋体" w:hAnsi="宋体"/>
          <w:sz w:val="28"/>
          <w:szCs w:val="28"/>
        </w:rPr>
        <w:t>000元</w:t>
      </w:r>
    </w:p>
    <w:p w14:paraId="5C472146">
      <w:pPr>
        <w:pStyle w:val="6"/>
        <w:numPr>
          <w:ilvl w:val="0"/>
          <w:numId w:val="0"/>
        </w:numPr>
        <w:rPr>
          <w:rFonts w:hint="eastAsia" w:ascii="宋体" w:hAnsi="宋体" w:eastAsia="宋体" w:cs="Times New Roman"/>
          <w:b w:val="0"/>
          <w:bCs w:val="0"/>
          <w:kern w:val="2"/>
          <w:sz w:val="28"/>
          <w:szCs w:val="28"/>
          <w:lang w:val="en-US" w:eastAsia="zh-CN" w:bidi="ar-SA"/>
        </w:rPr>
      </w:pPr>
      <w:r>
        <w:rPr>
          <w:rFonts w:hint="eastAsia" w:ascii="宋体" w:hAnsi="宋体" w:eastAsia="宋体" w:cs="Times New Roman"/>
          <w:b w:val="0"/>
          <w:bCs w:val="0"/>
          <w:kern w:val="2"/>
          <w:sz w:val="28"/>
          <w:szCs w:val="28"/>
          <w:lang w:val="en-US" w:eastAsia="zh-CN" w:bidi="ar-SA"/>
        </w:rPr>
        <w:t>（四）采购内容：</w:t>
      </w:r>
    </w:p>
    <w:tbl>
      <w:tblPr>
        <w:tblStyle w:val="20"/>
        <w:tblW w:w="54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6"/>
        <w:gridCol w:w="1709"/>
        <w:gridCol w:w="6143"/>
      </w:tblGrid>
      <w:tr w14:paraId="5F20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750" w:type="pct"/>
            <w:tcBorders>
              <w:top w:val="single" w:color="auto" w:sz="4" w:space="0"/>
              <w:left w:val="single" w:color="auto" w:sz="4" w:space="0"/>
              <w:bottom w:val="single" w:color="auto" w:sz="4" w:space="0"/>
              <w:right w:val="single" w:color="auto" w:sz="4" w:space="0"/>
            </w:tcBorders>
            <w:noWrap w:val="0"/>
            <w:vAlign w:val="center"/>
          </w:tcPr>
          <w:p w14:paraId="198AAFFA">
            <w:pPr>
              <w:jc w:val="center"/>
              <w:rPr>
                <w:rFonts w:hint="default"/>
                <w:lang w:val="en-US" w:eastAsia="zh-CN"/>
              </w:rPr>
            </w:pPr>
          </w:p>
        </w:tc>
        <w:tc>
          <w:tcPr>
            <w:tcW w:w="4249" w:type="pct"/>
            <w:gridSpan w:val="2"/>
            <w:tcBorders>
              <w:top w:val="single" w:color="auto" w:sz="4" w:space="0"/>
              <w:left w:val="single" w:color="auto" w:sz="4" w:space="0"/>
              <w:bottom w:val="single" w:color="auto" w:sz="4" w:space="0"/>
              <w:right w:val="single" w:color="auto" w:sz="4" w:space="0"/>
            </w:tcBorders>
            <w:noWrap w:val="0"/>
            <w:vAlign w:val="center"/>
          </w:tcPr>
          <w:p w14:paraId="4CD50FED">
            <w:pPr>
              <w:jc w:val="center"/>
              <w:rPr>
                <w:rFonts w:hint="eastAsia"/>
              </w:rPr>
            </w:pPr>
            <w:r>
              <w:rPr>
                <w:rFonts w:hint="eastAsia"/>
                <w:lang w:val="en-US" w:eastAsia="zh-CN"/>
              </w:rPr>
              <w:t>产品采购内容</w:t>
            </w:r>
          </w:p>
        </w:tc>
      </w:tr>
      <w:tr w14:paraId="3EB79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750" w:type="pct"/>
            <w:vMerge w:val="restart"/>
            <w:tcBorders>
              <w:top w:val="single" w:color="auto" w:sz="4" w:space="0"/>
              <w:left w:val="single" w:color="auto" w:sz="4" w:space="0"/>
              <w:bottom w:val="single" w:color="auto" w:sz="4" w:space="0"/>
              <w:right w:val="single" w:color="auto" w:sz="4" w:space="0"/>
            </w:tcBorders>
            <w:noWrap w:val="0"/>
            <w:vAlign w:val="center"/>
          </w:tcPr>
          <w:p w14:paraId="3B71AA87">
            <w:pPr>
              <w:jc w:val="center"/>
            </w:pPr>
            <w:r>
              <w:rPr>
                <w:rFonts w:hint="eastAsia"/>
                <w:lang w:val="en-US" w:eastAsia="zh-CN"/>
              </w:rPr>
              <w:t>1、</w:t>
            </w:r>
            <w:r>
              <w:rPr>
                <w:rFonts w:hint="default"/>
              </w:rPr>
              <w:t>系统架构与兼容性</w:t>
            </w:r>
          </w:p>
          <w:p w14:paraId="4FD76E3D">
            <w:pPr>
              <w:jc w:val="center"/>
              <w:rPr>
                <w:rFonts w:hint="eastAsia"/>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29B87314">
            <w:pPr>
              <w:jc w:val="center"/>
              <w:rPr>
                <w:rFonts w:hint="default"/>
                <w:lang w:val="en-US" w:eastAsia="zh-CN"/>
              </w:rPr>
            </w:pPr>
            <w:r>
              <w:rPr>
                <w:rFonts w:hint="eastAsia"/>
                <w:lang w:val="en-US" w:eastAsia="zh-CN"/>
              </w:rPr>
              <w:t>1.1</w:t>
            </w:r>
            <w:r>
              <w:t>架构设计</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55F8C8FD">
            <w:pPr>
              <w:jc w:val="left"/>
              <w:rPr>
                <w:rFonts w:hint="eastAsia"/>
                <w:lang w:val="en-US" w:eastAsia="zh-CN"/>
              </w:rPr>
            </w:pPr>
            <w:r>
              <w:rPr>
                <w:rFonts w:hint="default"/>
              </w:rPr>
              <w:t>采用基于 B/S 模式结构，运用 html5 技术，支Windows、LINUX 等主流操作系统，选用开源主流的操作系统和软件</w:t>
            </w:r>
            <w:r>
              <w:rPr>
                <w:rFonts w:hint="eastAsia"/>
                <w:lang w:eastAsia="zh-CN"/>
              </w:rPr>
              <w:t>，</w:t>
            </w:r>
            <w:r>
              <w:rPr>
                <w:rFonts w:hint="default"/>
              </w:rPr>
              <w:t>支持跨系统迁移及虚拟化环境部署，数据交互采用面向服务（SOA）架构设计，具备自主二次开发能力。</w:t>
            </w:r>
          </w:p>
        </w:tc>
      </w:tr>
      <w:tr w14:paraId="0AE0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79229B2D">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5A75ADA9">
            <w:pPr>
              <w:jc w:val="center"/>
              <w:rPr>
                <w:rFonts w:hint="default"/>
                <w:lang w:val="en-US" w:eastAsia="zh-CN"/>
              </w:rPr>
            </w:pPr>
            <w:r>
              <w:rPr>
                <w:rFonts w:hint="eastAsia"/>
                <w:lang w:val="en-US" w:eastAsia="zh-CN"/>
              </w:rPr>
              <w:t>▲1.2</w:t>
            </w:r>
            <w:r>
              <w:rPr>
                <w:rFonts w:hint="default"/>
              </w:rPr>
              <w:t>信创支持</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1CAE3792">
            <w:pPr>
              <w:jc w:val="left"/>
              <w:rPr>
                <w:rFonts w:hint="eastAsia"/>
                <w:lang w:val="en-US" w:eastAsia="zh-CN"/>
              </w:rPr>
            </w:pPr>
            <w:r>
              <w:rPr>
                <w:rFonts w:hint="default"/>
              </w:rPr>
              <w:t>支持信创环境部署。</w:t>
            </w:r>
          </w:p>
        </w:tc>
      </w:tr>
      <w:tr w14:paraId="1F79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7B8C268C">
            <w:pPr>
              <w:jc w:val="center"/>
              <w:rPr>
                <w:rFonts w:hint="eastAsia"/>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5110B8D3">
            <w:pPr>
              <w:jc w:val="center"/>
              <w:rPr>
                <w:rFonts w:hint="default"/>
                <w:lang w:val="en-US" w:eastAsia="zh-CN"/>
              </w:rPr>
            </w:pPr>
            <w:r>
              <w:rPr>
                <w:rFonts w:hint="eastAsia"/>
                <w:lang w:val="en-US" w:eastAsia="zh-CN"/>
              </w:rPr>
              <w:t>1.3</w:t>
            </w:r>
            <w:r>
              <w:rPr>
                <w:rFonts w:hint="default"/>
              </w:rPr>
              <w:t>浏览器兼容</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5D601F82">
            <w:pPr>
              <w:jc w:val="left"/>
              <w:rPr>
                <w:rFonts w:hint="eastAsia"/>
                <w:lang w:val="en-US" w:eastAsia="zh-CN"/>
              </w:rPr>
            </w:pPr>
            <w:r>
              <w:rPr>
                <w:rFonts w:hint="default"/>
              </w:rPr>
              <w:t>电脑端浏览器需支持当前主流浏览器内核，包括 IE、edge、360、火狐和谷歌浏览器等常见浏览器访问。</w:t>
            </w:r>
          </w:p>
        </w:tc>
      </w:tr>
      <w:tr w14:paraId="598D4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750" w:type="pct"/>
            <w:vMerge w:val="restart"/>
            <w:tcBorders>
              <w:top w:val="single" w:color="auto" w:sz="4" w:space="0"/>
              <w:left w:val="single" w:color="auto" w:sz="4" w:space="0"/>
              <w:bottom w:val="single" w:color="auto" w:sz="4" w:space="0"/>
              <w:right w:val="single" w:color="auto" w:sz="4" w:space="0"/>
            </w:tcBorders>
            <w:noWrap w:val="0"/>
            <w:vAlign w:val="center"/>
          </w:tcPr>
          <w:p w14:paraId="5DC795F1">
            <w:pPr>
              <w:jc w:val="center"/>
            </w:pPr>
            <w:r>
              <w:rPr>
                <w:rFonts w:hint="eastAsia"/>
                <w:lang w:val="en-US" w:eastAsia="zh-CN"/>
              </w:rPr>
              <w:t>2、</w:t>
            </w:r>
            <w:r>
              <w:rPr>
                <w:rFonts w:hint="default"/>
              </w:rPr>
              <w:t>系统功能</w:t>
            </w:r>
          </w:p>
          <w:p w14:paraId="3865FDA0">
            <w:pPr>
              <w:jc w:val="center"/>
              <w:rPr>
                <w:rFonts w:hint="eastAsia"/>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81D0718">
            <w:pPr>
              <w:jc w:val="center"/>
              <w:rPr>
                <w:rFonts w:hint="default"/>
                <w:lang w:val="en-US" w:eastAsia="zh-CN"/>
              </w:rPr>
            </w:pPr>
            <w:r>
              <w:rPr>
                <w:rFonts w:hint="eastAsia"/>
                <w:lang w:val="en-US" w:eastAsia="zh-CN"/>
              </w:rPr>
              <w:t>2.1</w:t>
            </w:r>
            <w:r>
              <w:rPr>
                <w:rFonts w:hint="default"/>
              </w:rPr>
              <w:t>模块化与扩展性</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369EB3A7">
            <w:pPr>
              <w:jc w:val="left"/>
              <w:rPr>
                <w:rFonts w:hint="default"/>
              </w:rPr>
            </w:pPr>
            <w:r>
              <w:rPr>
                <w:rFonts w:hint="default"/>
              </w:rPr>
              <w:t>采用模块化设计、组件化开发，便于未来功能扩展，预留规范接口，支持业务扩展及与其他业务系统的对接。</w:t>
            </w:r>
          </w:p>
        </w:tc>
      </w:tr>
      <w:tr w14:paraId="7A2B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45B5E398">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706942D3">
            <w:pPr>
              <w:jc w:val="center"/>
              <w:rPr>
                <w:rFonts w:hint="eastAsia" w:eastAsiaTheme="minorEastAsia"/>
                <w:lang w:val="en-US" w:eastAsia="zh-CN"/>
              </w:rPr>
            </w:pPr>
            <w:r>
              <w:rPr>
                <w:rFonts w:hint="eastAsia"/>
                <w:lang w:val="en-US" w:eastAsia="zh-CN"/>
              </w:rPr>
              <w:t>2.2</w:t>
            </w:r>
            <w:r>
              <w:t>电子文件归档</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6A1563CE">
            <w:pPr>
              <w:jc w:val="left"/>
              <w:rPr>
                <w:rFonts w:hint="eastAsia"/>
                <w:lang w:val="en-US" w:eastAsia="zh-CN"/>
              </w:rPr>
            </w:pPr>
            <w:r>
              <w:rPr>
                <w:rFonts w:hint="default"/>
              </w:rPr>
              <w:t>能按照电子文件归档要求，完全实现电子档案四性检测，自动批量完成电子文件的元数据采集、归档及按格式批量生成电子文件备份包，满足单套制归档需求。</w:t>
            </w:r>
          </w:p>
        </w:tc>
      </w:tr>
      <w:tr w14:paraId="6497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71A88AF8">
            <w:pPr>
              <w:jc w:val="center"/>
              <w:rPr>
                <w:rFonts w:hint="eastAsia"/>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2E34411F">
            <w:pPr>
              <w:jc w:val="center"/>
              <w:rPr>
                <w:rFonts w:hint="default"/>
                <w:lang w:val="en-US" w:eastAsia="zh-CN"/>
              </w:rPr>
            </w:pPr>
            <w:r>
              <w:rPr>
                <w:rFonts w:hint="eastAsia"/>
                <w:lang w:val="en-US" w:eastAsia="zh-CN"/>
              </w:rPr>
              <w:t>2.3</w:t>
            </w:r>
            <w:r>
              <w:t>首页模块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3699F926">
            <w:pPr>
              <w:jc w:val="left"/>
              <w:rPr>
                <w:rFonts w:hint="eastAsia"/>
                <w:lang w:val="en-US" w:eastAsia="zh-CN"/>
              </w:rPr>
            </w:pPr>
            <w:r>
              <w:rPr>
                <w:rFonts w:hint="default"/>
              </w:rPr>
              <w:t>快速查询：提供用户快速查询档案的快捷入口，可根据用户输入的关键字在档案库中搜索相关档案。</w:t>
            </w:r>
          </w:p>
        </w:tc>
      </w:tr>
      <w:tr w14:paraId="4225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174FD367">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5C2F4D76">
            <w:pPr>
              <w:jc w:val="center"/>
              <w:rPr>
                <w:rFonts w:hint="default"/>
                <w:lang w:val="en-US" w:eastAsia="zh-CN"/>
              </w:rPr>
            </w:pPr>
            <w:r>
              <w:rPr>
                <w:rFonts w:hint="eastAsia"/>
                <w:lang w:val="en-US" w:eastAsia="zh-CN"/>
              </w:rPr>
              <w:t>2.4</w:t>
            </w:r>
            <w:r>
              <w:t>首页模块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03CDE58C">
            <w:pPr>
              <w:jc w:val="left"/>
              <w:rPr>
                <w:rFonts w:hint="eastAsia"/>
                <w:lang w:val="en-US" w:eastAsia="zh-CN"/>
              </w:rPr>
            </w:pPr>
            <w:r>
              <w:rPr>
                <w:rFonts w:hint="default"/>
              </w:rPr>
              <w:t>历史查看记录：显示用户的档案查看、下载、打印记录，包含档案档号、文件名称、用户信息、操作时间等详情，支持分页查看全部记录；同时显示登录的当前 IP、当前部门、登录时长、上次登录时间等信息。</w:t>
            </w:r>
          </w:p>
        </w:tc>
      </w:tr>
      <w:tr w14:paraId="4E35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6A706F69">
            <w:pPr>
              <w:jc w:val="center"/>
              <w:rPr>
                <w:rFonts w:hint="eastAsia"/>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28E1EBA7">
            <w:pPr>
              <w:jc w:val="center"/>
              <w:rPr>
                <w:rFonts w:hint="eastAsia"/>
                <w:lang w:val="en-US" w:eastAsia="zh-CN"/>
              </w:rPr>
            </w:pPr>
            <w:r>
              <w:rPr>
                <w:rFonts w:hint="eastAsia"/>
                <w:lang w:val="en-US" w:eastAsia="zh-CN"/>
              </w:rPr>
              <w:t>2.5</w:t>
            </w:r>
            <w:r>
              <w:t>首页模块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1ECD5C99">
            <w:pPr>
              <w:jc w:val="left"/>
            </w:pPr>
            <w:r>
              <w:rPr>
                <w:rFonts w:hint="default"/>
              </w:rPr>
              <w:t>系统监控：展示服务器磁盘、CPU、内存占用率等信息。</w:t>
            </w:r>
          </w:p>
          <w:p w14:paraId="7D0063FE">
            <w:pPr>
              <w:jc w:val="left"/>
              <w:rPr>
                <w:rFonts w:hint="eastAsia"/>
                <w:lang w:val="en-US" w:eastAsia="zh-CN"/>
              </w:rPr>
            </w:pPr>
            <w:r>
              <w:rPr>
                <w:rFonts w:hint="default"/>
              </w:rPr>
              <w:t>个性化设置及界面：可设置字体大小（小、中、大、特大）、页面展示大小（Default、Medium、Small、Mini）、整体皮肤风格及自动主题调色等配置。</w:t>
            </w:r>
          </w:p>
        </w:tc>
      </w:tr>
      <w:tr w14:paraId="0D4C4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19666070">
            <w:pPr>
              <w:jc w:val="center"/>
              <w:rPr>
                <w:rFonts w:hint="eastAsia"/>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2705E72F">
            <w:pPr>
              <w:jc w:val="center"/>
              <w:rPr>
                <w:rFonts w:hint="default"/>
                <w:lang w:val="en-US" w:eastAsia="zh-CN"/>
              </w:rPr>
            </w:pPr>
            <w:r>
              <w:rPr>
                <w:rFonts w:hint="eastAsia"/>
                <w:lang w:val="en-US" w:eastAsia="zh-CN"/>
              </w:rPr>
              <w:t>2.6</w:t>
            </w:r>
            <w:r>
              <w:t>首页模块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057E2B8C">
            <w:pPr>
              <w:jc w:val="left"/>
              <w:rPr>
                <w:rFonts w:hint="eastAsia"/>
                <w:lang w:val="en-US" w:eastAsia="zh-CN"/>
              </w:rPr>
            </w:pPr>
            <w:r>
              <w:rPr>
                <w:rFonts w:hint="default"/>
              </w:rPr>
              <w:t>帮助模块：提供软件使用说明书的下载及查看功能。</w:t>
            </w:r>
          </w:p>
        </w:tc>
      </w:tr>
      <w:tr w14:paraId="50C0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6F9F3696">
            <w:pPr>
              <w:jc w:val="center"/>
              <w:rPr>
                <w:rFonts w:hint="eastAsia"/>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769FFF6A">
            <w:pPr>
              <w:jc w:val="center"/>
            </w:pPr>
            <w:r>
              <w:rPr>
                <w:rFonts w:hint="eastAsia"/>
                <w:lang w:val="en-US" w:eastAsia="zh-CN"/>
              </w:rPr>
              <w:t>2.7</w:t>
            </w:r>
            <w:r>
              <w:t>档案管理模块</w:t>
            </w:r>
          </w:p>
          <w:p w14:paraId="7D014CA0">
            <w:pPr>
              <w:jc w:val="center"/>
              <w:rPr>
                <w:rFonts w:hint="eastAsia"/>
                <w:lang w:val="en-US" w:eastAsia="zh-CN"/>
              </w:rPr>
            </w:pPr>
          </w:p>
        </w:tc>
        <w:tc>
          <w:tcPr>
            <w:tcW w:w="3323" w:type="pct"/>
            <w:tcBorders>
              <w:top w:val="single" w:color="auto" w:sz="4" w:space="0"/>
              <w:left w:val="single" w:color="auto" w:sz="4" w:space="0"/>
              <w:bottom w:val="single" w:color="auto" w:sz="4" w:space="0"/>
              <w:right w:val="single" w:color="auto" w:sz="4" w:space="0"/>
            </w:tcBorders>
            <w:noWrap w:val="0"/>
            <w:vAlign w:val="center"/>
          </w:tcPr>
          <w:p w14:paraId="0370E9BF">
            <w:pPr>
              <w:jc w:val="left"/>
              <w:rPr>
                <w:rFonts w:hint="eastAsia"/>
                <w:lang w:val="en-US" w:eastAsia="zh-CN"/>
              </w:rPr>
            </w:pPr>
            <w:r>
              <w:rPr>
                <w:rFonts w:hint="default"/>
              </w:rPr>
              <w:t>手动著录：支持以卷、一文一件等多种方式管理档案，用户可根据著录模板添加档案目录，系统按档号配置规则自动生成档案档号；显示多层级档案类别，支持调整，著录时会根据档案配置规则验证数据并显示结果，档案门类目录树可灵活调整，支持常见项目级、案卷级、文件级类型档案的导入及手动著录。</w:t>
            </w:r>
          </w:p>
        </w:tc>
      </w:tr>
      <w:tr w14:paraId="05027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23B2F3C9">
            <w:pPr>
              <w:jc w:val="center"/>
              <w:rPr>
                <w:rFonts w:hint="eastAsia"/>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269B4175">
            <w:pPr>
              <w:jc w:val="center"/>
            </w:pPr>
            <w:r>
              <w:rPr>
                <w:rFonts w:hint="eastAsia"/>
                <w:lang w:val="en-US" w:eastAsia="zh-CN"/>
              </w:rPr>
              <w:t>2.8</w:t>
            </w:r>
            <w:r>
              <w:t>档案管理模块</w:t>
            </w:r>
          </w:p>
          <w:p w14:paraId="7EEAB838">
            <w:pPr>
              <w:jc w:val="center"/>
              <w:rPr>
                <w:rFonts w:hint="default"/>
                <w:lang w:val="en-US" w:eastAsia="zh-CN"/>
              </w:rPr>
            </w:pPr>
          </w:p>
        </w:tc>
        <w:tc>
          <w:tcPr>
            <w:tcW w:w="3323" w:type="pct"/>
            <w:tcBorders>
              <w:top w:val="single" w:color="auto" w:sz="4" w:space="0"/>
              <w:left w:val="single" w:color="auto" w:sz="4" w:space="0"/>
              <w:bottom w:val="single" w:color="auto" w:sz="4" w:space="0"/>
              <w:right w:val="single" w:color="auto" w:sz="4" w:space="0"/>
            </w:tcBorders>
            <w:noWrap w:val="0"/>
            <w:vAlign w:val="center"/>
          </w:tcPr>
          <w:p w14:paraId="768D94CB">
            <w:pPr>
              <w:jc w:val="left"/>
              <w:rPr>
                <w:rFonts w:hint="eastAsia"/>
                <w:lang w:val="en-US" w:eastAsia="zh-CN"/>
              </w:rPr>
            </w:pPr>
            <w:r>
              <w:rPr>
                <w:rFonts w:hint="default"/>
              </w:rPr>
              <w:t>影像挂接：可实现电子文件单个 / 批量上传，支持 docx、xls、ppt、pdf、jpg、tif、png、dwg、html、txt、Mp4、MP3、avi、flv、swf 等格式，批量上传采用 html5 技术，可根据档号、文号、题名等字段批量挂接。</w:t>
            </w:r>
          </w:p>
        </w:tc>
      </w:tr>
      <w:tr w14:paraId="502C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799AEB71">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B1E2D10">
            <w:pPr>
              <w:jc w:val="center"/>
              <w:rPr>
                <w:rFonts w:hint="default" w:eastAsiaTheme="minorEastAsia"/>
                <w:lang w:val="en-US" w:eastAsia="zh-CN"/>
              </w:rPr>
            </w:pPr>
            <w:r>
              <w:rPr>
                <w:rFonts w:hint="eastAsia"/>
                <w:lang w:val="en-US" w:eastAsia="zh-CN"/>
              </w:rPr>
              <w:t>2.9</w:t>
            </w:r>
            <w:r>
              <w:t>档案管理模块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5AECC3B3">
            <w:pPr>
              <w:jc w:val="left"/>
              <w:rPr>
                <w:rFonts w:hint="eastAsia"/>
                <w:lang w:val="en-US" w:eastAsia="zh-CN"/>
              </w:rPr>
            </w:pPr>
            <w:r>
              <w:rPr>
                <w:rFonts w:hint="default"/>
              </w:rPr>
              <w:t>批量导入：支持通过电子表格批量导入案卷目录与文件目录数据，导入模板根据著录模板自动生成，系统会自动校验表格数据格式、检测档案重复性，对字段数据格式及长度、电子文件格式、必填项、文号和案卷号唯一性等基本内容进行审核，如有错误会给出提示。</w:t>
            </w:r>
          </w:p>
        </w:tc>
      </w:tr>
      <w:tr w14:paraId="042E3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33FE6ADF">
            <w:pPr>
              <w:jc w:val="center"/>
              <w:rPr>
                <w:rFonts w:hint="eastAsia"/>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430CCFA0">
            <w:pPr>
              <w:jc w:val="center"/>
              <w:rPr>
                <w:rFonts w:hint="eastAsia"/>
                <w:lang w:val="en-US" w:eastAsia="zh-CN"/>
              </w:rPr>
            </w:pPr>
            <w:r>
              <w:rPr>
                <w:rFonts w:hint="eastAsia"/>
                <w:lang w:val="en-US" w:eastAsia="zh-CN"/>
              </w:rPr>
              <w:t>2.10</w:t>
            </w:r>
            <w:r>
              <w:t>档案管理模块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1C379E5F">
            <w:pPr>
              <w:jc w:val="left"/>
              <w:rPr>
                <w:rFonts w:hint="eastAsia"/>
                <w:lang w:val="en-US" w:eastAsia="zh-CN"/>
              </w:rPr>
            </w:pPr>
            <w:r>
              <w:rPr>
                <w:rFonts w:hint="default"/>
              </w:rPr>
              <w:t>批量修改：可对选择的文件、当前类目、检索结果、表内所有文件进行单项 / 批量数据修改、替换、保存，也可批量删除选定的案卷 / 文件条目。</w:t>
            </w:r>
          </w:p>
        </w:tc>
      </w:tr>
      <w:tr w14:paraId="4B4A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7"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6B2C2DBD">
            <w:pPr>
              <w:jc w:val="center"/>
              <w:rPr>
                <w:rFonts w:hint="eastAsia"/>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643365A3">
            <w:pPr>
              <w:jc w:val="center"/>
              <w:rPr>
                <w:rFonts w:hint="default"/>
                <w:lang w:val="en-US" w:eastAsia="zh-CN"/>
              </w:rPr>
            </w:pPr>
            <w:r>
              <w:rPr>
                <w:rFonts w:hint="eastAsia"/>
                <w:lang w:val="en-US" w:eastAsia="zh-CN"/>
              </w:rPr>
              <w:t>2.11</w:t>
            </w:r>
            <w:r>
              <w:t>档案管理模块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64792E99">
            <w:pPr>
              <w:jc w:val="left"/>
              <w:rPr>
                <w:rFonts w:hint="eastAsia"/>
                <w:lang w:val="en-US" w:eastAsia="zh-CN"/>
              </w:rPr>
            </w:pPr>
            <w:r>
              <w:rPr>
                <w:rFonts w:hint="eastAsia"/>
                <w:lang w:val="en-US" w:eastAsia="zh-CN"/>
              </w:rPr>
              <w:t>四</w:t>
            </w:r>
            <w:r>
              <w:rPr>
                <w:rFonts w:hint="default"/>
              </w:rPr>
              <w:t>性检测：包括真实性检测（通过时间戳确保电子文件来源可靠，检测内容是否被非法更改或调换）、完整性检测（比对归档电子文件与应有构成要素，检测目录数据安全、电子文件及电子档案病毒、软件系统安全等，规范著录内容）、可用性检测（收集不可识别电子文件特征形成特征库，比对检测电子文件和电子档案的可识别性）、安全性检测（检测目录数据安全、电子文件及电子档案病毒、软件系统安全等）。</w:t>
            </w:r>
          </w:p>
        </w:tc>
      </w:tr>
      <w:tr w14:paraId="41DD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4F3248B6">
            <w:pPr>
              <w:jc w:val="center"/>
              <w:rPr>
                <w:rFonts w:hint="eastAsia"/>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21C55834">
            <w:pPr>
              <w:jc w:val="center"/>
              <w:rPr>
                <w:rFonts w:hint="default"/>
                <w:lang w:val="en-US" w:eastAsia="zh-CN"/>
              </w:rPr>
            </w:pPr>
            <w:r>
              <w:rPr>
                <w:rFonts w:hint="eastAsia"/>
                <w:lang w:val="en-US" w:eastAsia="zh-CN"/>
              </w:rPr>
              <w:t>2.12</w:t>
            </w:r>
            <w:r>
              <w:t>档案管理模块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188B099F">
            <w:pPr>
              <w:jc w:val="left"/>
              <w:rPr>
                <w:rFonts w:hint="eastAsia"/>
                <w:lang w:val="en-US" w:eastAsia="zh-CN"/>
              </w:rPr>
            </w:pPr>
            <w:r>
              <w:rPr>
                <w:rFonts w:hint="default"/>
              </w:rPr>
              <w:t>显隐列：支持自由配置档案显示内容，可控制表内数据显隐，自定义显隐列、表单内容及表结构。</w:t>
            </w:r>
          </w:p>
        </w:tc>
      </w:tr>
      <w:tr w14:paraId="0500B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406A5F05">
            <w:pPr>
              <w:jc w:val="center"/>
              <w:rPr>
                <w:rFonts w:hint="eastAsia"/>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18FD1E91">
            <w:pPr>
              <w:jc w:val="center"/>
              <w:rPr>
                <w:rFonts w:hint="default"/>
                <w:lang w:val="en-US" w:eastAsia="zh-CN"/>
              </w:rPr>
            </w:pPr>
            <w:r>
              <w:rPr>
                <w:rFonts w:hint="eastAsia"/>
                <w:lang w:val="en-US" w:eastAsia="zh-CN"/>
              </w:rPr>
              <w:t>2.13</w:t>
            </w:r>
            <w:r>
              <w:t>档案管理模块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695EE424">
            <w:pPr>
              <w:jc w:val="left"/>
              <w:rPr>
                <w:rFonts w:hint="eastAsia"/>
                <w:lang w:val="en-US" w:eastAsia="zh-CN"/>
              </w:rPr>
            </w:pPr>
            <w:r>
              <w:rPr>
                <w:rFonts w:hint="default"/>
              </w:rPr>
              <w:t>条目检测：通过选择，可自动根据当前选中项目监测条目数据，检测档案条目是否存在缺失。</w:t>
            </w:r>
          </w:p>
        </w:tc>
      </w:tr>
      <w:tr w14:paraId="2AD8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6C5A1359">
            <w:pPr>
              <w:jc w:val="center"/>
              <w:rPr>
                <w:rFonts w:hint="eastAsia"/>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60203C40">
            <w:pPr>
              <w:jc w:val="center"/>
              <w:rPr>
                <w:rFonts w:hint="default"/>
                <w:lang w:val="en-US" w:eastAsia="zh-CN"/>
              </w:rPr>
            </w:pPr>
            <w:r>
              <w:rPr>
                <w:rFonts w:hint="eastAsia"/>
                <w:lang w:val="en-US" w:eastAsia="zh-CN"/>
              </w:rPr>
              <w:t>2.14</w:t>
            </w:r>
            <w:r>
              <w:t>档案管理模块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1C652B4C">
            <w:pPr>
              <w:jc w:val="left"/>
              <w:rPr>
                <w:rFonts w:hint="eastAsia"/>
                <w:lang w:val="en-US" w:eastAsia="zh-CN"/>
              </w:rPr>
            </w:pPr>
            <w:r>
              <w:rPr>
                <w:rFonts w:hint="default"/>
              </w:rPr>
              <w:t>影像检测：用于检测档案对应的影像是否缺失，可自动排查未导入影像的档案并通过 excel 提示，以便补漏。</w:t>
            </w:r>
          </w:p>
        </w:tc>
      </w:tr>
      <w:tr w14:paraId="47E9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46352091">
            <w:pPr>
              <w:jc w:val="center"/>
              <w:rPr>
                <w:rFonts w:hint="eastAsia"/>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EFC1845">
            <w:pPr>
              <w:jc w:val="center"/>
              <w:rPr>
                <w:rFonts w:hint="default"/>
                <w:lang w:val="en-US" w:eastAsia="zh-CN"/>
              </w:rPr>
            </w:pPr>
            <w:r>
              <w:rPr>
                <w:rFonts w:hint="eastAsia"/>
                <w:lang w:val="en-US" w:eastAsia="zh-CN"/>
              </w:rPr>
              <w:t>2.15</w:t>
            </w:r>
            <w:r>
              <w:t>档案管理模块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354F1B2A">
            <w:pPr>
              <w:jc w:val="left"/>
              <w:rPr>
                <w:rFonts w:hint="eastAsia"/>
                <w:lang w:val="en-US" w:eastAsia="zh-CN"/>
              </w:rPr>
            </w:pPr>
            <w:r>
              <w:rPr>
                <w:rFonts w:hint="default"/>
              </w:rPr>
              <w:t>高级搜索：可添加多个条件进行档案搜索，支持全文检索、单条件查询、多条件查询、高级查询等方式。</w:t>
            </w:r>
          </w:p>
        </w:tc>
      </w:tr>
      <w:tr w14:paraId="5404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47AB0DE6">
            <w:pPr>
              <w:jc w:val="center"/>
              <w:rPr>
                <w:rFonts w:hint="eastAsia"/>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7ECE90D0">
            <w:pPr>
              <w:jc w:val="center"/>
              <w:rPr>
                <w:rFonts w:hint="default"/>
                <w:lang w:val="en-US" w:eastAsia="zh-CN"/>
              </w:rPr>
            </w:pPr>
            <w:r>
              <w:rPr>
                <w:rFonts w:hint="eastAsia"/>
                <w:lang w:val="en-US" w:eastAsia="zh-CN"/>
              </w:rPr>
              <w:t>2.16</w:t>
            </w:r>
            <w:r>
              <w:t>档案管理模块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04928158">
            <w:pPr>
              <w:jc w:val="left"/>
              <w:rPr>
                <w:rFonts w:hint="eastAsia"/>
                <w:lang w:val="en-US" w:eastAsia="zh-CN"/>
              </w:rPr>
            </w:pPr>
            <w:r>
              <w:rPr>
                <w:rFonts w:hint="default"/>
              </w:rPr>
              <w:t>自动挂接：将影像数据放置在对应文件下，点击按钮可实现影像数据自动挂接，全自动匹配挂接对应档案号下的影像数据。</w:t>
            </w:r>
          </w:p>
        </w:tc>
      </w:tr>
      <w:tr w14:paraId="3267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12CEB8EC">
            <w:pPr>
              <w:jc w:val="center"/>
              <w:rPr>
                <w:rFonts w:hint="eastAsia"/>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70804B32">
            <w:pPr>
              <w:jc w:val="center"/>
              <w:rPr>
                <w:rFonts w:hint="default"/>
                <w:lang w:val="en-US" w:eastAsia="zh-CN"/>
              </w:rPr>
            </w:pPr>
            <w:r>
              <w:rPr>
                <w:rFonts w:hint="eastAsia"/>
                <w:lang w:val="en-US" w:eastAsia="zh-CN"/>
              </w:rPr>
              <w:t>2.17</w:t>
            </w:r>
            <w:r>
              <w:t>档案管理模块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6807E4C7">
            <w:pPr>
              <w:jc w:val="left"/>
              <w:rPr>
                <w:rFonts w:hint="eastAsia"/>
                <w:lang w:val="en-US" w:eastAsia="zh-CN"/>
              </w:rPr>
            </w:pPr>
            <w:r>
              <w:rPr>
                <w:rFonts w:hint="default"/>
              </w:rPr>
              <w:t>转移及归档：可将档案转移至其他档案目录，管理员账号可统一从预归档档案发送到已竣工程内。</w:t>
            </w:r>
          </w:p>
        </w:tc>
      </w:tr>
      <w:tr w14:paraId="2B8C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325A22B9">
            <w:pPr>
              <w:jc w:val="center"/>
              <w:rPr>
                <w:rFonts w:hint="eastAsia"/>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F6F6339">
            <w:pPr>
              <w:jc w:val="center"/>
              <w:rPr>
                <w:rFonts w:hint="default"/>
                <w:lang w:val="en-US" w:eastAsia="zh-CN"/>
              </w:rPr>
            </w:pPr>
            <w:r>
              <w:rPr>
                <w:rFonts w:hint="eastAsia"/>
                <w:lang w:val="en-US" w:eastAsia="zh-CN"/>
              </w:rPr>
              <w:t>2.18</w:t>
            </w:r>
            <w:r>
              <w:t>档案管理模块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09A99664">
            <w:pPr>
              <w:jc w:val="left"/>
              <w:rPr>
                <w:rFonts w:hint="eastAsia"/>
                <w:lang w:val="en-US" w:eastAsia="zh-CN"/>
              </w:rPr>
            </w:pPr>
            <w:r>
              <w:rPr>
                <w:rFonts w:hint="default"/>
              </w:rPr>
              <w:t>在线预览：支持上传电子文件的在线预览。</w:t>
            </w:r>
          </w:p>
        </w:tc>
      </w:tr>
      <w:tr w14:paraId="7215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5BCBF4E8">
            <w:pPr>
              <w:jc w:val="center"/>
              <w:rPr>
                <w:rFonts w:hint="eastAsia"/>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2F97B8A">
            <w:pPr>
              <w:jc w:val="center"/>
              <w:rPr>
                <w:rFonts w:hint="default"/>
                <w:lang w:val="en-US" w:eastAsia="zh-CN"/>
              </w:rPr>
            </w:pPr>
            <w:r>
              <w:rPr>
                <w:rFonts w:hint="eastAsia"/>
                <w:lang w:val="en-US" w:eastAsia="zh-CN"/>
              </w:rPr>
              <w:t>2.19</w:t>
            </w:r>
            <w:r>
              <w:t>档案管理模块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08EF9AB5">
            <w:pPr>
              <w:jc w:val="left"/>
              <w:rPr>
                <w:rFonts w:hint="eastAsia"/>
                <w:lang w:val="en-US" w:eastAsia="zh-CN"/>
              </w:rPr>
            </w:pPr>
            <w:r>
              <w:rPr>
                <w:rFonts w:hint="default"/>
              </w:rPr>
              <w:t>表样式调节：支持通过鼠标拖拽表列，随意改动表的展现形式。</w:t>
            </w:r>
          </w:p>
        </w:tc>
      </w:tr>
      <w:tr w14:paraId="2A5DC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05D5CAF1">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15BDB45B">
            <w:pPr>
              <w:jc w:val="center"/>
              <w:rPr>
                <w:rFonts w:hint="default" w:eastAsiaTheme="minorEastAsia"/>
                <w:lang w:val="en-US" w:eastAsia="zh-CN"/>
              </w:rPr>
            </w:pPr>
            <w:r>
              <w:rPr>
                <w:rFonts w:hint="eastAsia"/>
                <w:lang w:val="en-US" w:eastAsia="zh-CN"/>
              </w:rPr>
              <w:t>2.20</w:t>
            </w:r>
            <w:r>
              <w:t>档案管理模块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392A8E29">
            <w:pPr>
              <w:jc w:val="left"/>
              <w:rPr>
                <w:rFonts w:hint="default"/>
              </w:rPr>
            </w:pPr>
            <w:r>
              <w:rPr>
                <w:rFonts w:hint="default"/>
              </w:rPr>
              <w:t>档案导出：可通过导出模块导出档案，自动打包并导出 excel 表供查看；支持根据需要选择字段，批量导出档案案卷 / 文件的电子表格目录。</w:t>
            </w:r>
          </w:p>
        </w:tc>
      </w:tr>
      <w:tr w14:paraId="57728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2C9C848B">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4A56EA36">
            <w:pPr>
              <w:jc w:val="center"/>
              <w:rPr>
                <w:rFonts w:hint="default" w:eastAsiaTheme="minorEastAsia"/>
                <w:lang w:val="en-US" w:eastAsia="zh-CN"/>
              </w:rPr>
            </w:pPr>
            <w:r>
              <w:rPr>
                <w:rFonts w:hint="eastAsia"/>
                <w:lang w:val="en-US" w:eastAsia="zh-CN"/>
              </w:rPr>
              <w:t>2.21</w:t>
            </w:r>
            <w:r>
              <w:t>档案管理模块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326B8941">
            <w:pPr>
              <w:jc w:val="left"/>
            </w:pPr>
            <w:r>
              <w:rPr>
                <w:rFonts w:hint="default"/>
              </w:rPr>
              <w:t>附件操作：支持查看和下载档案电子内容（文档、图片、音频、视频）。</w:t>
            </w:r>
          </w:p>
          <w:p w14:paraId="792E8E82">
            <w:pPr>
              <w:jc w:val="left"/>
              <w:rPr>
                <w:rFonts w:hint="default"/>
              </w:rPr>
            </w:pPr>
            <w:r>
              <w:rPr>
                <w:rFonts w:hint="default"/>
              </w:rPr>
              <w:t>全文检索数据库导入：导入档案时同时导入对应 pdf 文本内容到全文源数据库，便于全文检索时直接查询档案内部文件。</w:t>
            </w:r>
          </w:p>
        </w:tc>
      </w:tr>
      <w:tr w14:paraId="3B73C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3D8C42A7">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6C0F9F73">
            <w:pPr>
              <w:jc w:val="center"/>
              <w:rPr>
                <w:rFonts w:hint="default" w:eastAsiaTheme="minorEastAsia"/>
                <w:lang w:val="en-US" w:eastAsia="zh-CN"/>
              </w:rPr>
            </w:pPr>
            <w:r>
              <w:rPr>
                <w:rFonts w:hint="eastAsia"/>
                <w:lang w:val="en-US" w:eastAsia="zh-CN"/>
              </w:rPr>
              <w:t>2.22</w:t>
            </w:r>
            <w:r>
              <w:t>档案管理模块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4BA15187">
            <w:pPr>
              <w:jc w:val="left"/>
            </w:pPr>
            <w:r>
              <w:rPr>
                <w:rFonts w:hint="default"/>
              </w:rPr>
              <w:t>水印管理：自动为上传的电子文件添加文字或图片水印，水印的大小、位置、透明度可调，确保电子文件在查询、打印时的真实性与有效性。</w:t>
            </w:r>
          </w:p>
          <w:p w14:paraId="1A9F98E3">
            <w:pPr>
              <w:jc w:val="left"/>
              <w:rPr>
                <w:rFonts w:hint="default"/>
              </w:rPr>
            </w:pPr>
            <w:r>
              <w:rPr>
                <w:rFonts w:hint="default"/>
              </w:rPr>
              <w:t>查询及打印记录管理：对所有查询、预览、打印操作存储至数据库，可精确定位查阅人及时间，保障档案安全性及记录使用情况。</w:t>
            </w:r>
          </w:p>
        </w:tc>
      </w:tr>
      <w:tr w14:paraId="06A2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66B06898">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12EAC582">
            <w:pPr>
              <w:jc w:val="center"/>
              <w:rPr>
                <w:rFonts w:hint="eastAsia"/>
                <w:lang w:val="en-US" w:eastAsia="zh-CN"/>
              </w:rPr>
            </w:pPr>
            <w:r>
              <w:rPr>
                <w:rFonts w:hint="eastAsia"/>
                <w:lang w:val="en-US" w:eastAsia="zh-CN"/>
              </w:rPr>
              <w:t>2.23</w:t>
            </w:r>
            <w:r>
              <w:t>档案查询模块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47B200E7">
            <w:pPr>
              <w:jc w:val="left"/>
              <w:rPr>
                <w:rFonts w:hint="default"/>
              </w:rPr>
            </w:pPr>
            <w:r>
              <w:t>全文检索：可选择档案表，输入关键词（用空格相连）对所有门类档案检索，在线提取常用文本内容实现全文检索，检索文字在文本中高亮显示，结果可按档案表排序显示，支持多关键词 “或” 检索及记录常用搜索关键词。</w:t>
            </w:r>
          </w:p>
        </w:tc>
      </w:tr>
      <w:tr w14:paraId="6A5D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0F97FB07">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B506E58">
            <w:pPr>
              <w:jc w:val="center"/>
            </w:pPr>
            <w:r>
              <w:rPr>
                <w:rFonts w:hint="eastAsia"/>
                <w:lang w:val="en-US" w:eastAsia="zh-CN"/>
              </w:rPr>
              <w:t>2.24</w:t>
            </w:r>
            <w:r>
              <w:t>档案查询模块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33B5A8B7">
            <w:pPr>
              <w:jc w:val="left"/>
              <w:rPr>
                <w:rFonts w:hint="default"/>
              </w:rPr>
            </w:pPr>
            <w:r>
              <w:rPr>
                <w:rFonts w:hint="default"/>
              </w:rPr>
              <w:t>单条件查询：根据档案表内输入的著录项进行查询。</w:t>
            </w:r>
          </w:p>
        </w:tc>
      </w:tr>
      <w:tr w14:paraId="694FC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1021CE79">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747B230A">
            <w:pPr>
              <w:jc w:val="center"/>
              <w:rPr>
                <w:rFonts w:hint="default"/>
              </w:rPr>
            </w:pPr>
            <w:r>
              <w:rPr>
                <w:rFonts w:hint="eastAsia"/>
                <w:lang w:val="en-US" w:eastAsia="zh-CN"/>
              </w:rPr>
              <w:t>2.25</w:t>
            </w:r>
            <w:r>
              <w:t>档案查询模块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4591AD16">
            <w:pPr>
              <w:jc w:val="left"/>
              <w:rPr>
                <w:rFonts w:hint="eastAsia"/>
                <w:lang w:val="en-US" w:eastAsia="zh-CN"/>
              </w:rPr>
            </w:pPr>
            <w:r>
              <w:rPr>
                <w:rFonts w:hint="default"/>
              </w:rPr>
              <w:t>多条件查询：根据档案表内输入的著录项，通过添加条件功能组合多个关键字进行查询。</w:t>
            </w:r>
          </w:p>
        </w:tc>
      </w:tr>
      <w:tr w14:paraId="5867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677A28BC">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43AB0E2">
            <w:pPr>
              <w:jc w:val="center"/>
              <w:rPr>
                <w:rFonts w:hint="default"/>
              </w:rPr>
            </w:pPr>
            <w:r>
              <w:rPr>
                <w:rFonts w:hint="eastAsia"/>
                <w:lang w:val="en-US" w:eastAsia="zh-CN"/>
              </w:rPr>
              <w:t>2.26</w:t>
            </w:r>
            <w:r>
              <w:t>档案查询模块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067ED37E">
            <w:pPr>
              <w:jc w:val="left"/>
              <w:rPr>
                <w:rFonts w:hint="default"/>
              </w:rPr>
            </w:pPr>
            <w:r>
              <w:rPr>
                <w:rFonts w:hint="default"/>
              </w:rPr>
              <w:t>高级查询：根据不同档案分类表、查询项进行多条件组合查询，支持与、或条件的精确、模糊检索。</w:t>
            </w:r>
          </w:p>
        </w:tc>
      </w:tr>
      <w:tr w14:paraId="6684C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4AABEF4D">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6D4BFCDF">
            <w:pPr>
              <w:jc w:val="center"/>
              <w:rPr>
                <w:rFonts w:hint="default"/>
              </w:rPr>
            </w:pPr>
            <w:r>
              <w:rPr>
                <w:rFonts w:hint="eastAsia"/>
                <w:lang w:val="en-US" w:eastAsia="zh-CN"/>
              </w:rPr>
              <w:t>2.27</w:t>
            </w:r>
            <w:r>
              <w:t>档案查询模块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2129C699">
            <w:pPr>
              <w:jc w:val="left"/>
              <w:rPr>
                <w:rFonts w:hint="default"/>
              </w:rPr>
            </w:pPr>
            <w:r>
              <w:rPr>
                <w:rFonts w:hint="default"/>
              </w:rPr>
              <w:t>库内查询：根据选择的档案库进行细分的库内查询和排除查询，通过选择库内 / 其他库快速排查检索对应文件及档案。</w:t>
            </w:r>
          </w:p>
        </w:tc>
      </w:tr>
      <w:tr w14:paraId="6B96C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302B6DC0">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74C92576">
            <w:pPr>
              <w:jc w:val="center"/>
              <w:rPr>
                <w:rFonts w:hint="default"/>
              </w:rPr>
            </w:pPr>
            <w:r>
              <w:rPr>
                <w:rFonts w:hint="eastAsia"/>
                <w:lang w:val="en-US" w:eastAsia="zh-CN"/>
              </w:rPr>
              <w:t>2.28</w:t>
            </w:r>
            <w:r>
              <w:t>档案查询模块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79F0697B">
            <w:pPr>
              <w:jc w:val="left"/>
              <w:rPr>
                <w:rFonts w:hint="eastAsia"/>
                <w:lang w:eastAsia="zh-CN"/>
              </w:rPr>
            </w:pPr>
            <w:r>
              <w:rPr>
                <w:rFonts w:hint="default"/>
              </w:rPr>
              <w:t>门类查询：根据选择的档案库内具体门类进行细节查询，精确到门类工程。</w:t>
            </w:r>
          </w:p>
        </w:tc>
      </w:tr>
      <w:tr w14:paraId="23FC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1B09CAB4">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75D47926">
            <w:pPr>
              <w:jc w:val="center"/>
              <w:rPr>
                <w:rFonts w:hint="default"/>
              </w:rPr>
            </w:pPr>
            <w:r>
              <w:rPr>
                <w:rFonts w:hint="eastAsia"/>
                <w:lang w:val="en-US" w:eastAsia="zh-CN"/>
              </w:rPr>
              <w:t>2.29</w:t>
            </w:r>
            <w:r>
              <w:t>档案查询模块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64C9D302">
            <w:pPr>
              <w:jc w:val="left"/>
              <w:rPr>
                <w:rFonts w:hint="default"/>
              </w:rPr>
            </w:pPr>
            <w:r>
              <w:rPr>
                <w:rFonts w:hint="default"/>
              </w:rPr>
              <w:t>查询记录统计：记录所有查询操作及回溯，可查看查询历史、时间及对应档案名称。</w:t>
            </w:r>
          </w:p>
        </w:tc>
      </w:tr>
      <w:tr w14:paraId="5E864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799ECB15">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5E1CE34F">
            <w:pPr>
              <w:jc w:val="center"/>
              <w:rPr>
                <w:rFonts w:hint="eastAsia"/>
                <w:lang w:val="en-US" w:eastAsia="zh-CN"/>
              </w:rPr>
            </w:pPr>
            <w:r>
              <w:rPr>
                <w:rFonts w:hint="eastAsia"/>
                <w:lang w:val="en-US" w:eastAsia="zh-CN"/>
              </w:rPr>
              <w:t>2.30</w:t>
            </w:r>
            <w:r>
              <w:t>档案配置模块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589FFFED">
            <w:pPr>
              <w:jc w:val="left"/>
              <w:rPr>
                <w:rFonts w:hint="default"/>
              </w:rPr>
            </w:pPr>
            <w:r>
              <w:t>可自定义表结构，支持导入所有档案，系统默认提供国标数据格式支持，也可自定义调整表结构、新增字段，自定义档号生成规则、表字段内容及档案目录层级结构，适配往期及规格变换下的档案导入（如文书档案旧制与新制度的格式变动、已实体化文档二次导入等）。</w:t>
            </w:r>
          </w:p>
        </w:tc>
      </w:tr>
      <w:tr w14:paraId="62AAB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587E8B3E">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4A4FBB4B">
            <w:pPr>
              <w:jc w:val="center"/>
              <w:rPr>
                <w:rFonts w:hint="eastAsia"/>
                <w:lang w:val="en-US" w:eastAsia="zh-CN"/>
              </w:rPr>
            </w:pPr>
            <w:r>
              <w:rPr>
                <w:rFonts w:hint="eastAsia"/>
                <w:lang w:val="en-US" w:eastAsia="zh-CN"/>
              </w:rPr>
              <w:t>2.31</w:t>
            </w:r>
            <w:r>
              <w:t>档案配置模块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7CCFA292">
            <w:pPr>
              <w:jc w:val="left"/>
              <w:rPr>
                <w:rFonts w:hint="default"/>
              </w:rPr>
            </w:pPr>
            <w:r>
              <w:t>单位配置：配置系统使用单位的基础信息。</w:t>
            </w:r>
          </w:p>
        </w:tc>
      </w:tr>
      <w:tr w14:paraId="2D1F0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5D273A6B">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2964D59F">
            <w:pPr>
              <w:jc w:val="center"/>
            </w:pPr>
            <w:r>
              <w:rPr>
                <w:rFonts w:hint="eastAsia"/>
                <w:lang w:val="en-US" w:eastAsia="zh-CN"/>
              </w:rPr>
              <w:t>2.32</w:t>
            </w:r>
            <w:r>
              <w:t>档案配置模块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4F6B67DC">
            <w:pPr>
              <w:jc w:val="left"/>
              <w:rPr>
                <w:rFonts w:hint="default"/>
              </w:rPr>
            </w:pPr>
            <w:r>
              <w:rPr>
                <w:rFonts w:hint="default"/>
              </w:rPr>
              <w:t>目录管理：可创建多层级档案目录类别，不同级别目录可调整。</w:t>
            </w:r>
          </w:p>
        </w:tc>
      </w:tr>
      <w:tr w14:paraId="060A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00AB457B">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3BBDA2A2">
            <w:pPr>
              <w:jc w:val="center"/>
              <w:rPr>
                <w:rFonts w:hint="default"/>
              </w:rPr>
            </w:pPr>
            <w:r>
              <w:rPr>
                <w:rFonts w:hint="eastAsia"/>
                <w:lang w:val="en-US" w:eastAsia="zh-CN"/>
              </w:rPr>
              <w:t>2.33</w:t>
            </w:r>
            <w:r>
              <w:t>档案配置模块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4CE464BC">
            <w:pPr>
              <w:jc w:val="left"/>
              <w:rPr>
                <w:rFonts w:hint="eastAsia"/>
                <w:lang w:val="en-US" w:eastAsia="zh-CN"/>
              </w:rPr>
            </w:pPr>
            <w:r>
              <w:rPr>
                <w:rFonts w:hint="default"/>
              </w:rPr>
              <w:t>表字段设置：用于设置对应档案的著录项，支持手动设置和批量导入设置，支持著录项覆盖功能（可复制系统中其他档案的著录项设置）。</w:t>
            </w:r>
          </w:p>
        </w:tc>
      </w:tr>
      <w:tr w14:paraId="55B7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78203426">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6727B0A9">
            <w:pPr>
              <w:jc w:val="center"/>
              <w:rPr>
                <w:rFonts w:hint="default"/>
              </w:rPr>
            </w:pPr>
            <w:r>
              <w:rPr>
                <w:rFonts w:hint="eastAsia"/>
                <w:lang w:val="en-US" w:eastAsia="zh-CN"/>
              </w:rPr>
              <w:t>2.34</w:t>
            </w:r>
            <w:r>
              <w:t>档案配置模块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7CE7E40D">
            <w:pPr>
              <w:jc w:val="left"/>
              <w:rPr>
                <w:rFonts w:hint="default"/>
              </w:rPr>
            </w:pPr>
            <w:r>
              <w:rPr>
                <w:rFonts w:hint="default"/>
              </w:rPr>
              <w:t>档号管理：可创建多层级档案的档号生成规则，档号结构能反映档案层级、类别和归档时间等，支持根据多维度生成层级化档号，可自定义规则，支持二次导入时适配新档号规则无需变更表结构。</w:t>
            </w:r>
          </w:p>
        </w:tc>
      </w:tr>
      <w:tr w14:paraId="38EBA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4F3CF19D">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1390CB52">
            <w:pPr>
              <w:jc w:val="center"/>
            </w:pPr>
            <w:r>
              <w:rPr>
                <w:rFonts w:hint="eastAsia"/>
                <w:lang w:val="en-US" w:eastAsia="zh-CN"/>
              </w:rPr>
              <w:t>2.35</w:t>
            </w:r>
            <w:r>
              <w:t>档案统计模块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4751F7A7">
            <w:pPr>
              <w:jc w:val="left"/>
            </w:pPr>
            <w:r>
              <w:t>多维统计：可根据年度、录入时间、类别、保管期限、密级、单位等</w:t>
            </w:r>
          </w:p>
          <w:p w14:paraId="24D01B0B">
            <w:pPr>
              <w:jc w:val="left"/>
              <w:rPr>
                <w:rFonts w:hint="default"/>
              </w:rPr>
            </w:pPr>
            <w:r>
              <w:t>字段进行单条件或多条件组合统计。</w:t>
            </w:r>
          </w:p>
        </w:tc>
      </w:tr>
      <w:tr w14:paraId="6C721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3190B1AE">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3772A0D">
            <w:pPr>
              <w:jc w:val="center"/>
            </w:pPr>
            <w:r>
              <w:rPr>
                <w:rFonts w:hint="eastAsia"/>
                <w:lang w:val="en-US" w:eastAsia="zh-CN"/>
              </w:rPr>
              <w:t>2.36</w:t>
            </w:r>
            <w:r>
              <w:t>档案统计模块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084BAA77">
            <w:pPr>
              <w:jc w:val="left"/>
              <w:rPr>
                <w:rFonts w:hint="default"/>
              </w:rPr>
            </w:pPr>
            <w:r>
              <w:rPr>
                <w:rFonts w:hint="default"/>
              </w:rPr>
              <w:t>跨表统计：能灵活选定、添加统计范围，进行单表或多表联合统计，可选择表、表的类别、部分案卷等作为统计范围。</w:t>
            </w:r>
          </w:p>
        </w:tc>
      </w:tr>
      <w:tr w14:paraId="5C24F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3EA94F26">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4AC6B792">
            <w:pPr>
              <w:jc w:val="center"/>
              <w:rPr>
                <w:rFonts w:hint="default"/>
              </w:rPr>
            </w:pPr>
            <w:r>
              <w:rPr>
                <w:rFonts w:hint="eastAsia"/>
                <w:lang w:val="en-US" w:eastAsia="zh-CN"/>
              </w:rPr>
              <w:t>2.37</w:t>
            </w:r>
            <w:r>
              <w:t>档案统计模块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6E5FE370">
            <w:pPr>
              <w:jc w:val="left"/>
              <w:rPr>
                <w:rFonts w:hint="default"/>
              </w:rPr>
            </w:pPr>
            <w:r>
              <w:rPr>
                <w:rFonts w:hint="default"/>
              </w:rPr>
              <w:t>报表统计：可统计所有馆藏数据，包括案卷数、文件数、数字化案卷数、数字化文件数、PDF 附件总页数、图片数、媒体数、数字化占比等。</w:t>
            </w:r>
          </w:p>
        </w:tc>
      </w:tr>
      <w:tr w14:paraId="3AD41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6393A898">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1FEA84D7">
            <w:pPr>
              <w:jc w:val="center"/>
              <w:rPr>
                <w:rFonts w:hint="default"/>
              </w:rPr>
            </w:pPr>
            <w:r>
              <w:rPr>
                <w:rFonts w:hint="eastAsia"/>
                <w:lang w:val="en-US" w:eastAsia="zh-CN"/>
              </w:rPr>
              <w:t>2.38</w:t>
            </w:r>
            <w:r>
              <w:t>档案统计模块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6379BEED">
            <w:pPr>
              <w:jc w:val="left"/>
              <w:rPr>
                <w:rFonts w:hint="default"/>
              </w:rPr>
            </w:pPr>
            <w:r>
              <w:rPr>
                <w:rFonts w:hint="default"/>
              </w:rPr>
              <w:t>利用统计：统计档案利用的目的、类型、人员（人次、类别）、卷次、复制数量等情况，数据来源包含档案系统和档案远程服务系统，便于多角度分析。</w:t>
            </w:r>
          </w:p>
        </w:tc>
      </w:tr>
      <w:tr w14:paraId="6078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34A8BA3A">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3DC9F1F">
            <w:pPr>
              <w:jc w:val="center"/>
              <w:rPr>
                <w:rFonts w:hint="default"/>
              </w:rPr>
            </w:pPr>
            <w:r>
              <w:rPr>
                <w:rFonts w:hint="eastAsia"/>
                <w:lang w:val="en-US" w:eastAsia="zh-CN"/>
              </w:rPr>
              <w:t>2.39</w:t>
            </w:r>
            <w:r>
              <w:t>档案统计模块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2B7DA36C">
            <w:pPr>
              <w:jc w:val="left"/>
              <w:rPr>
                <w:rFonts w:hint="default"/>
              </w:rPr>
            </w:pPr>
            <w:r>
              <w:rPr>
                <w:rFonts w:hint="default"/>
              </w:rPr>
              <w:t>统计图形：统计结果可通过柱状图、饼状图、曲线图等图形化方式展示。</w:t>
            </w:r>
          </w:p>
        </w:tc>
      </w:tr>
      <w:tr w14:paraId="6C115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50E9DAB8">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64583E62">
            <w:pPr>
              <w:jc w:val="center"/>
              <w:rPr>
                <w:rFonts w:hint="default"/>
              </w:rPr>
            </w:pPr>
            <w:r>
              <w:rPr>
                <w:rFonts w:hint="eastAsia"/>
                <w:lang w:val="en-US" w:eastAsia="zh-CN"/>
              </w:rPr>
              <w:t>2.40</w:t>
            </w:r>
            <w:r>
              <w:t>档案统计模块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6954D862">
            <w:pPr>
              <w:jc w:val="left"/>
              <w:rPr>
                <w:rFonts w:hint="default"/>
              </w:rPr>
            </w:pPr>
            <w:r>
              <w:rPr>
                <w:rFonts w:hint="default"/>
              </w:rPr>
              <w:t>年报统计：支持年报自定义编辑，可在线生成并导出档案年报。</w:t>
            </w:r>
          </w:p>
        </w:tc>
      </w:tr>
      <w:tr w14:paraId="2282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40BA803A">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75C8A646">
            <w:pPr>
              <w:jc w:val="center"/>
            </w:pPr>
            <w:r>
              <w:rPr>
                <w:rFonts w:hint="eastAsia"/>
                <w:lang w:val="en-US" w:eastAsia="zh-CN"/>
              </w:rPr>
              <w:t>2.41</w:t>
            </w:r>
            <w:r>
              <w:t>个人中心</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2AF9FDAF">
            <w:pPr>
              <w:jc w:val="left"/>
              <w:rPr>
                <w:rFonts w:hint="default"/>
              </w:rPr>
            </w:pPr>
            <w:r>
              <w:t>个人信息：显示账号及个人信息，提供基本资料及密码修改功能，用于分配角色和部门、查询个人信息等。</w:t>
            </w:r>
          </w:p>
        </w:tc>
      </w:tr>
      <w:tr w14:paraId="73E7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4D673C70">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DE5AE48">
            <w:pPr>
              <w:jc w:val="center"/>
            </w:pPr>
            <w:r>
              <w:rPr>
                <w:rFonts w:hint="eastAsia"/>
                <w:lang w:val="en-US" w:eastAsia="zh-CN"/>
              </w:rPr>
              <w:t>2.42</w:t>
            </w:r>
            <w:r>
              <w:t>个人中心</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7B645423">
            <w:pPr>
              <w:jc w:val="left"/>
              <w:rPr>
                <w:rFonts w:hint="default"/>
              </w:rPr>
            </w:pPr>
            <w:r>
              <w:rPr>
                <w:rFonts w:hint="eastAsia" w:ascii="仿宋" w:hAnsi="仿宋" w:eastAsia="仿宋" w:cs="仿宋"/>
                <w:sz w:val="24"/>
                <w:szCs w:val="24"/>
                <w:lang w:val="en-US" w:eastAsia="zh-CN"/>
              </w:rPr>
              <w:t>★</w:t>
            </w:r>
            <w:r>
              <w:rPr>
                <w:rFonts w:hint="default"/>
              </w:rPr>
              <w:t>借阅审批：显示档案借阅信息，包括档案档号、借阅材料、借阅类型、借阅状态、申请人信息、借阅期限及审批停留时间等，档案管理员可进行审批操作。</w:t>
            </w:r>
          </w:p>
        </w:tc>
      </w:tr>
      <w:tr w14:paraId="3DFB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2F70FD71">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6824DB1B">
            <w:pPr>
              <w:jc w:val="center"/>
              <w:rPr>
                <w:rFonts w:hint="default"/>
              </w:rPr>
            </w:pPr>
            <w:r>
              <w:rPr>
                <w:rFonts w:hint="eastAsia"/>
                <w:lang w:val="en-US" w:eastAsia="zh-CN"/>
              </w:rPr>
              <w:t>2.43</w:t>
            </w:r>
            <w:r>
              <w:t>个人中心</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70C00A11">
            <w:pPr>
              <w:jc w:val="left"/>
              <w:rPr>
                <w:rFonts w:hint="default"/>
              </w:rPr>
            </w:pPr>
            <w:r>
              <w:rPr>
                <w:rFonts w:hint="default"/>
              </w:rPr>
              <w:t>我的借阅：显示申请人所有档案借阅信息及审批进度。</w:t>
            </w:r>
          </w:p>
        </w:tc>
      </w:tr>
      <w:tr w14:paraId="462E8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5BC23C70">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372AE46">
            <w:pPr>
              <w:jc w:val="center"/>
              <w:rPr>
                <w:rFonts w:hint="default"/>
              </w:rPr>
            </w:pPr>
            <w:r>
              <w:rPr>
                <w:rFonts w:hint="eastAsia"/>
                <w:lang w:val="en-US" w:eastAsia="zh-CN"/>
              </w:rPr>
              <w:t>2.44</w:t>
            </w:r>
            <w:r>
              <w:t>个人中心</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24250F72">
            <w:pPr>
              <w:jc w:val="left"/>
              <w:rPr>
                <w:rFonts w:hint="default"/>
              </w:rPr>
            </w:pPr>
            <w:r>
              <w:rPr>
                <w:rFonts w:hint="default"/>
              </w:rPr>
              <w:t>档案归还提示：对申请人借阅的档案进行归还提示通知，可通过此模块归还及查看借阅状态。</w:t>
            </w:r>
          </w:p>
        </w:tc>
      </w:tr>
      <w:tr w14:paraId="030B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590EC4B7">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5225D299">
            <w:pPr>
              <w:jc w:val="center"/>
              <w:rPr>
                <w:rFonts w:hint="default"/>
              </w:rPr>
            </w:pPr>
            <w:r>
              <w:rPr>
                <w:rFonts w:hint="eastAsia"/>
                <w:lang w:val="en-US" w:eastAsia="zh-CN"/>
              </w:rPr>
              <w:t>2.45</w:t>
            </w:r>
            <w:r>
              <w:t>个人中心</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2C120A51">
            <w:pPr>
              <w:jc w:val="left"/>
              <w:rPr>
                <w:rFonts w:hint="default"/>
              </w:rPr>
            </w:pPr>
            <w:r>
              <w:rPr>
                <w:rFonts w:hint="default"/>
              </w:rPr>
              <w:t>模板打印：为单位及部门内统一案例表格提供打印及上传服务，如借阅台账、出入库台账、人员进出台账等的模板管理及打印。</w:t>
            </w:r>
          </w:p>
        </w:tc>
      </w:tr>
      <w:tr w14:paraId="1E45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003E5906">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29A3FF45">
            <w:pPr>
              <w:jc w:val="center"/>
              <w:rPr>
                <w:rFonts w:hint="default"/>
              </w:rPr>
            </w:pPr>
            <w:r>
              <w:rPr>
                <w:rFonts w:hint="eastAsia"/>
                <w:lang w:val="en-US" w:eastAsia="zh-CN"/>
              </w:rPr>
              <w:t>2.46</w:t>
            </w:r>
            <w:r>
              <w:t>个人中心</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3ECF96B3">
            <w:pPr>
              <w:jc w:val="left"/>
              <w:rPr>
                <w:rFonts w:hint="default"/>
              </w:rPr>
            </w:pPr>
            <w:r>
              <w:rPr>
                <w:rFonts w:hint="default"/>
              </w:rPr>
              <w:t>制度参考：提供库房制度、岗位制度等文件的基础制度文档查看功能。</w:t>
            </w:r>
          </w:p>
        </w:tc>
      </w:tr>
      <w:tr w14:paraId="20864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52FB4106">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85B68E3">
            <w:pPr>
              <w:jc w:val="center"/>
            </w:pPr>
            <w:r>
              <w:rPr>
                <w:rFonts w:hint="eastAsia"/>
                <w:lang w:val="en-US" w:eastAsia="zh-CN"/>
              </w:rPr>
              <w:t>2.47</w:t>
            </w:r>
            <w:r>
              <w:t>库房管理模块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08A9AFB2">
            <w:pPr>
              <w:jc w:val="left"/>
              <w:rPr>
                <w:rFonts w:hint="default"/>
              </w:rPr>
            </w:pPr>
            <w:r>
              <w:t>可视化展现库房库列结构，方便检索档案具体位置，快速查找实体档案。</w:t>
            </w:r>
          </w:p>
        </w:tc>
      </w:tr>
      <w:tr w14:paraId="4A9D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6732AFEC">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20A58025">
            <w:pPr>
              <w:jc w:val="center"/>
            </w:pPr>
            <w:r>
              <w:rPr>
                <w:rFonts w:hint="eastAsia"/>
                <w:lang w:val="en-US" w:eastAsia="zh-CN"/>
              </w:rPr>
              <w:t>2.48</w:t>
            </w:r>
            <w:r>
              <w:t>库房管理模块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788DA77A">
            <w:pPr>
              <w:jc w:val="left"/>
            </w:pPr>
            <w:r>
              <w:t>档案上架：电子档案可在系统中对档案文件目录进行上架操作，选择库房、区域和密集架，上架后系统自动添加对应库房密集架的存址。</w:t>
            </w:r>
          </w:p>
        </w:tc>
      </w:tr>
      <w:tr w14:paraId="2619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62B1314C">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4F21A266">
            <w:pPr>
              <w:jc w:val="center"/>
            </w:pPr>
            <w:r>
              <w:rPr>
                <w:rFonts w:hint="eastAsia"/>
                <w:lang w:val="en-US" w:eastAsia="zh-CN"/>
              </w:rPr>
              <w:t>2.49</w:t>
            </w:r>
            <w:r>
              <w:t>库房管理模块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5BA99C28">
            <w:pPr>
              <w:jc w:val="left"/>
            </w:pPr>
            <w:r>
              <w:rPr>
                <w:rFonts w:hint="default"/>
              </w:rPr>
              <w:t>库房管理：可添加、修改和删除库房。</w:t>
            </w:r>
          </w:p>
        </w:tc>
      </w:tr>
      <w:tr w14:paraId="5875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0D8EEC7A">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2CA20B58">
            <w:pPr>
              <w:jc w:val="center"/>
            </w:pPr>
            <w:r>
              <w:rPr>
                <w:rFonts w:hint="eastAsia"/>
                <w:lang w:val="en-US" w:eastAsia="zh-CN"/>
              </w:rPr>
              <w:t>2.50</w:t>
            </w:r>
            <w:r>
              <w:t>库房管理模块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38EBFEFE">
            <w:pPr>
              <w:jc w:val="left"/>
            </w:pPr>
            <w:r>
              <w:rPr>
                <w:rFonts w:hint="default"/>
              </w:rPr>
              <w:t>文件下架：对已上架的档案文件目录进行下架操作，下架后存址自动清空。</w:t>
            </w:r>
          </w:p>
        </w:tc>
      </w:tr>
      <w:tr w14:paraId="7305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129659BA">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AF17E5A">
            <w:pPr>
              <w:jc w:val="center"/>
            </w:pPr>
            <w:r>
              <w:rPr>
                <w:rFonts w:hint="eastAsia"/>
                <w:lang w:val="en-US" w:eastAsia="zh-CN"/>
              </w:rPr>
              <w:t>2.51</w:t>
            </w:r>
            <w:r>
              <w:t>专题数据库模块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083257BC">
            <w:pPr>
              <w:jc w:val="left"/>
            </w:pPr>
            <w:r>
              <w:rPr>
                <w:rFonts w:hint="eastAsia" w:ascii="仿宋" w:hAnsi="仿宋" w:eastAsia="仿宋" w:cs="仿宋"/>
                <w:sz w:val="24"/>
                <w:szCs w:val="24"/>
                <w:lang w:val="en-US" w:eastAsia="zh-CN"/>
              </w:rPr>
              <w:t>★</w:t>
            </w:r>
            <w:r>
              <w:t>专题数据库创建：用户可针对不同专题信息创建专题库，每个专题库包含多个关键字，系统根据关键字在档案库中检索匹配并汇总显示符合条件的数据。</w:t>
            </w:r>
          </w:p>
        </w:tc>
      </w:tr>
      <w:tr w14:paraId="55F93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7C232680">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7079CE5F">
            <w:pPr>
              <w:jc w:val="center"/>
            </w:pPr>
            <w:r>
              <w:rPr>
                <w:rFonts w:hint="eastAsia"/>
                <w:lang w:val="en-US" w:eastAsia="zh-CN"/>
              </w:rPr>
              <w:t>2.51</w:t>
            </w:r>
            <w:r>
              <w:t>专题数据库模块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4A4D75BD">
            <w:pPr>
              <w:jc w:val="left"/>
            </w:pPr>
            <w:r>
              <w:rPr>
                <w:rFonts w:hint="default"/>
              </w:rPr>
              <w:t>专题数据库自定义新增：支持自定义创建专题数据库，系统自动适配对应专题检索所有档案进行专题建设，链接文件，可查看具体档案位置及预览影像等。</w:t>
            </w:r>
          </w:p>
        </w:tc>
      </w:tr>
      <w:tr w14:paraId="3CA10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7A406602">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3CA9924D">
            <w:pPr>
              <w:jc w:val="center"/>
            </w:pPr>
            <w:r>
              <w:rPr>
                <w:rFonts w:hint="eastAsia"/>
                <w:lang w:val="en-US" w:eastAsia="zh-CN"/>
              </w:rPr>
              <w:t>2.51</w:t>
            </w:r>
            <w:r>
              <w:t>专题数据库模块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02C28F95">
            <w:pPr>
              <w:jc w:val="left"/>
            </w:pPr>
            <w:r>
              <w:rPr>
                <w:rFonts w:hint="default"/>
              </w:rPr>
              <w:t>专题数据库检索：支持通过关键字检索专题数据库中具体内容，便于管理及档案利用，快速查询定位档案位置。</w:t>
            </w:r>
          </w:p>
        </w:tc>
      </w:tr>
      <w:tr w14:paraId="456E9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73BD399F">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FF17A6F">
            <w:pPr>
              <w:jc w:val="center"/>
            </w:pPr>
            <w:r>
              <w:rPr>
                <w:rFonts w:hint="eastAsia"/>
                <w:lang w:val="en-US" w:eastAsia="zh-CN"/>
              </w:rPr>
              <w:t>2.52</w:t>
            </w:r>
            <w:r>
              <w:t>服务登记</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1B20A322">
            <w:pPr>
              <w:jc w:val="left"/>
            </w:pPr>
            <w:r>
              <w:t>查阅 / 借阅登记：系统根据各级别账号自动登记查 / 借档清单，全程在软件内完成借阅 / 外借、审批等流程，实时存档留根，记录相关信息，用户可通过借阅记录查看通过借阅的内容，限时开放查阅端口。</w:t>
            </w:r>
          </w:p>
        </w:tc>
      </w:tr>
      <w:tr w14:paraId="291B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1843DABA">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2075D913">
            <w:pPr>
              <w:jc w:val="center"/>
            </w:pPr>
            <w:r>
              <w:rPr>
                <w:rFonts w:hint="eastAsia"/>
                <w:lang w:val="en-US" w:eastAsia="zh-CN"/>
              </w:rPr>
              <w:t>2.53</w:t>
            </w:r>
            <w:r>
              <w:t>服务登记</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1E3F2815">
            <w:pPr>
              <w:jc w:val="left"/>
            </w:pPr>
            <w:r>
              <w:rPr>
                <w:rFonts w:hint="default"/>
              </w:rPr>
              <w:t>自助阅档：申请人通过借阅账号在查询机上自主查档，通过申请开放打印及部分电子档案的查看权限。</w:t>
            </w:r>
          </w:p>
        </w:tc>
      </w:tr>
      <w:tr w14:paraId="0215D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78BFA530">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3ABA4F03">
            <w:pPr>
              <w:jc w:val="center"/>
            </w:pPr>
            <w:r>
              <w:rPr>
                <w:rFonts w:hint="eastAsia"/>
                <w:lang w:val="en-US" w:eastAsia="zh-CN"/>
              </w:rPr>
              <w:t>2.54</w:t>
            </w:r>
            <w:r>
              <w:t>服务登记</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5B5776AA">
            <w:pPr>
              <w:jc w:val="left"/>
            </w:pPr>
            <w:r>
              <w:rPr>
                <w:rFonts w:hint="default"/>
              </w:rPr>
              <w:t>借阅 / 查阅统计：可根据借档人、借档目的等条件统计档案利用情况，支持导出报表与图形。</w:t>
            </w:r>
          </w:p>
        </w:tc>
      </w:tr>
      <w:tr w14:paraId="7126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7BB3B2D8">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574E2856">
            <w:pPr>
              <w:jc w:val="center"/>
            </w:pPr>
            <w:r>
              <w:rPr>
                <w:rFonts w:hint="eastAsia"/>
                <w:lang w:val="en-US" w:eastAsia="zh-CN"/>
              </w:rPr>
              <w:t>2.55</w:t>
            </w:r>
            <w:r>
              <w:t>系统管理模块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67BAF22E">
            <w:pPr>
              <w:jc w:val="left"/>
            </w:pPr>
            <w:r>
              <w:t>用户管理：便于授权时进行用户组授权，支持导出用户信息（含用户名及操作权限）。</w:t>
            </w:r>
          </w:p>
        </w:tc>
      </w:tr>
      <w:tr w14:paraId="73B11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5AE9929C">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13D588FD">
            <w:pPr>
              <w:jc w:val="center"/>
            </w:pPr>
            <w:r>
              <w:rPr>
                <w:rFonts w:hint="eastAsia"/>
                <w:lang w:val="en-US" w:eastAsia="zh-CN"/>
              </w:rPr>
              <w:t>2.56</w:t>
            </w:r>
            <w:r>
              <w:t>系统管理模块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78397886">
            <w:pPr>
              <w:jc w:val="left"/>
            </w:pPr>
            <w:r>
              <w:rPr>
                <w:rFonts w:hint="default"/>
              </w:rPr>
              <w:t>部门管理：包括部门代号、名称的著录、修改、删除等，支持多层级部门结构及树形展示，可管理部门信息、人员及进行权限与角色分配。</w:t>
            </w:r>
          </w:p>
        </w:tc>
      </w:tr>
      <w:tr w14:paraId="47D4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25201F08">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14899443">
            <w:pPr>
              <w:jc w:val="center"/>
            </w:pPr>
            <w:r>
              <w:rPr>
                <w:rFonts w:hint="eastAsia"/>
                <w:lang w:val="en-US" w:eastAsia="zh-CN"/>
              </w:rPr>
              <w:t>2.57</w:t>
            </w:r>
            <w:r>
              <w:t>系统管理模块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642BB10F">
            <w:pPr>
              <w:jc w:val="left"/>
            </w:pPr>
            <w:r>
              <w:rPr>
                <w:rFonts w:hint="eastAsia" w:ascii="仿宋" w:hAnsi="仿宋" w:eastAsia="仿宋" w:cs="仿宋"/>
                <w:sz w:val="24"/>
                <w:szCs w:val="24"/>
                <w:lang w:val="en-US" w:eastAsia="zh-CN"/>
              </w:rPr>
              <w:t>★</w:t>
            </w:r>
            <w:r>
              <w:rPr>
                <w:rFonts w:hint="default"/>
              </w:rPr>
              <w:t>角色管理：分功能权限（系统功能模块的权限授予）和数据权限（系统数据操作权限的授予，包括目录和电子文件的各类操作权限），数据权限分表级、记录级、部门级与类目级，支持批量授权。</w:t>
            </w:r>
          </w:p>
        </w:tc>
      </w:tr>
      <w:tr w14:paraId="0ED9D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2ED4EB59">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56D88452">
            <w:pPr>
              <w:jc w:val="center"/>
            </w:pPr>
            <w:r>
              <w:rPr>
                <w:rFonts w:hint="eastAsia"/>
                <w:lang w:val="en-US" w:eastAsia="zh-CN"/>
              </w:rPr>
              <w:t>2.58</w:t>
            </w:r>
            <w:r>
              <w:t>系统管理模块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3A891778">
            <w:pPr>
              <w:jc w:val="left"/>
            </w:pPr>
            <w:r>
              <w:rPr>
                <w:rFonts w:hint="default"/>
              </w:rPr>
              <w:t>发起审批：系统管理员可自定义借阅审批流程（含名称及处理人），系统暂时开放 “外借” 与 “借阅” 两种方式。</w:t>
            </w:r>
          </w:p>
        </w:tc>
      </w:tr>
      <w:tr w14:paraId="68D8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2BA2C0FB">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794042BB">
            <w:pPr>
              <w:jc w:val="center"/>
            </w:pPr>
            <w:r>
              <w:rPr>
                <w:rFonts w:hint="eastAsia"/>
                <w:lang w:val="en-US" w:eastAsia="zh-CN"/>
              </w:rPr>
              <w:t>2.59</w:t>
            </w:r>
            <w:r>
              <w:t>系统管理模块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1648493A">
            <w:pPr>
              <w:jc w:val="left"/>
            </w:pPr>
            <w:r>
              <w:rPr>
                <w:rFonts w:hint="default"/>
              </w:rPr>
              <w:t>档案库管理：根据档案种类、部门或用途分类存储，采用多层级库结构，可创建档案库、进行库权限管理、设置库属性及进行档案库操作（如自定义开放状态、手动停用等）。</w:t>
            </w:r>
          </w:p>
        </w:tc>
      </w:tr>
      <w:tr w14:paraId="5785A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5B0AAA5E">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51B699BB">
            <w:pPr>
              <w:jc w:val="center"/>
            </w:pPr>
            <w:r>
              <w:rPr>
                <w:rFonts w:hint="eastAsia"/>
                <w:lang w:val="en-US" w:eastAsia="zh-CN"/>
              </w:rPr>
              <w:t>2.60</w:t>
            </w:r>
            <w:r>
              <w:t>系统管理模块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75C924D1">
            <w:pPr>
              <w:jc w:val="left"/>
            </w:pPr>
            <w:r>
              <w:rPr>
                <w:rFonts w:hint="default"/>
              </w:rPr>
              <w:t>词库管理：满足不同模板中保管期、载体、文本、密级等词库要求。</w:t>
            </w:r>
          </w:p>
        </w:tc>
      </w:tr>
      <w:tr w14:paraId="2071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49AB2CA6">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693FB43A">
            <w:pPr>
              <w:jc w:val="center"/>
            </w:pPr>
            <w:r>
              <w:rPr>
                <w:rFonts w:hint="eastAsia"/>
                <w:lang w:val="en-US" w:eastAsia="zh-CN"/>
              </w:rPr>
              <w:t>2.61</w:t>
            </w:r>
            <w:r>
              <w:t>系统管理模块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330898E8">
            <w:pPr>
              <w:jc w:val="left"/>
            </w:pPr>
            <w:r>
              <w:rPr>
                <w:rFonts w:hint="default"/>
              </w:rPr>
              <w:t>字段管理：满足不同模板中年度、全宗号、门类代码、文件编号等字段要求。</w:t>
            </w:r>
          </w:p>
        </w:tc>
      </w:tr>
      <w:tr w14:paraId="1FD5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48B20964">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7E79269F">
            <w:pPr>
              <w:jc w:val="center"/>
            </w:pPr>
            <w:r>
              <w:rPr>
                <w:rFonts w:hint="eastAsia"/>
                <w:lang w:val="en-US" w:eastAsia="zh-CN"/>
              </w:rPr>
              <w:t>2.62</w:t>
            </w:r>
            <w:r>
              <w:t>系统管理模块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6DE928DE">
            <w:pPr>
              <w:jc w:val="left"/>
              <w:rPr>
                <w:rFonts w:hint="default"/>
              </w:rPr>
            </w:pPr>
            <w:r>
              <w:rPr>
                <w:rFonts w:hint="default"/>
              </w:rPr>
              <w:t>参数设置：进行系统后台参数设置，包括附件存址、查询设置、水印设置、归档章设置、超时设置、URL 地址设置等。</w:t>
            </w:r>
          </w:p>
        </w:tc>
      </w:tr>
      <w:tr w14:paraId="73A1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530D1BC1">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755438C9">
            <w:pPr>
              <w:jc w:val="center"/>
              <w:rPr>
                <w:rFonts w:hint="default"/>
              </w:rPr>
            </w:pPr>
            <w:r>
              <w:rPr>
                <w:rFonts w:hint="eastAsia"/>
                <w:lang w:val="en-US" w:eastAsia="zh-CN"/>
              </w:rPr>
              <w:t>2.63</w:t>
            </w:r>
            <w:r>
              <w:t>系统管理模块</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3BF8A9F3">
            <w:pPr>
              <w:jc w:val="left"/>
              <w:rPr>
                <w:rFonts w:hint="default"/>
              </w:rPr>
            </w:pPr>
            <w:r>
              <w:rPr>
                <w:rFonts w:hint="default"/>
              </w:rPr>
              <w:t>日志审计：对系统所有操作自动登记日志，可根据时间、用户、表代码、操作类型进行查询、导出与统计，统计结果支持导出电子表格。</w:t>
            </w:r>
          </w:p>
        </w:tc>
      </w:tr>
      <w:tr w14:paraId="55836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750" w:type="pct"/>
            <w:vMerge w:val="restart"/>
            <w:tcBorders>
              <w:top w:val="single" w:color="auto" w:sz="4" w:space="0"/>
              <w:left w:val="single" w:color="auto" w:sz="4" w:space="0"/>
              <w:bottom w:val="single" w:color="auto" w:sz="4" w:space="0"/>
              <w:right w:val="single" w:color="auto" w:sz="4" w:space="0"/>
            </w:tcBorders>
            <w:noWrap w:val="0"/>
            <w:vAlign w:val="center"/>
          </w:tcPr>
          <w:p w14:paraId="66146BE4">
            <w:pPr>
              <w:jc w:val="center"/>
            </w:pPr>
            <w:r>
              <w:rPr>
                <w:rFonts w:hint="eastAsia"/>
                <w:lang w:val="en-US" w:eastAsia="zh-CN"/>
              </w:rPr>
              <w:t>3、</w:t>
            </w:r>
            <w:r>
              <w:rPr>
                <w:rFonts w:hint="default"/>
              </w:rPr>
              <w:t>数据安全</w:t>
            </w:r>
          </w:p>
          <w:p w14:paraId="201C0E0C">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5252AD89">
            <w:pPr>
              <w:jc w:val="center"/>
            </w:pPr>
            <w:r>
              <w:rPr>
                <w:rFonts w:hint="eastAsia"/>
                <w:lang w:val="en-US" w:eastAsia="zh-CN"/>
              </w:rPr>
              <w:t>3.1</w:t>
            </w:r>
            <w:r>
              <w:t>数据安全</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0E5F77D0">
            <w:pPr>
              <w:jc w:val="left"/>
            </w:pPr>
            <w:r>
              <w:rPr>
                <w:rFonts w:hint="default"/>
              </w:rPr>
              <w:t>实现数据传输和存储安全，操作维护过程中具备防数据外泄功能，保障数据完整性和保密性，采取安全的数据备份方式，数据加密存储，具备整体及选择性对文件进行加密备份的功能。</w:t>
            </w:r>
          </w:p>
        </w:tc>
      </w:tr>
      <w:tr w14:paraId="21037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11EC9FDE">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602CE919">
            <w:pPr>
              <w:jc w:val="center"/>
            </w:pPr>
            <w:r>
              <w:rPr>
                <w:rFonts w:hint="eastAsia"/>
                <w:lang w:val="en-US" w:eastAsia="zh-CN"/>
              </w:rPr>
              <w:t>3.2</w:t>
            </w:r>
            <w:r>
              <w:rPr>
                <w:rFonts w:hint="default"/>
              </w:rPr>
              <w:t>应用安全</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48B068B7">
            <w:pPr>
              <w:jc w:val="left"/>
            </w:pPr>
            <w:r>
              <w:rPr>
                <w:rFonts w:hint="default"/>
              </w:rPr>
              <w:t>包括系统运行安全和用户权限管理控制，提供安全的信息发布审核，实现防数据篡改、防非法登录、防止非法获取权限，记录和审计用户操作日志。</w:t>
            </w:r>
          </w:p>
        </w:tc>
      </w:tr>
      <w:tr w14:paraId="0140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6AA4EBCC">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61785045">
            <w:pPr>
              <w:jc w:val="center"/>
            </w:pPr>
            <w:r>
              <w:rPr>
                <w:rFonts w:hint="eastAsia"/>
                <w:lang w:val="en-US" w:eastAsia="zh-CN"/>
              </w:rPr>
              <w:t>3.3</w:t>
            </w:r>
            <w:r>
              <w:rPr>
                <w:rFonts w:hint="default"/>
              </w:rPr>
              <w:t>系统运行安全</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78BA0476">
            <w:pPr>
              <w:jc w:val="left"/>
            </w:pPr>
            <w:r>
              <w:rPr>
                <w:rFonts w:hint="default"/>
              </w:rPr>
              <w:t>保证系统正常情况下长时间无故障运行，针对不可预见原因导致的系统故障，提供故障处理恢复机制以快速恢复运行；保证数据库及应用系统数据安全可靠，提供详尽的权限保护，防止系统及文件被非法获取。</w:t>
            </w:r>
          </w:p>
        </w:tc>
      </w:tr>
      <w:tr w14:paraId="41F6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50" w:type="pct"/>
            <w:vMerge w:val="restart"/>
            <w:tcBorders>
              <w:top w:val="single" w:color="auto" w:sz="4" w:space="0"/>
              <w:left w:val="single" w:color="auto" w:sz="4" w:space="0"/>
              <w:right w:val="single" w:color="auto" w:sz="4" w:space="0"/>
            </w:tcBorders>
            <w:noWrap w:val="0"/>
            <w:vAlign w:val="center"/>
          </w:tcPr>
          <w:p w14:paraId="4EEA9453">
            <w:pPr>
              <w:jc w:val="center"/>
              <w:rPr>
                <w:rFonts w:hint="eastAsia" w:eastAsiaTheme="minorEastAsia"/>
                <w:lang w:eastAsia="zh-CN"/>
              </w:rPr>
            </w:pPr>
            <w:r>
              <w:rPr>
                <w:rFonts w:hint="eastAsia"/>
                <w:lang w:val="en-US" w:eastAsia="zh-CN"/>
              </w:rPr>
              <w:t>4、</w:t>
            </w:r>
            <w:r>
              <w:rPr>
                <w:rFonts w:hint="default"/>
              </w:rPr>
              <w:t>售后</w:t>
            </w:r>
            <w:r>
              <w:rPr>
                <w:rFonts w:hint="eastAsia"/>
                <w:lang w:val="en-US" w:eastAsia="zh-CN"/>
              </w:rPr>
              <w:t>服务</w:t>
            </w:r>
          </w:p>
          <w:p w14:paraId="413C1259">
            <w:pPr>
              <w:jc w:val="center"/>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5943F4FA">
            <w:pPr>
              <w:jc w:val="center"/>
              <w:rPr>
                <w:rFonts w:hint="default" w:eastAsiaTheme="minorEastAsia"/>
                <w:lang w:val="en-US" w:eastAsia="zh-CN"/>
              </w:rPr>
            </w:pPr>
            <w:r>
              <w:rPr>
                <w:rFonts w:hint="eastAsia"/>
                <w:lang w:val="en-US" w:eastAsia="zh-CN"/>
              </w:rPr>
              <w:t>4.1</w:t>
            </w:r>
            <w:r>
              <w:t>售后服务</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6AED0DB1">
            <w:pPr>
              <w:jc w:val="left"/>
            </w:pPr>
            <w:r>
              <w:t>质保期</w:t>
            </w:r>
            <w:r>
              <w:rPr>
                <w:rFonts w:hint="default"/>
              </w:rPr>
              <w:t>：</w:t>
            </w:r>
            <w:r>
              <w:rPr>
                <w:rFonts w:hint="eastAsia"/>
                <w:lang w:eastAsia="zh-CN"/>
              </w:rPr>
              <w:t>≥</w:t>
            </w:r>
            <w:r>
              <w:rPr>
                <w:rFonts w:hint="default"/>
              </w:rPr>
              <w:t>三年。</w:t>
            </w:r>
          </w:p>
        </w:tc>
      </w:tr>
      <w:tr w14:paraId="6ADF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750" w:type="pct"/>
            <w:vMerge w:val="continue"/>
            <w:tcBorders>
              <w:left w:val="single" w:color="auto" w:sz="4" w:space="0"/>
              <w:right w:val="single" w:color="auto" w:sz="4" w:space="0"/>
            </w:tcBorders>
            <w:noWrap w:val="0"/>
            <w:vAlign w:val="center"/>
          </w:tcPr>
          <w:p w14:paraId="5F0CFCCD">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2C3D8438">
            <w:pPr>
              <w:jc w:val="center"/>
            </w:pPr>
            <w:r>
              <w:rPr>
                <w:rFonts w:hint="eastAsia"/>
                <w:lang w:val="en-US" w:eastAsia="zh-CN"/>
              </w:rPr>
              <w:t>4.2</w:t>
            </w:r>
            <w:r>
              <w:t>售后服务</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6371A49C">
            <w:pPr>
              <w:jc w:val="left"/>
            </w:pPr>
            <w:r>
              <w:rPr>
                <w:rFonts w:hint="default"/>
              </w:rPr>
              <w:t>质保期内提供 7*24 小时电话或网络支持服务，响应时间不超过 30 分钟，2 小时内远程排除故障，若无法远程解决，维修人员须 24 小时内到达现场，12 小时内免费修复。</w:t>
            </w:r>
          </w:p>
        </w:tc>
      </w:tr>
      <w:tr w14:paraId="1EA3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750" w:type="pct"/>
            <w:vMerge w:val="continue"/>
            <w:tcBorders>
              <w:left w:val="single" w:color="auto" w:sz="4" w:space="0"/>
              <w:bottom w:val="single" w:color="auto" w:sz="4" w:space="0"/>
              <w:right w:val="single" w:color="auto" w:sz="4" w:space="0"/>
            </w:tcBorders>
            <w:noWrap w:val="0"/>
            <w:vAlign w:val="center"/>
          </w:tcPr>
          <w:p w14:paraId="266E0DFE">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2AC1041">
            <w:pPr>
              <w:jc w:val="center"/>
            </w:pPr>
            <w:r>
              <w:rPr>
                <w:rFonts w:hint="eastAsia"/>
                <w:lang w:val="en-US" w:eastAsia="zh-CN"/>
              </w:rPr>
              <w:t>4.3</w:t>
            </w:r>
            <w:r>
              <w:t>售后服务</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52AAA676">
            <w:pPr>
              <w:jc w:val="left"/>
            </w:pPr>
            <w:r>
              <w:rPr>
                <w:rFonts w:hint="default"/>
              </w:rPr>
              <w:t>质保期内免费提供软件系统升级、更新维护，保持与供应商市场推出产品同步的最优服务。免费提供现场安装调试、技术服务、培训等相关服务。</w:t>
            </w:r>
          </w:p>
          <w:p w14:paraId="34ADACF8">
            <w:pPr>
              <w:jc w:val="left"/>
            </w:pPr>
            <w:r>
              <w:rPr>
                <w:rFonts w:hint="default"/>
              </w:rPr>
              <w:t>质保期内提供电话、手机通信 APP 在线、电子邮件、远程维护等多种免费技术支持服务。</w:t>
            </w:r>
          </w:p>
        </w:tc>
      </w:tr>
      <w:tr w14:paraId="234B7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8" w:hRule="atLeast"/>
        </w:trPr>
        <w:tc>
          <w:tcPr>
            <w:tcW w:w="750" w:type="pct"/>
            <w:vMerge w:val="restart"/>
            <w:tcBorders>
              <w:top w:val="single" w:color="auto" w:sz="4" w:space="0"/>
              <w:left w:val="single" w:color="auto" w:sz="4" w:space="0"/>
              <w:bottom w:val="single" w:color="auto" w:sz="4" w:space="0"/>
              <w:right w:val="single" w:color="auto" w:sz="4" w:space="0"/>
            </w:tcBorders>
            <w:noWrap w:val="0"/>
            <w:vAlign w:val="center"/>
          </w:tcPr>
          <w:p w14:paraId="2FFF04DC">
            <w:pPr>
              <w:jc w:val="center"/>
              <w:rPr>
                <w:rFonts w:hint="eastAsia" w:eastAsiaTheme="minorEastAsia"/>
                <w:lang w:val="en-US" w:eastAsia="zh-CN"/>
              </w:rPr>
            </w:pPr>
            <w:r>
              <w:rPr>
                <w:rFonts w:hint="eastAsia"/>
                <w:lang w:val="en-US" w:eastAsia="zh-CN"/>
              </w:rPr>
              <w:t>5、其它</w:t>
            </w:r>
          </w:p>
        </w:tc>
        <w:tc>
          <w:tcPr>
            <w:tcW w:w="925" w:type="pct"/>
            <w:tcBorders>
              <w:top w:val="single" w:color="auto" w:sz="4" w:space="0"/>
              <w:left w:val="single" w:color="auto" w:sz="4" w:space="0"/>
              <w:bottom w:val="single" w:color="auto" w:sz="4" w:space="0"/>
              <w:right w:val="single" w:color="auto" w:sz="4" w:space="0"/>
            </w:tcBorders>
            <w:noWrap w:val="0"/>
            <w:vAlign w:val="center"/>
          </w:tcPr>
          <w:p w14:paraId="402A0E5A">
            <w:pPr>
              <w:jc w:val="center"/>
              <w:rPr>
                <w:rFonts w:hint="default"/>
                <w:lang w:val="en-US" w:eastAsia="zh-CN"/>
              </w:rPr>
            </w:pPr>
            <w:r>
              <w:rPr>
                <w:rFonts w:hint="eastAsia"/>
                <w:lang w:val="en-US" w:eastAsia="zh-CN"/>
              </w:rPr>
              <w:t>5.1交付服务</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0CEC154B">
            <w:pPr>
              <w:rPr>
                <w:rFonts w:hint="default"/>
              </w:rPr>
            </w:pPr>
            <w:r>
              <w:t>合同签订后，</w:t>
            </w:r>
            <w:r>
              <w:rPr>
                <w:rFonts w:hint="eastAsia"/>
                <w:lang w:val="en-US" w:eastAsia="zh-CN"/>
              </w:rPr>
              <w:t>投标方</w:t>
            </w:r>
            <w:r>
              <w:t>需在接到用户通知后30个日内完成交货</w:t>
            </w:r>
            <w:r>
              <w:rPr>
                <w:rFonts w:hint="eastAsia"/>
                <w:lang w:eastAsia="zh-CN"/>
              </w:rPr>
              <w:t>，</w:t>
            </w:r>
            <w:r>
              <w:t>安装地点</w:t>
            </w:r>
            <w:r>
              <w:rPr>
                <w:rFonts w:hint="eastAsia"/>
                <w:lang w:val="en-US" w:eastAsia="zh-CN"/>
              </w:rPr>
              <w:t>由甲方</w:t>
            </w:r>
            <w:r>
              <w:t>指定地点指定地点</w:t>
            </w:r>
            <w:r>
              <w:rPr>
                <w:rFonts w:hint="eastAsia"/>
                <w:lang w:val="en-US" w:eastAsia="zh-CN"/>
              </w:rPr>
              <w:t>安装。</w:t>
            </w:r>
            <w:r>
              <w:t>安装标准符合我国国家有关技术规范要求和技术标准。安装过程中发生的费用由投标方负责。如在规定的时间内由于投标方的原因不能完成安装和调试，投标方应承担由此给用户造成的损失</w:t>
            </w:r>
            <w:r>
              <w:rPr>
                <w:rFonts w:hint="eastAsia"/>
                <w:lang w:val="en-US" w:eastAsia="zh-CN"/>
              </w:rPr>
              <w:t>。</w:t>
            </w:r>
            <w:r>
              <w:t>交货时提供用户操作手册，维修手册。</w:t>
            </w:r>
          </w:p>
        </w:tc>
      </w:tr>
      <w:tr w14:paraId="5C1F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8"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5C243813">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6321B220">
            <w:pPr>
              <w:jc w:val="center"/>
            </w:pPr>
            <w:r>
              <w:rPr>
                <w:rFonts w:hint="eastAsia"/>
                <w:lang w:val="en-US" w:eastAsia="zh-CN"/>
              </w:rPr>
              <w:t>5.2</w:t>
            </w:r>
            <w:r>
              <w:t>应急服务</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7B31A233">
            <w:r>
              <w:t>针对突发事故，</w:t>
            </w:r>
            <w:r>
              <w:rPr>
                <w:rFonts w:hint="eastAsia"/>
                <w:lang w:val="en-US" w:eastAsia="zh-CN"/>
              </w:rPr>
              <w:t>投标方</w:t>
            </w:r>
            <w:r>
              <w:t>承诺协助买方协调，若有需要可提供上门服务。如突发事故是软件自身原因造成的，则相关费用卖方自行承担。如突发事故是非卖方软件因素造成的，相关费用由买方承担，具体金额双方自由协商。</w:t>
            </w:r>
          </w:p>
          <w:p w14:paraId="56921788">
            <w:pPr>
              <w:rPr>
                <w:rFonts w:hint="default"/>
              </w:rPr>
            </w:pPr>
            <w:r>
              <w:t>买方数据出现不可挽回损失时，卖方根据买方提供的备份数据，帮助买方进行数据恢复。</w:t>
            </w:r>
          </w:p>
        </w:tc>
      </w:tr>
      <w:tr w14:paraId="015C6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29B2D5CA">
            <w:pPr>
              <w:jc w:val="cente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691CF6CA">
            <w:pPr>
              <w:jc w:val="center"/>
              <w:rPr>
                <w:rFonts w:hint="default" w:eastAsiaTheme="minorEastAsia"/>
                <w:lang w:val="en-US" w:eastAsia="zh-CN"/>
              </w:rPr>
            </w:pPr>
            <w:r>
              <w:rPr>
                <w:rFonts w:hint="eastAsia"/>
                <w:lang w:val="en-US" w:eastAsia="zh-CN"/>
              </w:rPr>
              <w:t>5.3培训服务</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328A8CB8">
            <w:r>
              <w:t>卖方应对用户提供培训，使其能对</w:t>
            </w:r>
            <w:r>
              <w:rPr>
                <w:rFonts w:hint="eastAsia"/>
                <w:lang w:val="en-US" w:eastAsia="zh-CN"/>
              </w:rPr>
              <w:t>系统进行</w:t>
            </w:r>
            <w:r>
              <w:t>日常维护</w:t>
            </w:r>
            <w:r>
              <w:rPr>
                <w:rFonts w:hint="eastAsia"/>
                <w:lang w:val="en-US" w:eastAsia="zh-CN"/>
              </w:rPr>
              <w:t>和技术处理</w:t>
            </w:r>
            <w:r>
              <w:t>，并向培训人员提供</w:t>
            </w:r>
            <w:r>
              <w:rPr>
                <w:rFonts w:hint="eastAsia"/>
                <w:lang w:val="en-US" w:eastAsia="zh-CN"/>
              </w:rPr>
              <w:t>系统维护资料</w:t>
            </w:r>
            <w:r>
              <w:t>、</w:t>
            </w:r>
            <w:r>
              <w:rPr>
                <w:rFonts w:hint="eastAsia"/>
                <w:lang w:val="en-US" w:eastAsia="zh-CN"/>
              </w:rPr>
              <w:t>系统管理员密钥信息</w:t>
            </w:r>
            <w:r>
              <w:t>。</w:t>
            </w:r>
          </w:p>
          <w:p w14:paraId="57FD5035">
            <w:pPr>
              <w:rPr>
                <w:rFonts w:hint="default"/>
              </w:rPr>
            </w:pPr>
            <w:r>
              <w:t>上述培训的培训方式、地点、人员及费用（包含在投标总价中）投标商应在投标文件中详细说明。</w:t>
            </w:r>
          </w:p>
        </w:tc>
      </w:tr>
      <w:tr w14:paraId="3A17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27566FA8">
            <w:pPr>
              <w:jc w:val="left"/>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31C56D12">
            <w:pPr>
              <w:jc w:val="center"/>
              <w:rPr>
                <w:rFonts w:hint="default" w:eastAsiaTheme="minorEastAsia"/>
                <w:lang w:val="en-US" w:eastAsia="zh-CN"/>
              </w:rPr>
            </w:pPr>
            <w:r>
              <w:rPr>
                <w:rFonts w:hint="eastAsia"/>
                <w:lang w:val="en-US" w:eastAsia="zh-CN"/>
              </w:rPr>
              <w:t>5.4验收要求</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0C8ECCBD">
            <w:pPr>
              <w:rPr>
                <w:rFonts w:hint="default"/>
              </w:rPr>
            </w:pPr>
            <w:r>
              <w:rPr>
                <w:rFonts w:hint="eastAsia"/>
                <w:lang w:val="en-US" w:eastAsia="zh-CN"/>
              </w:rPr>
              <w:t>投标方</w:t>
            </w:r>
            <w:r>
              <w:t>提供</w:t>
            </w:r>
            <w:r>
              <w:rPr>
                <w:rFonts w:hint="eastAsia"/>
                <w:lang w:val="en-US" w:eastAsia="zh-CN"/>
              </w:rPr>
              <w:t>项目</w:t>
            </w:r>
            <w:r>
              <w:t>的有效</w:t>
            </w:r>
            <w:r>
              <w:rPr>
                <w:rFonts w:hint="eastAsia"/>
                <w:lang w:val="en-US" w:eastAsia="zh-CN"/>
              </w:rPr>
              <w:t>验收资料</w:t>
            </w:r>
            <w:r>
              <w:t>，买方对货物验收合格后，双方共同签署验收报告。验收中发现货物达不到验收标准或合同规定的性能指标，</w:t>
            </w:r>
            <w:r>
              <w:rPr>
                <w:rFonts w:hint="eastAsia"/>
                <w:lang w:val="en-US" w:eastAsia="zh-CN"/>
              </w:rPr>
              <w:t>投标方</w:t>
            </w:r>
            <w:r>
              <w:t>必须更换货物。并且赔偿由此给用户造成的损失。</w:t>
            </w:r>
          </w:p>
        </w:tc>
      </w:tr>
      <w:tr w14:paraId="7D698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50" w:type="pct"/>
            <w:vMerge w:val="continue"/>
            <w:tcBorders>
              <w:top w:val="single" w:color="auto" w:sz="4" w:space="0"/>
              <w:left w:val="single" w:color="auto" w:sz="4" w:space="0"/>
              <w:bottom w:val="single" w:color="auto" w:sz="4" w:space="0"/>
              <w:right w:val="single" w:color="auto" w:sz="4" w:space="0"/>
            </w:tcBorders>
            <w:noWrap w:val="0"/>
            <w:vAlign w:val="center"/>
          </w:tcPr>
          <w:p w14:paraId="7758ABE4">
            <w:pPr>
              <w:jc w:val="left"/>
              <w:rPr>
                <w:rFonts w:hint="default"/>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99F5E27">
            <w:pPr>
              <w:jc w:val="center"/>
              <w:rPr>
                <w:rFonts w:hint="eastAsia" w:eastAsiaTheme="minorEastAsia"/>
                <w:lang w:val="en-US" w:eastAsia="zh-CN"/>
              </w:rPr>
            </w:pPr>
            <w:r>
              <w:rPr>
                <w:rFonts w:hint="eastAsia"/>
                <w:lang w:val="en-US" w:eastAsia="zh-CN"/>
              </w:rPr>
              <w:t>5.5</w:t>
            </w:r>
            <w:r>
              <w:t>保密</w:t>
            </w:r>
            <w:r>
              <w:rPr>
                <w:rFonts w:hint="eastAsia"/>
                <w:lang w:val="en-US" w:eastAsia="zh-CN"/>
              </w:rPr>
              <w:t>要求</w:t>
            </w:r>
          </w:p>
        </w:tc>
        <w:tc>
          <w:tcPr>
            <w:tcW w:w="3323" w:type="pct"/>
            <w:tcBorders>
              <w:top w:val="single" w:color="auto" w:sz="4" w:space="0"/>
              <w:left w:val="single" w:color="auto" w:sz="4" w:space="0"/>
              <w:bottom w:val="single" w:color="auto" w:sz="4" w:space="0"/>
              <w:right w:val="single" w:color="auto" w:sz="4" w:space="0"/>
            </w:tcBorders>
            <w:noWrap w:val="0"/>
            <w:vAlign w:val="center"/>
          </w:tcPr>
          <w:p w14:paraId="575D3F6A">
            <w:pPr>
              <w:rPr>
                <w:rFonts w:hint="default"/>
              </w:rPr>
            </w:pPr>
            <w:r>
              <w:rPr>
                <w:rFonts w:hint="eastAsia"/>
                <w:lang w:val="en-US" w:eastAsia="zh-CN"/>
              </w:rPr>
              <w:t>投标方</w:t>
            </w:r>
            <w:r>
              <w:t>对买方的数据进行严格保密，未经买方同意，卖方不得以任何方式把属于买方的数据信息等透露给任何第三方，应保护买方信息不被</w:t>
            </w:r>
            <w:r>
              <w:rPr>
                <w:rFonts w:hint="eastAsia"/>
                <w:lang w:val="en-US" w:eastAsia="zh-CN"/>
              </w:rPr>
              <w:t>泄露和非法使用</w:t>
            </w:r>
            <w:r>
              <w:t>。</w:t>
            </w:r>
          </w:p>
        </w:tc>
      </w:tr>
      <w:tr w14:paraId="4092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76E01CBB">
            <w:pPr>
              <w:rPr>
                <w:rFonts w:hint="eastAsia"/>
                <w:lang w:val="en-US" w:eastAsia="zh-CN"/>
              </w:rPr>
            </w:pPr>
            <w:r>
              <w:rPr>
                <w:rFonts w:hint="eastAsia" w:ascii="仿宋" w:hAnsi="仿宋" w:eastAsia="仿宋" w:cs="仿宋"/>
                <w:sz w:val="24"/>
                <w:szCs w:val="24"/>
                <w:lang w:val="en-US" w:eastAsia="zh-CN"/>
              </w:rPr>
              <w:t>以上</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需完全满足。</w:t>
            </w:r>
          </w:p>
        </w:tc>
      </w:tr>
    </w:tbl>
    <w:p w14:paraId="2DB09063"/>
    <w:p w14:paraId="5ED46A7C"/>
    <w:p w14:paraId="38EAEA1F"/>
    <w:p w14:paraId="6BBC9430"/>
    <w:p w14:paraId="6975D315"/>
    <w:p w14:paraId="7F22E968"/>
    <w:p w14:paraId="09EF065D"/>
    <w:p w14:paraId="0141336E">
      <w:pPr>
        <w:spacing w:line="360" w:lineRule="auto"/>
        <w:jc w:val="left"/>
        <w:outlineLvl w:val="0"/>
        <w:rPr>
          <w:rFonts w:ascii="宋体" w:hAnsi="宋体"/>
          <w:bCs/>
          <w:sz w:val="24"/>
        </w:rPr>
      </w:pPr>
    </w:p>
    <w:p w14:paraId="29D6F388">
      <w:pPr>
        <w:outlineLvl w:val="1"/>
        <w:rPr>
          <w:b/>
          <w:bCs/>
          <w:sz w:val="28"/>
          <w:szCs w:val="28"/>
        </w:rPr>
      </w:pPr>
    </w:p>
    <w:p w14:paraId="404CD7BF">
      <w:pPr>
        <w:outlineLvl w:val="1"/>
        <w:rPr>
          <w:b/>
          <w:bCs/>
          <w:sz w:val="28"/>
          <w:szCs w:val="28"/>
        </w:rPr>
      </w:pPr>
      <w:r>
        <w:rPr>
          <w:rFonts w:hint="eastAsia"/>
          <w:b/>
          <w:bCs/>
          <w:sz w:val="28"/>
          <w:szCs w:val="28"/>
          <w:lang w:eastAsia="zh-CN"/>
        </w:rPr>
        <w:t>二</w:t>
      </w:r>
      <w:r>
        <w:rPr>
          <w:rFonts w:hint="eastAsia"/>
          <w:b/>
          <w:bCs/>
          <w:sz w:val="28"/>
          <w:szCs w:val="28"/>
        </w:rPr>
        <w:t>、投标文件组成</w:t>
      </w:r>
    </w:p>
    <w:p w14:paraId="4DE7A6ED">
      <w:pPr>
        <w:spacing w:line="360" w:lineRule="auto"/>
        <w:ind w:firstLine="480" w:firstLineChars="200"/>
        <w:rPr>
          <w:rStyle w:val="23"/>
          <w:rFonts w:asciiTheme="majorEastAsia" w:hAnsiTheme="majorEastAsia" w:eastAsiaTheme="majorEastAsia" w:cstheme="majorEastAsia"/>
          <w:b w:val="0"/>
          <w:bCs w:val="0"/>
          <w:color w:val="333333"/>
          <w:sz w:val="24"/>
          <w:shd w:val="clear" w:color="auto" w:fill="FFFFFF"/>
        </w:rPr>
      </w:pPr>
      <w:r>
        <w:rPr>
          <w:rStyle w:val="23"/>
          <w:rFonts w:hint="eastAsia" w:asciiTheme="majorEastAsia" w:hAnsiTheme="majorEastAsia" w:eastAsiaTheme="majorEastAsia" w:cstheme="majorEastAsia"/>
          <w:b w:val="0"/>
          <w:bCs w:val="0"/>
          <w:color w:val="333333"/>
          <w:sz w:val="24"/>
          <w:shd w:val="clear" w:color="auto" w:fill="FFFFFF"/>
        </w:rPr>
        <w:t>（1）技术标</w:t>
      </w:r>
    </w:p>
    <w:tbl>
      <w:tblPr>
        <w:tblStyle w:val="20"/>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193"/>
        <w:gridCol w:w="1717"/>
      </w:tblGrid>
      <w:tr w14:paraId="6EBC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7369E082">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序号</w:t>
            </w:r>
          </w:p>
        </w:tc>
        <w:tc>
          <w:tcPr>
            <w:tcW w:w="7193" w:type="dxa"/>
            <w:vAlign w:val="center"/>
          </w:tcPr>
          <w:p w14:paraId="00EC29B5">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内容</w:t>
            </w:r>
          </w:p>
        </w:tc>
        <w:tc>
          <w:tcPr>
            <w:tcW w:w="1717" w:type="dxa"/>
            <w:vAlign w:val="center"/>
          </w:tcPr>
          <w:p w14:paraId="29584A9A">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备注</w:t>
            </w:r>
          </w:p>
        </w:tc>
      </w:tr>
      <w:tr w14:paraId="601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2351177B">
            <w:pPr>
              <w:adjustRightInd w:val="0"/>
              <w:snapToGrid w:val="0"/>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w:t>
            </w:r>
          </w:p>
        </w:tc>
        <w:tc>
          <w:tcPr>
            <w:tcW w:w="7193" w:type="dxa"/>
            <w:vAlign w:val="center"/>
          </w:tcPr>
          <w:p w14:paraId="196B032D">
            <w:pPr>
              <w:adjustRightInd w:val="0"/>
              <w:snapToGrid w:val="0"/>
              <w:spacing w:line="36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投标函</w:t>
            </w:r>
          </w:p>
        </w:tc>
        <w:tc>
          <w:tcPr>
            <w:tcW w:w="1717" w:type="dxa"/>
            <w:vAlign w:val="center"/>
          </w:tcPr>
          <w:p w14:paraId="39DC40C7">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附件一</w:t>
            </w:r>
          </w:p>
        </w:tc>
      </w:tr>
      <w:tr w14:paraId="40B6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4180DBFD">
            <w:pPr>
              <w:adjustRightInd w:val="0"/>
              <w:snapToGrid w:val="0"/>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w:t>
            </w:r>
          </w:p>
        </w:tc>
        <w:tc>
          <w:tcPr>
            <w:tcW w:w="7193" w:type="dxa"/>
            <w:vAlign w:val="center"/>
          </w:tcPr>
          <w:p w14:paraId="6AB8E434">
            <w:pPr>
              <w:adjustRightInd w:val="0"/>
              <w:snapToGrid w:val="0"/>
              <w:spacing w:line="36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资格证明文件</w:t>
            </w:r>
          </w:p>
        </w:tc>
        <w:tc>
          <w:tcPr>
            <w:tcW w:w="1717" w:type="dxa"/>
            <w:vAlign w:val="center"/>
          </w:tcPr>
          <w:p w14:paraId="3113560F">
            <w:pPr>
              <w:adjustRightInd w:val="0"/>
              <w:snapToGrid w:val="0"/>
              <w:spacing w:line="360" w:lineRule="auto"/>
              <w:jc w:val="center"/>
              <w:rPr>
                <w:rFonts w:asciiTheme="majorEastAsia" w:hAnsiTheme="majorEastAsia" w:eastAsiaTheme="majorEastAsia" w:cstheme="majorEastAsia"/>
                <w:bCs/>
                <w:sz w:val="24"/>
              </w:rPr>
            </w:pPr>
          </w:p>
        </w:tc>
      </w:tr>
      <w:tr w14:paraId="2B53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66D83AAE">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2.1</w:t>
            </w:r>
          </w:p>
        </w:tc>
        <w:tc>
          <w:tcPr>
            <w:tcW w:w="7193" w:type="dxa"/>
            <w:vAlign w:val="center"/>
          </w:tcPr>
          <w:p w14:paraId="61F5A517">
            <w:pPr>
              <w:adjustRightInd w:val="0"/>
              <w:snapToGrid w:val="0"/>
              <w:spacing w:line="360" w:lineRule="auto"/>
              <w:rPr>
                <w:rFonts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rPr>
              <w:t>法定代表人授权书</w:t>
            </w:r>
          </w:p>
        </w:tc>
        <w:tc>
          <w:tcPr>
            <w:tcW w:w="1717" w:type="dxa"/>
            <w:vAlign w:val="center"/>
          </w:tcPr>
          <w:p w14:paraId="0D29D737">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附件二</w:t>
            </w:r>
          </w:p>
        </w:tc>
      </w:tr>
      <w:tr w14:paraId="4E16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4DDCD601">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2.2</w:t>
            </w:r>
          </w:p>
        </w:tc>
        <w:tc>
          <w:tcPr>
            <w:tcW w:w="7193" w:type="dxa"/>
            <w:vAlign w:val="center"/>
          </w:tcPr>
          <w:p w14:paraId="5A72ED8B">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有效营业执照</w:t>
            </w:r>
          </w:p>
        </w:tc>
        <w:tc>
          <w:tcPr>
            <w:tcW w:w="1717" w:type="dxa"/>
            <w:vAlign w:val="center"/>
          </w:tcPr>
          <w:p w14:paraId="441BAF83">
            <w:pPr>
              <w:adjustRightInd w:val="0"/>
              <w:snapToGrid w:val="0"/>
              <w:spacing w:line="360" w:lineRule="auto"/>
              <w:jc w:val="center"/>
              <w:rPr>
                <w:rFonts w:asciiTheme="majorEastAsia" w:hAnsiTheme="majorEastAsia" w:eastAsiaTheme="majorEastAsia" w:cstheme="majorEastAsia"/>
                <w:bCs/>
                <w:sz w:val="24"/>
              </w:rPr>
            </w:pPr>
          </w:p>
        </w:tc>
      </w:tr>
      <w:tr w14:paraId="40B1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1B7740F8">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2.3</w:t>
            </w:r>
          </w:p>
        </w:tc>
        <w:tc>
          <w:tcPr>
            <w:tcW w:w="7193" w:type="dxa"/>
            <w:vAlign w:val="center"/>
          </w:tcPr>
          <w:p w14:paraId="7C9E1BFA">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相关资质的证明材料（如</w:t>
            </w:r>
            <w:r>
              <w:rPr>
                <w:rFonts w:ascii="Segoe UI" w:hAnsi="Segoe UI" w:eastAsia="Segoe UI" w:cs="Segoe UI"/>
                <w:sz w:val="24"/>
              </w:rPr>
              <w:t>经营许可证</w:t>
            </w:r>
            <w:r>
              <w:rPr>
                <w:rFonts w:hint="eastAsia" w:ascii="Segoe UI" w:hAnsi="Segoe UI" w:cs="Segoe UI"/>
                <w:sz w:val="24"/>
              </w:rPr>
              <w:t>等</w:t>
            </w:r>
            <w:r>
              <w:rPr>
                <w:rFonts w:hint="eastAsia" w:asciiTheme="majorEastAsia" w:hAnsiTheme="majorEastAsia" w:eastAsiaTheme="majorEastAsia" w:cstheme="majorEastAsia"/>
                <w:bCs/>
                <w:sz w:val="24"/>
              </w:rPr>
              <w:t>）</w:t>
            </w:r>
          </w:p>
        </w:tc>
        <w:tc>
          <w:tcPr>
            <w:tcW w:w="1717" w:type="dxa"/>
            <w:vAlign w:val="center"/>
          </w:tcPr>
          <w:p w14:paraId="3A8AED98">
            <w:pPr>
              <w:adjustRightInd w:val="0"/>
              <w:snapToGrid w:val="0"/>
              <w:spacing w:line="360" w:lineRule="auto"/>
              <w:jc w:val="center"/>
              <w:rPr>
                <w:rFonts w:asciiTheme="majorEastAsia" w:hAnsiTheme="majorEastAsia" w:eastAsiaTheme="majorEastAsia" w:cstheme="majorEastAsia"/>
                <w:bCs/>
                <w:sz w:val="24"/>
              </w:rPr>
            </w:pPr>
          </w:p>
        </w:tc>
      </w:tr>
      <w:tr w14:paraId="7960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76B80983">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2.4</w:t>
            </w:r>
          </w:p>
        </w:tc>
        <w:tc>
          <w:tcPr>
            <w:tcW w:w="7193" w:type="dxa"/>
            <w:vAlign w:val="center"/>
          </w:tcPr>
          <w:p w14:paraId="57C37D34">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参加本项目比选前三年内未被列入“信用中国”网站(www.creditchina.gov.cn)失信被执行人、重大税收违法案件当事人（查询时间以发布招标公告之后查询结果为准，并将查询结果“截图”加盖公章附在投标文件中）</w:t>
            </w:r>
          </w:p>
        </w:tc>
        <w:tc>
          <w:tcPr>
            <w:tcW w:w="1717" w:type="dxa"/>
            <w:vAlign w:val="center"/>
          </w:tcPr>
          <w:p w14:paraId="2D56E1A0">
            <w:pPr>
              <w:adjustRightInd w:val="0"/>
              <w:snapToGrid w:val="0"/>
              <w:spacing w:line="360" w:lineRule="auto"/>
              <w:jc w:val="center"/>
              <w:rPr>
                <w:rFonts w:asciiTheme="majorEastAsia" w:hAnsiTheme="majorEastAsia" w:eastAsiaTheme="majorEastAsia" w:cstheme="majorEastAsia"/>
                <w:bCs/>
                <w:sz w:val="24"/>
              </w:rPr>
            </w:pPr>
          </w:p>
        </w:tc>
      </w:tr>
      <w:tr w14:paraId="0497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6684086A">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3</w:t>
            </w:r>
          </w:p>
        </w:tc>
        <w:tc>
          <w:tcPr>
            <w:tcW w:w="7193" w:type="dxa"/>
            <w:vAlign w:val="center"/>
          </w:tcPr>
          <w:p w14:paraId="67F6BCB4">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采购要求响应表</w:t>
            </w:r>
          </w:p>
        </w:tc>
        <w:tc>
          <w:tcPr>
            <w:tcW w:w="1717" w:type="dxa"/>
            <w:vAlign w:val="center"/>
          </w:tcPr>
          <w:p w14:paraId="2F491205">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附件三</w:t>
            </w:r>
          </w:p>
        </w:tc>
      </w:tr>
      <w:tr w14:paraId="77FB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34F28795">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4</w:t>
            </w:r>
          </w:p>
        </w:tc>
        <w:tc>
          <w:tcPr>
            <w:tcW w:w="7193" w:type="dxa"/>
            <w:vAlign w:val="center"/>
          </w:tcPr>
          <w:p w14:paraId="19764514">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服务方案</w:t>
            </w:r>
          </w:p>
        </w:tc>
        <w:tc>
          <w:tcPr>
            <w:tcW w:w="1717" w:type="dxa"/>
            <w:vAlign w:val="center"/>
          </w:tcPr>
          <w:p w14:paraId="0EE5D461">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附件四</w:t>
            </w:r>
          </w:p>
        </w:tc>
      </w:tr>
      <w:tr w14:paraId="39C8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486E70F0">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5</w:t>
            </w:r>
          </w:p>
        </w:tc>
        <w:tc>
          <w:tcPr>
            <w:tcW w:w="7193" w:type="dxa"/>
            <w:vAlign w:val="center"/>
          </w:tcPr>
          <w:p w14:paraId="58B7A777">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投标人认为需要提供的其他技术资料</w:t>
            </w:r>
          </w:p>
        </w:tc>
        <w:tc>
          <w:tcPr>
            <w:tcW w:w="1717" w:type="dxa"/>
            <w:vAlign w:val="center"/>
          </w:tcPr>
          <w:p w14:paraId="00C44DA3">
            <w:pPr>
              <w:adjustRightInd w:val="0"/>
              <w:snapToGrid w:val="0"/>
              <w:spacing w:line="360" w:lineRule="auto"/>
              <w:jc w:val="center"/>
              <w:rPr>
                <w:rFonts w:asciiTheme="majorEastAsia" w:hAnsiTheme="majorEastAsia" w:eastAsiaTheme="majorEastAsia" w:cstheme="majorEastAsia"/>
                <w:bCs/>
                <w:sz w:val="24"/>
              </w:rPr>
            </w:pPr>
          </w:p>
        </w:tc>
      </w:tr>
    </w:tbl>
    <w:p w14:paraId="34BCEBA3">
      <w:pPr>
        <w:spacing w:line="360" w:lineRule="auto"/>
        <w:rPr>
          <w:b/>
          <w:kern w:val="0"/>
          <w:sz w:val="24"/>
        </w:rPr>
      </w:pPr>
      <w:r>
        <w:rPr>
          <w:rFonts w:hint="eastAsia" w:asciiTheme="majorEastAsia" w:hAnsiTheme="majorEastAsia" w:eastAsiaTheme="majorEastAsia" w:cstheme="majorEastAsia"/>
          <w:b/>
          <w:sz w:val="24"/>
        </w:rPr>
        <w:t>说明：</w:t>
      </w:r>
      <w:r>
        <w:rPr>
          <w:rFonts w:hAnsi="宋体"/>
          <w:b/>
          <w:kern w:val="0"/>
          <w:sz w:val="24"/>
        </w:rPr>
        <w:t>发生下列情况之一的遴选响应文件被视为无效：</w:t>
      </w:r>
    </w:p>
    <w:p w14:paraId="376855B2">
      <w:pPr>
        <w:numPr>
          <w:ilvl w:val="0"/>
          <w:numId w:val="3"/>
        </w:numPr>
        <w:spacing w:line="360" w:lineRule="auto"/>
        <w:rPr>
          <w:rFonts w:hAnsi="宋体"/>
          <w:b/>
          <w:kern w:val="0"/>
          <w:sz w:val="24"/>
        </w:rPr>
      </w:pPr>
      <w:r>
        <w:rPr>
          <w:rFonts w:hint="eastAsia" w:hAnsi="宋体"/>
          <w:b/>
          <w:kern w:val="0"/>
          <w:sz w:val="24"/>
        </w:rPr>
        <w:t>文件递交</w:t>
      </w:r>
      <w:r>
        <w:rPr>
          <w:rFonts w:hAnsi="宋体"/>
          <w:b/>
          <w:kern w:val="0"/>
          <w:sz w:val="24"/>
        </w:rPr>
        <w:t>截止时间以后送达的</w:t>
      </w:r>
      <w:r>
        <w:rPr>
          <w:rFonts w:hint="eastAsia" w:hAnsi="宋体"/>
          <w:b/>
          <w:kern w:val="0"/>
          <w:sz w:val="24"/>
        </w:rPr>
        <w:t>比</w:t>
      </w:r>
      <w:r>
        <w:rPr>
          <w:rFonts w:hAnsi="宋体"/>
          <w:b/>
          <w:kern w:val="0"/>
          <w:sz w:val="24"/>
        </w:rPr>
        <w:t>选响应文件；</w:t>
      </w:r>
    </w:p>
    <w:p w14:paraId="6018EB58">
      <w:pPr>
        <w:numPr>
          <w:ilvl w:val="0"/>
          <w:numId w:val="3"/>
        </w:numPr>
        <w:spacing w:line="360" w:lineRule="auto"/>
        <w:rPr>
          <w:rFonts w:hAnsi="宋体"/>
          <w:b/>
          <w:kern w:val="0"/>
          <w:sz w:val="24"/>
        </w:rPr>
      </w:pPr>
      <w:r>
        <w:rPr>
          <w:rFonts w:hint="eastAsia" w:hAnsi="宋体"/>
          <w:b/>
          <w:kern w:val="0"/>
          <w:sz w:val="24"/>
        </w:rPr>
        <w:t>以电讯形式投标的比</w:t>
      </w:r>
      <w:r>
        <w:rPr>
          <w:rFonts w:hAnsi="宋体"/>
          <w:b/>
          <w:kern w:val="0"/>
          <w:sz w:val="24"/>
        </w:rPr>
        <w:t>选</w:t>
      </w:r>
      <w:r>
        <w:rPr>
          <w:rFonts w:hint="eastAsia" w:hAnsi="宋体"/>
          <w:b/>
          <w:kern w:val="0"/>
          <w:sz w:val="24"/>
        </w:rPr>
        <w:t>响应文件；</w:t>
      </w:r>
    </w:p>
    <w:p w14:paraId="47ED3050">
      <w:pPr>
        <w:numPr>
          <w:ilvl w:val="0"/>
          <w:numId w:val="3"/>
        </w:numPr>
        <w:spacing w:line="360" w:lineRule="auto"/>
        <w:rPr>
          <w:rFonts w:hAnsi="宋体"/>
          <w:b/>
          <w:kern w:val="0"/>
          <w:sz w:val="24"/>
        </w:rPr>
      </w:pPr>
      <w:r>
        <w:rPr>
          <w:rFonts w:hint="eastAsia" w:hAnsi="宋体"/>
          <w:b/>
          <w:kern w:val="0"/>
          <w:sz w:val="24"/>
        </w:rPr>
        <w:t>与比</w:t>
      </w:r>
      <w:r>
        <w:rPr>
          <w:rFonts w:hAnsi="宋体"/>
          <w:b/>
          <w:kern w:val="0"/>
          <w:sz w:val="24"/>
        </w:rPr>
        <w:t>选</w:t>
      </w:r>
      <w:r>
        <w:rPr>
          <w:rFonts w:hint="eastAsia" w:hAnsi="宋体"/>
          <w:b/>
          <w:kern w:val="0"/>
          <w:sz w:val="24"/>
        </w:rPr>
        <w:t>文件有重大偏离的比</w:t>
      </w:r>
      <w:r>
        <w:rPr>
          <w:rFonts w:hAnsi="宋体"/>
          <w:b/>
          <w:kern w:val="0"/>
          <w:sz w:val="24"/>
        </w:rPr>
        <w:t>选</w:t>
      </w:r>
      <w:r>
        <w:rPr>
          <w:rFonts w:hint="eastAsia" w:hAnsi="宋体"/>
          <w:b/>
          <w:kern w:val="0"/>
          <w:sz w:val="24"/>
        </w:rPr>
        <w:t>响应文件；</w:t>
      </w:r>
    </w:p>
    <w:p w14:paraId="3D386E27">
      <w:pPr>
        <w:numPr>
          <w:ilvl w:val="0"/>
          <w:numId w:val="3"/>
        </w:numPr>
        <w:spacing w:line="360" w:lineRule="auto"/>
        <w:rPr>
          <w:rFonts w:hAnsi="宋体"/>
          <w:b/>
          <w:kern w:val="0"/>
          <w:sz w:val="24"/>
        </w:rPr>
      </w:pPr>
      <w:r>
        <w:rPr>
          <w:rFonts w:hint="eastAsia" w:hAnsi="宋体"/>
          <w:b/>
          <w:kern w:val="0"/>
          <w:sz w:val="24"/>
        </w:rPr>
        <w:t>存在“▲”条款的负偏离或不满足要求；</w:t>
      </w:r>
    </w:p>
    <w:p w14:paraId="11E89B86">
      <w:pPr>
        <w:numPr>
          <w:ilvl w:val="0"/>
          <w:numId w:val="3"/>
        </w:numPr>
        <w:spacing w:line="360" w:lineRule="auto"/>
        <w:rPr>
          <w:rFonts w:hAnsi="宋体"/>
          <w:b/>
          <w:kern w:val="0"/>
          <w:sz w:val="24"/>
        </w:rPr>
      </w:pPr>
      <w:r>
        <w:rPr>
          <w:rFonts w:hint="eastAsia" w:hAnsi="宋体"/>
          <w:b/>
          <w:kern w:val="0"/>
          <w:sz w:val="24"/>
        </w:rPr>
        <w:t>资格证明文件不全，致使无法确认供应商的资格的；</w:t>
      </w:r>
    </w:p>
    <w:p w14:paraId="38DF0683">
      <w:pPr>
        <w:numPr>
          <w:ilvl w:val="0"/>
          <w:numId w:val="3"/>
        </w:numPr>
        <w:spacing w:line="360" w:lineRule="auto"/>
        <w:rPr>
          <w:rStyle w:val="23"/>
          <w:rFonts w:asciiTheme="majorEastAsia" w:hAnsiTheme="majorEastAsia" w:eastAsiaTheme="majorEastAsia" w:cstheme="majorEastAsia"/>
          <w:bCs w:val="0"/>
          <w:sz w:val="24"/>
          <w:shd w:val="clear" w:color="auto" w:fill="FFFFFF"/>
        </w:rPr>
      </w:pPr>
      <w:r>
        <w:rPr>
          <w:rFonts w:hint="eastAsia" w:hAnsi="宋体"/>
          <w:b/>
          <w:kern w:val="0"/>
          <w:sz w:val="24"/>
        </w:rPr>
        <w:t>超出经营范围响应的；</w:t>
      </w:r>
    </w:p>
    <w:p w14:paraId="563A6DE7">
      <w:pPr>
        <w:adjustRightInd w:val="0"/>
        <w:snapToGrid w:val="0"/>
        <w:spacing w:line="360" w:lineRule="auto"/>
        <w:rPr>
          <w:rStyle w:val="23"/>
          <w:rFonts w:asciiTheme="majorEastAsia" w:hAnsiTheme="majorEastAsia" w:eastAsiaTheme="majorEastAsia" w:cstheme="majorEastAsia"/>
          <w:b w:val="0"/>
          <w:bCs w:val="0"/>
          <w:color w:val="333333"/>
          <w:sz w:val="24"/>
          <w:shd w:val="clear" w:color="auto" w:fill="FFFFFF"/>
        </w:rPr>
      </w:pPr>
    </w:p>
    <w:p w14:paraId="0D474606">
      <w:pPr>
        <w:adjustRightInd w:val="0"/>
        <w:snapToGrid w:val="0"/>
        <w:spacing w:line="360" w:lineRule="auto"/>
        <w:rPr>
          <w:rStyle w:val="23"/>
          <w:rFonts w:asciiTheme="majorEastAsia" w:hAnsiTheme="majorEastAsia" w:eastAsiaTheme="majorEastAsia" w:cstheme="majorEastAsia"/>
          <w:b w:val="0"/>
          <w:bCs w:val="0"/>
          <w:color w:val="333333"/>
          <w:sz w:val="24"/>
          <w:shd w:val="clear" w:color="auto" w:fill="FFFFFF"/>
        </w:rPr>
      </w:pPr>
      <w:r>
        <w:rPr>
          <w:rStyle w:val="23"/>
          <w:rFonts w:hint="eastAsia" w:asciiTheme="majorEastAsia" w:hAnsiTheme="majorEastAsia" w:eastAsiaTheme="majorEastAsia" w:cstheme="majorEastAsia"/>
          <w:b w:val="0"/>
          <w:bCs w:val="0"/>
          <w:color w:val="333333"/>
          <w:sz w:val="24"/>
          <w:shd w:val="clear" w:color="auto" w:fill="FFFFFF"/>
        </w:rPr>
        <w:t>（2）商务标</w:t>
      </w:r>
    </w:p>
    <w:tbl>
      <w:tblPr>
        <w:tblStyle w:val="2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7194"/>
        <w:gridCol w:w="1729"/>
      </w:tblGrid>
      <w:tr w14:paraId="69D0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44E08E58">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序号</w:t>
            </w:r>
          </w:p>
        </w:tc>
        <w:tc>
          <w:tcPr>
            <w:tcW w:w="7194" w:type="dxa"/>
            <w:vAlign w:val="center"/>
          </w:tcPr>
          <w:p w14:paraId="775AFBCE">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内容</w:t>
            </w:r>
          </w:p>
        </w:tc>
        <w:tc>
          <w:tcPr>
            <w:tcW w:w="1729" w:type="dxa"/>
            <w:vAlign w:val="center"/>
          </w:tcPr>
          <w:p w14:paraId="738B8664">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备注</w:t>
            </w:r>
          </w:p>
        </w:tc>
      </w:tr>
      <w:tr w14:paraId="5141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628C7CCE">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w:t>
            </w:r>
          </w:p>
        </w:tc>
        <w:tc>
          <w:tcPr>
            <w:tcW w:w="7194" w:type="dxa"/>
            <w:vAlign w:val="center"/>
          </w:tcPr>
          <w:p w14:paraId="4CB6B3ED">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投标报价一览表</w:t>
            </w:r>
          </w:p>
        </w:tc>
        <w:tc>
          <w:tcPr>
            <w:tcW w:w="1729" w:type="dxa"/>
            <w:vAlign w:val="center"/>
          </w:tcPr>
          <w:p w14:paraId="2CCC7D8D">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附件五</w:t>
            </w:r>
          </w:p>
        </w:tc>
      </w:tr>
    </w:tbl>
    <w:p w14:paraId="37B833A4">
      <w:pPr>
        <w:spacing w:line="360" w:lineRule="auto"/>
        <w:ind w:firstLine="720" w:firstLineChars="300"/>
        <w:rPr>
          <w:rFonts w:ascii="宋体" w:hAnsi="宋体" w:cs="宋体"/>
          <w:sz w:val="24"/>
        </w:rPr>
      </w:pPr>
    </w:p>
    <w:p w14:paraId="7A2B795A">
      <w:pPr>
        <w:spacing w:line="360" w:lineRule="auto"/>
        <w:ind w:firstLine="720" w:firstLineChars="3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应根据比选文件所提供的格式，内容按顺序装订成册。投标人应提供一式四份投标文件。其中正本一份、副本三份，每套投标文件的封面应清楚标明“正本”或“副本”字样，若“正本”与“副本”不符，以“正本”为准。投标人没有按照比选文件要求提交全部资料，或者没有对招标文件各个方面做出实质性响应，导致投标被否决的风险由投标人自行承担。</w:t>
      </w:r>
    </w:p>
    <w:p w14:paraId="0E6B38C8">
      <w:pPr>
        <w:pStyle w:val="7"/>
        <w:ind w:firstLine="0"/>
        <w:rPr>
          <w:rFonts w:ascii="新宋体" w:hAnsi="新宋体" w:eastAsia="新宋体" w:cs="宋体"/>
          <w:bCs/>
          <w:sz w:val="32"/>
        </w:rPr>
      </w:pPr>
    </w:p>
    <w:p w14:paraId="7B0CD2B9"/>
    <w:p w14:paraId="726A1FC5">
      <w:pPr>
        <w:pStyle w:val="6"/>
      </w:pPr>
    </w:p>
    <w:p w14:paraId="5F51C5A0"/>
    <w:p w14:paraId="5F6144B1">
      <w:pPr>
        <w:pStyle w:val="6"/>
      </w:pPr>
    </w:p>
    <w:p w14:paraId="71D8E83F"/>
    <w:p w14:paraId="6C9255A1"/>
    <w:p w14:paraId="5E6955D7"/>
    <w:p w14:paraId="743EC778">
      <w:pPr>
        <w:pStyle w:val="6"/>
      </w:pPr>
    </w:p>
    <w:p w14:paraId="62E45A02"/>
    <w:p w14:paraId="1D4B3974">
      <w:pPr>
        <w:pStyle w:val="2"/>
      </w:pPr>
    </w:p>
    <w:p w14:paraId="2FD4D1D4"/>
    <w:p w14:paraId="0B872645">
      <w:pPr>
        <w:pStyle w:val="2"/>
      </w:pPr>
    </w:p>
    <w:p w14:paraId="0C53D590"/>
    <w:p w14:paraId="1BA848CD">
      <w:pPr>
        <w:pStyle w:val="2"/>
      </w:pPr>
    </w:p>
    <w:p w14:paraId="5AB5C6B2"/>
    <w:p w14:paraId="1AB127AA">
      <w:pPr>
        <w:pStyle w:val="2"/>
      </w:pPr>
    </w:p>
    <w:p w14:paraId="0FAC71E7"/>
    <w:p w14:paraId="520E0316">
      <w:pPr>
        <w:pStyle w:val="2"/>
      </w:pPr>
    </w:p>
    <w:p w14:paraId="4C8A2FFF"/>
    <w:p w14:paraId="2CD488CC">
      <w:pPr>
        <w:pStyle w:val="2"/>
      </w:pPr>
    </w:p>
    <w:p w14:paraId="0323A0F0"/>
    <w:p w14:paraId="2C476B0D">
      <w:pPr>
        <w:pStyle w:val="2"/>
      </w:pPr>
    </w:p>
    <w:p w14:paraId="4ACA4E97"/>
    <w:p w14:paraId="4F87950D">
      <w:pPr>
        <w:pStyle w:val="2"/>
      </w:pPr>
    </w:p>
    <w:p w14:paraId="091B0E9A"/>
    <w:p w14:paraId="4ADD8568">
      <w:pPr>
        <w:pStyle w:val="2"/>
      </w:pPr>
    </w:p>
    <w:p w14:paraId="6BC04AEF"/>
    <w:p w14:paraId="706DC19B">
      <w:pPr>
        <w:pStyle w:val="2"/>
      </w:pPr>
    </w:p>
    <w:p w14:paraId="2C5E0267"/>
    <w:p w14:paraId="3B18B12F">
      <w:pPr>
        <w:pStyle w:val="2"/>
      </w:pPr>
    </w:p>
    <w:p w14:paraId="34D10C68"/>
    <w:p w14:paraId="5F029E21"/>
    <w:p w14:paraId="58B968B0">
      <w:pPr>
        <w:jc w:val="center"/>
        <w:rPr>
          <w:rFonts w:ascii="新宋体" w:hAnsi="新宋体" w:eastAsia="新宋体" w:cs="宋体"/>
          <w:b/>
          <w:bCs/>
          <w:kern w:val="0"/>
          <w:sz w:val="32"/>
          <w:szCs w:val="32"/>
        </w:rPr>
      </w:pPr>
      <w:r>
        <w:rPr>
          <w:rFonts w:hint="eastAsia" w:ascii="新宋体" w:hAnsi="新宋体" w:eastAsia="新宋体" w:cs="宋体"/>
          <w:b/>
          <w:bCs/>
          <w:kern w:val="0"/>
          <w:sz w:val="32"/>
          <w:szCs w:val="32"/>
        </w:rPr>
        <w:t>评审原则及方法</w:t>
      </w:r>
    </w:p>
    <w:p w14:paraId="0145CDDF">
      <w:pPr>
        <w:pStyle w:val="17"/>
        <w:shd w:val="clear" w:color="auto" w:fill="FFFFFF"/>
        <w:spacing w:line="360" w:lineRule="auto"/>
        <w:ind w:firstLine="556"/>
        <w:rPr>
          <w:rFonts w:asciiTheme="majorEastAsia" w:hAnsiTheme="majorEastAsia" w:eastAsiaTheme="majorEastAsia" w:cstheme="majorEastAsia"/>
          <w:b/>
          <w:bCs/>
          <w:kern w:val="2"/>
        </w:rPr>
      </w:pPr>
      <w:r>
        <w:rPr>
          <w:rFonts w:hint="eastAsia" w:asciiTheme="majorEastAsia" w:hAnsiTheme="majorEastAsia" w:eastAsiaTheme="majorEastAsia" w:cstheme="majorEastAsia"/>
          <w:b/>
        </w:rPr>
        <w:t>参考《中华人民共和国政府采购法》、《政府采购货物和服务招标投标管理办法》、《中华人民共和国政府采购法实施条例》和《关于进一步规范政府采购活动的若干意见》等相关法规特制定以下评标办法。</w:t>
      </w:r>
    </w:p>
    <w:p w14:paraId="0CC45E6B">
      <w:pPr>
        <w:spacing w:line="360" w:lineRule="auto"/>
        <w:ind w:firstLine="590" w:firstLineChars="245"/>
        <w:outlineLvl w:val="1"/>
        <w:rPr>
          <w:rFonts w:asciiTheme="majorEastAsia" w:hAnsiTheme="majorEastAsia" w:eastAsiaTheme="majorEastAsia" w:cstheme="majorEastAsia"/>
          <w:b/>
          <w:sz w:val="24"/>
        </w:rPr>
      </w:pPr>
      <w:bookmarkStart w:id="0" w:name="_Toc15153"/>
      <w:bookmarkStart w:id="1" w:name="_Toc67"/>
      <w:r>
        <w:rPr>
          <w:rFonts w:hint="eastAsia" w:asciiTheme="majorEastAsia" w:hAnsiTheme="majorEastAsia" w:eastAsiaTheme="majorEastAsia" w:cstheme="majorEastAsia"/>
          <w:b/>
          <w:sz w:val="24"/>
        </w:rPr>
        <w:t>一、评标程序</w:t>
      </w:r>
      <w:bookmarkEnd w:id="0"/>
      <w:bookmarkEnd w:id="1"/>
    </w:p>
    <w:p w14:paraId="23A7096E">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评标委员按照比选文件中规定的评标方法和标准，对投标文件进行商务和技术评估，综合比较与评价</w:t>
      </w:r>
      <w:r>
        <w:rPr>
          <w:rFonts w:hint="eastAsia" w:asciiTheme="majorEastAsia" w:hAnsiTheme="majorEastAsia" w:eastAsiaTheme="majorEastAsia" w:cstheme="majorEastAsia"/>
          <w:sz w:val="24"/>
        </w:rPr>
        <w:t>，根据综合评审结果，提交评审报告。</w:t>
      </w:r>
    </w:p>
    <w:p w14:paraId="65A054A2">
      <w:pPr>
        <w:spacing w:line="360" w:lineRule="auto"/>
        <w:ind w:firstLine="590" w:firstLineChars="245"/>
        <w:outlineLvl w:val="1"/>
        <w:rPr>
          <w:rFonts w:asciiTheme="majorEastAsia" w:hAnsiTheme="majorEastAsia" w:eastAsiaTheme="majorEastAsia" w:cstheme="majorEastAsia"/>
          <w:b/>
          <w:sz w:val="24"/>
        </w:rPr>
      </w:pPr>
      <w:bookmarkStart w:id="2" w:name="_Toc24825"/>
      <w:bookmarkStart w:id="3" w:name="_Toc11306"/>
      <w:r>
        <w:rPr>
          <w:rFonts w:hint="eastAsia" w:asciiTheme="majorEastAsia" w:hAnsiTheme="majorEastAsia" w:eastAsiaTheme="majorEastAsia" w:cstheme="majorEastAsia"/>
          <w:b/>
          <w:sz w:val="24"/>
        </w:rPr>
        <w:t>二、评标办法</w:t>
      </w:r>
      <w:bookmarkEnd w:id="2"/>
      <w:bookmarkEnd w:id="3"/>
    </w:p>
    <w:p w14:paraId="18AFDA39">
      <w:pPr>
        <w:spacing w:line="360" w:lineRule="auto"/>
        <w:ind w:firstLine="588" w:firstLineChars="245"/>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rPr>
        <w:t>本次采购采用百分制综合评分法，即投标人最大限度地满足比选文件实质性要求的基础上，按照招标文件的各项因素进行综合评审后，以评标总得分最高的投标人和次高的投标人作为第一和第二排序的中标候选人的评标方法。根据采购要求，</w:t>
      </w:r>
      <w:r>
        <w:rPr>
          <w:rFonts w:hint="eastAsia" w:asciiTheme="majorEastAsia" w:hAnsiTheme="majorEastAsia" w:eastAsiaTheme="majorEastAsia" w:cstheme="majorEastAsia"/>
          <w:b/>
          <w:sz w:val="24"/>
        </w:rPr>
        <w:t>总分设定为100分：技术标70分（权值70%），商务标报价30分（权值30%）。</w:t>
      </w:r>
    </w:p>
    <w:p w14:paraId="4308555F">
      <w:pPr>
        <w:spacing w:line="360" w:lineRule="auto"/>
        <w:ind w:firstLine="482" w:firstLineChars="200"/>
        <w:outlineLvl w:val="1"/>
        <w:rPr>
          <w:rFonts w:asciiTheme="majorEastAsia" w:hAnsiTheme="majorEastAsia" w:eastAsiaTheme="majorEastAsia" w:cstheme="majorEastAsia"/>
          <w:b/>
          <w:sz w:val="24"/>
        </w:rPr>
      </w:pPr>
      <w:bookmarkStart w:id="4" w:name="_Toc1535"/>
      <w:bookmarkStart w:id="5" w:name="_Toc11450"/>
      <w:r>
        <w:rPr>
          <w:rFonts w:hint="eastAsia" w:asciiTheme="majorEastAsia" w:hAnsiTheme="majorEastAsia" w:eastAsiaTheme="majorEastAsia" w:cstheme="majorEastAsia"/>
          <w:b/>
          <w:sz w:val="24"/>
        </w:rPr>
        <w:t>三、评分细则</w:t>
      </w:r>
      <w:bookmarkEnd w:id="4"/>
      <w:bookmarkEnd w:id="5"/>
    </w:p>
    <w:p w14:paraId="2D0FD410">
      <w:pPr>
        <w:spacing w:line="360" w:lineRule="auto"/>
        <w:ind w:firstLine="590" w:firstLineChars="245"/>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1、技术分的评定：技术标70分（权值70%）</w:t>
      </w:r>
    </w:p>
    <w:p w14:paraId="39AE71A3">
      <w:pPr>
        <w:spacing w:line="360" w:lineRule="auto"/>
        <w:ind w:firstLine="588" w:firstLineChars="24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20"/>
        <w:tblpPr w:leftFromText="180" w:rightFromText="180" w:vertAnchor="text" w:horzAnchor="page" w:tblpX="1806" w:tblpY="296"/>
        <w:tblOverlap w:val="never"/>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7"/>
        <w:gridCol w:w="1490"/>
        <w:gridCol w:w="6379"/>
        <w:gridCol w:w="726"/>
      </w:tblGrid>
      <w:tr w14:paraId="0FE1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80" w:hRule="atLeast"/>
        </w:trPr>
        <w:tc>
          <w:tcPr>
            <w:tcW w:w="9242" w:type="dxa"/>
            <w:gridSpan w:val="4"/>
            <w:shd w:val="clear" w:color="auto" w:fill="auto"/>
            <w:noWrap w:val="0"/>
            <w:vAlign w:val="center"/>
          </w:tcPr>
          <w:p w14:paraId="07700E20">
            <w:pPr>
              <w:rPr>
                <w:rFonts w:hint="eastAsia"/>
              </w:rPr>
            </w:pPr>
            <w:r>
              <w:rPr>
                <w:rFonts w:hint="eastAsia"/>
                <w:lang w:val="en-US" w:eastAsia="zh-CN"/>
              </w:rPr>
              <w:t>技术评分</w:t>
            </w:r>
            <w:r>
              <w:rPr>
                <w:rFonts w:hint="eastAsia"/>
              </w:rPr>
              <w:t>：</w:t>
            </w:r>
            <w:r>
              <w:rPr>
                <w:rFonts w:hint="eastAsia"/>
                <w:lang w:val="en-US" w:eastAsia="zh-CN"/>
              </w:rPr>
              <w:t>70</w:t>
            </w:r>
            <w:r>
              <w:rPr>
                <w:rFonts w:hint="eastAsia"/>
              </w:rPr>
              <w:t>分</w:t>
            </w:r>
          </w:p>
        </w:tc>
      </w:tr>
      <w:tr w14:paraId="2CB7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84" w:hRule="atLeast"/>
        </w:trPr>
        <w:tc>
          <w:tcPr>
            <w:tcW w:w="647" w:type="dxa"/>
            <w:shd w:val="clear" w:color="auto" w:fill="auto"/>
            <w:noWrap w:val="0"/>
            <w:vAlign w:val="center"/>
          </w:tcPr>
          <w:p w14:paraId="7DA84199">
            <w:pPr>
              <w:jc w:val="center"/>
              <w:rPr>
                <w:rFonts w:hint="eastAsia"/>
                <w:lang w:eastAsia="zh-CN"/>
              </w:rPr>
            </w:pPr>
            <w:r>
              <w:rPr>
                <w:rFonts w:hint="eastAsia"/>
                <w:lang w:val="en-US" w:eastAsia="zh-CN"/>
              </w:rPr>
              <w:t>1</w:t>
            </w:r>
          </w:p>
        </w:tc>
        <w:tc>
          <w:tcPr>
            <w:tcW w:w="1490" w:type="dxa"/>
            <w:shd w:val="clear" w:color="auto" w:fill="auto"/>
            <w:noWrap w:val="0"/>
            <w:vAlign w:val="center"/>
          </w:tcPr>
          <w:p w14:paraId="30806E10">
            <w:pPr>
              <w:jc w:val="center"/>
              <w:rPr>
                <w:rFonts w:hint="eastAsia"/>
              </w:rPr>
            </w:pPr>
            <w:r>
              <w:rPr>
                <w:rFonts w:hint="eastAsia"/>
              </w:rPr>
              <w:t>类似业绩</w:t>
            </w:r>
          </w:p>
        </w:tc>
        <w:tc>
          <w:tcPr>
            <w:tcW w:w="6379" w:type="dxa"/>
            <w:shd w:val="clear" w:color="auto" w:fill="auto"/>
            <w:noWrap w:val="0"/>
            <w:vAlign w:val="center"/>
          </w:tcPr>
          <w:p w14:paraId="7DBAC2EA">
            <w:pPr>
              <w:spacing w:line="240" w:lineRule="auto"/>
              <w:rPr>
                <w:rFonts w:hint="default" w:ascii="Times New Roman" w:hAnsi="Times New Roman" w:eastAsia="宋体" w:cs="Times New Roman"/>
                <w:spacing w:val="0"/>
                <w:sz w:val="21"/>
                <w:lang w:eastAsia="zh-CN"/>
              </w:rPr>
            </w:pPr>
            <w:r>
              <w:rPr>
                <w:rFonts w:hint="default" w:ascii="Times New Roman" w:hAnsi="Times New Roman" w:cs="Times New Roman"/>
                <w:spacing w:val="0"/>
                <w:sz w:val="21"/>
              </w:rPr>
              <w:t>投标人202</w:t>
            </w:r>
            <w:r>
              <w:rPr>
                <w:rFonts w:hint="eastAsia" w:cs="Times New Roman"/>
                <w:spacing w:val="0"/>
                <w:sz w:val="21"/>
                <w:lang w:val="en-US" w:eastAsia="zh-CN"/>
              </w:rPr>
              <w:t>2</w:t>
            </w:r>
            <w:r>
              <w:rPr>
                <w:rFonts w:hint="default" w:ascii="Times New Roman" w:hAnsi="Times New Roman" w:cs="Times New Roman"/>
                <w:spacing w:val="0"/>
                <w:sz w:val="21"/>
              </w:rPr>
              <w:t>年1月1日以来（合同签订时间为准）</w:t>
            </w:r>
            <w:r>
              <w:rPr>
                <w:rFonts w:hint="default" w:ascii="Times New Roman" w:hAnsi="Times New Roman" w:cs="Times New Roman"/>
                <w:spacing w:val="0"/>
                <w:sz w:val="21"/>
                <w:lang w:val="en-US" w:eastAsia="zh-CN"/>
              </w:rPr>
              <w:t>产品</w:t>
            </w:r>
            <w:r>
              <w:rPr>
                <w:rFonts w:hint="default" w:ascii="Times New Roman" w:hAnsi="Times New Roman" w:cs="Times New Roman"/>
                <w:spacing w:val="0"/>
                <w:sz w:val="21"/>
              </w:rPr>
              <w:t>类项目业绩，每提供一份得1分，最多得</w:t>
            </w:r>
            <w:r>
              <w:rPr>
                <w:rFonts w:hint="eastAsia" w:ascii="Times New Roman" w:hAnsi="Times New Roman" w:cs="Times New Roman"/>
                <w:spacing w:val="0"/>
                <w:sz w:val="21"/>
                <w:lang w:val="en-US" w:eastAsia="zh-CN"/>
              </w:rPr>
              <w:t>2</w:t>
            </w:r>
            <w:r>
              <w:rPr>
                <w:rFonts w:hint="default" w:ascii="Times New Roman" w:hAnsi="Times New Roman" w:cs="Times New Roman"/>
                <w:spacing w:val="0"/>
                <w:sz w:val="21"/>
              </w:rPr>
              <w:t>分。</w:t>
            </w:r>
            <w:r>
              <w:rPr>
                <w:rFonts w:hint="default" w:ascii="Times New Roman" w:hAnsi="Times New Roman" w:cs="Times New Roman"/>
                <w:spacing w:val="0"/>
                <w:sz w:val="21"/>
                <w:lang w:eastAsia="zh-CN"/>
              </w:rPr>
              <w:t>（</w:t>
            </w:r>
            <w:r>
              <w:rPr>
                <w:rFonts w:hint="default" w:ascii="Times New Roman" w:hAnsi="Times New Roman" w:cs="Times New Roman"/>
                <w:spacing w:val="0"/>
                <w:sz w:val="21"/>
                <w:lang w:val="en-US" w:eastAsia="zh-CN"/>
              </w:rPr>
              <w:t>0-</w:t>
            </w:r>
            <w:r>
              <w:rPr>
                <w:rFonts w:hint="eastAsia" w:ascii="Times New Roman" w:hAnsi="Times New Roman" w:cs="Times New Roman"/>
                <w:spacing w:val="0"/>
                <w:sz w:val="21"/>
                <w:lang w:val="en-US" w:eastAsia="zh-CN"/>
              </w:rPr>
              <w:t>2</w:t>
            </w:r>
            <w:r>
              <w:rPr>
                <w:rFonts w:hint="default" w:ascii="Times New Roman" w:hAnsi="Times New Roman" w:cs="Times New Roman"/>
                <w:spacing w:val="0"/>
                <w:sz w:val="21"/>
                <w:lang w:val="en-US" w:eastAsia="zh-CN"/>
              </w:rPr>
              <w:t>分</w:t>
            </w:r>
            <w:r>
              <w:rPr>
                <w:rFonts w:hint="default" w:ascii="Times New Roman" w:hAnsi="Times New Roman" w:cs="Times New Roman"/>
                <w:spacing w:val="0"/>
                <w:sz w:val="21"/>
                <w:lang w:eastAsia="zh-CN"/>
              </w:rPr>
              <w:t>）</w:t>
            </w:r>
          </w:p>
          <w:p w14:paraId="316EB049">
            <w:pPr>
              <w:jc w:val="left"/>
              <w:rPr>
                <w:rFonts w:hint="eastAsia"/>
              </w:rPr>
            </w:pPr>
            <w:r>
              <w:rPr>
                <w:rFonts w:hint="default" w:ascii="Times New Roman" w:hAnsi="Times New Roman" w:cs="Times New Roman"/>
                <w:spacing w:val="0"/>
                <w:sz w:val="21"/>
              </w:rPr>
              <w:t>（</w:t>
            </w:r>
            <w:r>
              <w:rPr>
                <w:rFonts w:hint="default" w:ascii="Times New Roman" w:hAnsi="Times New Roman" w:cs="Times New Roman"/>
                <w:b w:val="0"/>
                <w:bCs w:val="0"/>
                <w:spacing w:val="0"/>
                <w:sz w:val="21"/>
              </w:rPr>
              <w:t>注：</w:t>
            </w:r>
            <w:r>
              <w:rPr>
                <w:rFonts w:hint="default" w:ascii="Times New Roman" w:hAnsi="Times New Roman" w:cs="Times New Roman"/>
                <w:spacing w:val="0"/>
                <w:sz w:val="21"/>
              </w:rPr>
              <w:t>提供合同复印件并加盖公章</w:t>
            </w:r>
            <w:r>
              <w:rPr>
                <w:rFonts w:hint="default" w:ascii="Times New Roman" w:hAnsi="Times New Roman" w:eastAsia="宋体" w:cs="Times New Roman"/>
                <w:b w:val="0"/>
                <w:bCs w:val="0"/>
                <w:spacing w:val="0"/>
                <w:sz w:val="21"/>
                <w:szCs w:val="24"/>
                <w:lang w:eastAsia="zh-CN"/>
              </w:rPr>
              <w:t>，</w:t>
            </w:r>
            <w:r>
              <w:rPr>
                <w:rFonts w:hint="default" w:ascii="Times New Roman" w:hAnsi="Times New Roman" w:eastAsia="宋体" w:cs="Times New Roman"/>
                <w:b w:val="0"/>
                <w:bCs w:val="0"/>
                <w:spacing w:val="0"/>
                <w:sz w:val="21"/>
                <w:szCs w:val="24"/>
              </w:rPr>
              <w:t>否则不得分</w:t>
            </w:r>
            <w:r>
              <w:rPr>
                <w:rFonts w:hint="default" w:ascii="Times New Roman" w:hAnsi="Times New Roman" w:cs="Times New Roman"/>
                <w:spacing w:val="0"/>
                <w:sz w:val="21"/>
              </w:rPr>
              <w:t>）</w:t>
            </w:r>
          </w:p>
        </w:tc>
        <w:tc>
          <w:tcPr>
            <w:tcW w:w="726" w:type="dxa"/>
            <w:shd w:val="clear" w:color="auto" w:fill="auto"/>
            <w:noWrap w:val="0"/>
            <w:vAlign w:val="center"/>
          </w:tcPr>
          <w:p w14:paraId="674153CC">
            <w:pPr>
              <w:jc w:val="center"/>
              <w:rPr>
                <w:rFonts w:hint="default"/>
                <w:lang w:val="en-US" w:eastAsia="zh-CN"/>
              </w:rPr>
            </w:pPr>
            <w:r>
              <w:rPr>
                <w:rFonts w:hint="eastAsia"/>
                <w:lang w:val="en-US" w:eastAsia="zh-CN"/>
              </w:rPr>
              <w:t>2</w:t>
            </w:r>
          </w:p>
        </w:tc>
      </w:tr>
      <w:tr w14:paraId="541E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71" w:hRule="atLeast"/>
        </w:trPr>
        <w:tc>
          <w:tcPr>
            <w:tcW w:w="647" w:type="dxa"/>
            <w:shd w:val="clear" w:color="auto" w:fill="auto"/>
            <w:noWrap w:val="0"/>
            <w:vAlign w:val="center"/>
          </w:tcPr>
          <w:p w14:paraId="6A5972C8">
            <w:pPr>
              <w:jc w:val="center"/>
              <w:rPr>
                <w:rFonts w:hint="default"/>
                <w:lang w:val="en-US" w:eastAsia="zh-CN"/>
              </w:rPr>
            </w:pPr>
            <w:r>
              <w:rPr>
                <w:rFonts w:hint="eastAsia"/>
                <w:lang w:val="en-US" w:eastAsia="zh-CN"/>
              </w:rPr>
              <w:t>2</w:t>
            </w:r>
          </w:p>
        </w:tc>
        <w:tc>
          <w:tcPr>
            <w:tcW w:w="1490" w:type="dxa"/>
            <w:shd w:val="clear" w:color="auto" w:fill="auto"/>
            <w:noWrap w:val="0"/>
            <w:vAlign w:val="center"/>
          </w:tcPr>
          <w:p w14:paraId="50E573F4">
            <w:pPr>
              <w:jc w:val="center"/>
              <w:rPr>
                <w:rFonts w:hint="eastAsia"/>
              </w:rPr>
            </w:pPr>
            <w:r>
              <w:rPr>
                <w:rFonts w:hint="default" w:ascii="Times New Roman" w:hAnsi="Times New Roman" w:eastAsia="宋体" w:cs="Times New Roman"/>
                <w:sz w:val="21"/>
                <w:szCs w:val="24"/>
              </w:rPr>
              <w:t>投标人综合情况</w:t>
            </w:r>
          </w:p>
        </w:tc>
        <w:tc>
          <w:tcPr>
            <w:tcW w:w="6379" w:type="dxa"/>
            <w:shd w:val="clear" w:color="auto" w:fill="auto"/>
            <w:noWrap w:val="0"/>
            <w:vAlign w:val="center"/>
          </w:tcPr>
          <w:p w14:paraId="21EBE463">
            <w:r>
              <w:rPr>
                <w:rFonts w:hint="eastAsia"/>
              </w:rPr>
              <w:t>投标人具有经中国国家认证认可监督管理委员会认证机构颁发的有效期内ISO 29151个人身份信息保护管理体系证书</w:t>
            </w:r>
            <w:r>
              <w:rPr>
                <w:rFonts w:hint="eastAsia"/>
                <w:lang w:eastAsia="zh-CN"/>
              </w:rPr>
              <w:t>、</w:t>
            </w:r>
            <w:r>
              <w:rPr>
                <w:rFonts w:hint="eastAsia"/>
              </w:rPr>
              <w:t>ISO 27040数据储存安全管理体系证书，每提供一个得1分，最高2分；（0-2分）</w:t>
            </w:r>
          </w:p>
          <w:p w14:paraId="73AA7AB9">
            <w:pPr>
              <w:rPr>
                <w:rFonts w:hint="eastAsia"/>
              </w:rPr>
            </w:pPr>
            <w:r>
              <w:rPr>
                <w:rFonts w:hint="eastAsia"/>
              </w:rPr>
              <w:t>（注：须提供相关证书复印件及</w:t>
            </w:r>
            <w:r>
              <w:rPr>
                <w:rFonts w:hint="eastAsia" w:ascii="宋体" w:hAnsi="宋体" w:eastAsia="宋体" w:cs="宋体"/>
                <w:b/>
                <w:bCs/>
                <w:color w:val="auto"/>
                <w:sz w:val="22"/>
                <w:szCs w:val="22"/>
                <w:highlight w:val="none"/>
                <w:lang w:eastAsia="zh-CN"/>
              </w:rPr>
              <w:t>国家认证认可监督管理委员会官网</w:t>
            </w:r>
            <w:r>
              <w:rPr>
                <w:rFonts w:hint="eastAsia"/>
              </w:rPr>
              <w:t>网站截图，未提供不得分）</w:t>
            </w:r>
          </w:p>
        </w:tc>
        <w:tc>
          <w:tcPr>
            <w:tcW w:w="726" w:type="dxa"/>
            <w:shd w:val="clear" w:color="auto" w:fill="auto"/>
            <w:noWrap w:val="0"/>
            <w:vAlign w:val="center"/>
          </w:tcPr>
          <w:p w14:paraId="3594F0C8">
            <w:pPr>
              <w:jc w:val="center"/>
              <w:rPr>
                <w:rFonts w:hint="eastAsia"/>
                <w:lang w:val="en-US" w:eastAsia="zh-CN"/>
              </w:rPr>
            </w:pPr>
            <w:r>
              <w:rPr>
                <w:rFonts w:hint="eastAsia"/>
              </w:rPr>
              <w:t>2</w:t>
            </w:r>
          </w:p>
        </w:tc>
      </w:tr>
      <w:tr w14:paraId="4FDC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53" w:hRule="atLeast"/>
        </w:trPr>
        <w:tc>
          <w:tcPr>
            <w:tcW w:w="647" w:type="dxa"/>
            <w:shd w:val="clear" w:color="auto" w:fill="auto"/>
            <w:noWrap w:val="0"/>
            <w:vAlign w:val="center"/>
          </w:tcPr>
          <w:p w14:paraId="03A57CE4">
            <w:pPr>
              <w:jc w:val="center"/>
              <w:rPr>
                <w:rFonts w:hint="default"/>
                <w:lang w:val="en-US" w:eastAsia="zh-CN"/>
              </w:rPr>
            </w:pPr>
            <w:r>
              <w:rPr>
                <w:rFonts w:hint="eastAsia"/>
                <w:lang w:val="en-US" w:eastAsia="zh-CN"/>
              </w:rPr>
              <w:t>3</w:t>
            </w:r>
          </w:p>
        </w:tc>
        <w:tc>
          <w:tcPr>
            <w:tcW w:w="1490" w:type="dxa"/>
            <w:shd w:val="clear" w:color="auto" w:fill="auto"/>
            <w:noWrap w:val="0"/>
            <w:vAlign w:val="center"/>
          </w:tcPr>
          <w:p w14:paraId="474305D1">
            <w:pPr>
              <w:jc w:val="center"/>
              <w:rPr>
                <w:rFonts w:hint="eastAsia"/>
              </w:rPr>
            </w:pPr>
            <w:r>
              <w:rPr>
                <w:rFonts w:hint="default" w:ascii="Times New Roman" w:hAnsi="Times New Roman" w:cs="Times New Roman"/>
                <w:kern w:val="2"/>
                <w:sz w:val="21"/>
              </w:rPr>
              <w:t>采购需求响应情况</w:t>
            </w:r>
          </w:p>
        </w:tc>
        <w:tc>
          <w:tcPr>
            <w:tcW w:w="6379" w:type="dxa"/>
            <w:shd w:val="clear" w:color="auto" w:fill="auto"/>
            <w:noWrap w:val="0"/>
            <w:vAlign w:val="center"/>
          </w:tcPr>
          <w:p w14:paraId="224B50DC">
            <w:pPr>
              <w:jc w:val="left"/>
              <w:rPr>
                <w:rFonts w:hint="eastAsia"/>
              </w:rPr>
            </w:pPr>
            <w:r>
              <w:rPr>
                <w:rFonts w:hint="default" w:ascii="Times New Roman" w:hAnsi="Times New Roman" w:eastAsia="宋体" w:cs="Times New Roman"/>
                <w:sz w:val="21"/>
                <w:szCs w:val="24"/>
              </w:rPr>
              <w:t>投标人所投产品技术参数与招标文件中技术要求的响应程度，完全满足或优于的得</w:t>
            </w:r>
            <w:r>
              <w:rPr>
                <w:rFonts w:hint="default" w:cs="Times New Roman"/>
                <w:spacing w:val="0"/>
                <w:sz w:val="21"/>
                <w:lang w:val="en-US" w:eastAsia="zh-CN"/>
              </w:rPr>
              <w:t>25</w:t>
            </w:r>
            <w:r>
              <w:rPr>
                <w:rFonts w:hint="default" w:ascii="Times New Roman" w:hAnsi="Times New Roman" w:cs="Times New Roman"/>
                <w:spacing w:val="0"/>
                <w:sz w:val="21"/>
              </w:rPr>
              <w:t>分，</w:t>
            </w:r>
            <w:r>
              <w:rPr>
                <w:rFonts w:hint="default" w:ascii="Times New Roman" w:hAnsi="Times New Roman" w:eastAsia="宋体" w:cs="Times New Roman"/>
                <w:sz w:val="21"/>
                <w:szCs w:val="24"/>
                <w:lang w:val="en-US" w:eastAsia="zh-CN"/>
              </w:rPr>
              <w:t>采购文件中</w:t>
            </w:r>
            <w:r>
              <w:rPr>
                <w:rFonts w:hint="default" w:ascii="Times New Roman" w:hAnsi="Times New Roman" w:eastAsia="宋体" w:cs="Times New Roman"/>
                <w:sz w:val="21"/>
                <w:szCs w:val="24"/>
              </w:rPr>
              <w:t>标注</w:t>
            </w:r>
            <w:r>
              <w:rPr>
                <w:rFonts w:hint="default" w:ascii="Times New Roman" w:hAnsi="Times New Roman" w:cs="Times New Roman"/>
                <w:spacing w:val="0"/>
                <w:sz w:val="21"/>
                <w:lang w:eastAsia="zh-CN"/>
              </w:rPr>
              <w:t>“</w:t>
            </w:r>
            <w:r>
              <w:rPr>
                <w:rFonts w:hint="default" w:ascii="Times New Roman" w:hAnsi="Times New Roman" w:eastAsia="宋体" w:cs="Times New Roman"/>
                <w:sz w:val="21"/>
                <w:szCs w:val="24"/>
                <w:lang w:val="en-US" w:eastAsia="zh-CN"/>
              </w:rPr>
              <w:t>★”</w:t>
            </w:r>
            <w:r>
              <w:rPr>
                <w:rFonts w:hint="default" w:ascii="Times New Roman" w:hAnsi="Times New Roman" w:cs="Times New Roman"/>
                <w:spacing w:val="0"/>
                <w:sz w:val="21"/>
              </w:rPr>
              <w:t>的</w:t>
            </w:r>
            <w:r>
              <w:rPr>
                <w:rFonts w:hint="default" w:ascii="Times New Roman" w:hAnsi="Times New Roman" w:eastAsia="宋体" w:cs="Times New Roman"/>
                <w:sz w:val="21"/>
                <w:szCs w:val="24"/>
              </w:rPr>
              <w:t>为重要技术参数，每出现一项不满足扣</w:t>
            </w:r>
            <w:r>
              <w:rPr>
                <w:rFonts w:hint="default" w:ascii="Times New Roman" w:hAnsi="Times New Roman" w:eastAsia="宋体" w:cs="Times New Roman"/>
                <w:sz w:val="21"/>
                <w:szCs w:val="24"/>
                <w:lang w:val="en-US" w:eastAsia="zh-CN"/>
              </w:rPr>
              <w:t>2</w:t>
            </w:r>
            <w:r>
              <w:rPr>
                <w:rFonts w:hint="default" w:ascii="Times New Roman" w:hAnsi="Times New Roman" w:eastAsia="宋体" w:cs="Times New Roman"/>
                <w:sz w:val="21"/>
                <w:szCs w:val="24"/>
              </w:rPr>
              <w:t>分；</w:t>
            </w:r>
            <w:r>
              <w:rPr>
                <w:rFonts w:hint="default" w:ascii="Times New Roman" w:hAnsi="Times New Roman" w:eastAsia="宋体" w:cs="Times New Roman"/>
                <w:sz w:val="21"/>
                <w:szCs w:val="24"/>
                <w:lang w:val="en-US" w:eastAsia="zh-CN"/>
              </w:rPr>
              <w:t>其它</w:t>
            </w:r>
            <w:r>
              <w:rPr>
                <w:rFonts w:hint="default" w:ascii="Times New Roman" w:hAnsi="Times New Roman" w:eastAsia="宋体" w:cs="Times New Roman"/>
                <w:sz w:val="21"/>
                <w:szCs w:val="24"/>
              </w:rPr>
              <w:t>技术参数</w:t>
            </w:r>
            <w:r>
              <w:rPr>
                <w:rFonts w:hint="default" w:ascii="Times New Roman" w:hAnsi="Times New Roman" w:eastAsia="宋体" w:cs="Times New Roman"/>
                <w:sz w:val="21"/>
                <w:szCs w:val="24"/>
                <w:lang w:val="en-US" w:eastAsia="zh-CN"/>
              </w:rPr>
              <w:t>功能</w:t>
            </w:r>
            <w:r>
              <w:rPr>
                <w:rFonts w:hint="eastAsia" w:cs="Times New Roman"/>
                <w:sz w:val="21"/>
                <w:szCs w:val="24"/>
                <w:lang w:val="en-US" w:eastAsia="zh-CN"/>
              </w:rPr>
              <w:t>不满足</w:t>
            </w:r>
            <w:r>
              <w:rPr>
                <w:rFonts w:hint="default" w:ascii="Times New Roman" w:hAnsi="Times New Roman" w:eastAsia="宋体" w:cs="Times New Roman"/>
                <w:sz w:val="21"/>
                <w:szCs w:val="24"/>
              </w:rPr>
              <w:t>，每项扣</w:t>
            </w:r>
            <w:r>
              <w:rPr>
                <w:rFonts w:hint="default" w:ascii="Times New Roman" w:hAnsi="Times New Roman" w:eastAsia="宋体" w:cs="Times New Roman"/>
                <w:sz w:val="21"/>
                <w:szCs w:val="24"/>
                <w:lang w:val="en-US" w:eastAsia="zh-CN"/>
              </w:rPr>
              <w:t>1</w:t>
            </w:r>
            <w:r>
              <w:rPr>
                <w:rFonts w:hint="default" w:ascii="Times New Roman" w:hAnsi="Times New Roman" w:eastAsia="宋体" w:cs="Times New Roman"/>
                <w:sz w:val="21"/>
                <w:szCs w:val="24"/>
              </w:rPr>
              <w:t>分；扣完为止。</w:t>
            </w:r>
          </w:p>
        </w:tc>
        <w:tc>
          <w:tcPr>
            <w:tcW w:w="726" w:type="dxa"/>
            <w:shd w:val="clear" w:color="auto" w:fill="auto"/>
            <w:noWrap w:val="0"/>
            <w:vAlign w:val="center"/>
          </w:tcPr>
          <w:p w14:paraId="34521A76">
            <w:pPr>
              <w:jc w:val="center"/>
              <w:rPr>
                <w:rFonts w:hint="default"/>
                <w:lang w:val="en-US" w:eastAsia="zh-CN"/>
              </w:rPr>
            </w:pPr>
            <w:r>
              <w:rPr>
                <w:rFonts w:hint="eastAsia"/>
                <w:lang w:val="en-US" w:eastAsia="zh-CN"/>
              </w:rPr>
              <w:t>25</w:t>
            </w:r>
          </w:p>
        </w:tc>
      </w:tr>
      <w:tr w14:paraId="6590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2" w:hRule="atLeast"/>
        </w:trPr>
        <w:tc>
          <w:tcPr>
            <w:tcW w:w="647" w:type="dxa"/>
            <w:vMerge w:val="restart"/>
            <w:shd w:val="clear" w:color="auto" w:fill="auto"/>
            <w:noWrap w:val="0"/>
            <w:vAlign w:val="center"/>
          </w:tcPr>
          <w:p w14:paraId="544D1EAB">
            <w:pPr>
              <w:jc w:val="center"/>
              <w:rPr>
                <w:rFonts w:hint="default"/>
                <w:lang w:val="en-US" w:eastAsia="zh-CN"/>
              </w:rPr>
            </w:pPr>
            <w:r>
              <w:rPr>
                <w:rFonts w:hint="eastAsia"/>
                <w:lang w:val="en-US" w:eastAsia="zh-CN"/>
              </w:rPr>
              <w:t>4</w:t>
            </w:r>
          </w:p>
        </w:tc>
        <w:tc>
          <w:tcPr>
            <w:tcW w:w="1490" w:type="dxa"/>
            <w:vMerge w:val="restart"/>
            <w:shd w:val="clear" w:color="auto" w:fill="auto"/>
            <w:noWrap w:val="0"/>
            <w:vAlign w:val="center"/>
          </w:tcPr>
          <w:p w14:paraId="2C1AC654">
            <w:pPr>
              <w:jc w:val="center"/>
              <w:rPr>
                <w:rFonts w:hint="eastAsia"/>
              </w:rPr>
            </w:pPr>
            <w:r>
              <w:rPr>
                <w:rFonts w:hint="eastAsia"/>
              </w:rPr>
              <w:t>项目管理团队</w:t>
            </w:r>
          </w:p>
        </w:tc>
        <w:tc>
          <w:tcPr>
            <w:tcW w:w="6379" w:type="dxa"/>
            <w:shd w:val="clear" w:color="auto" w:fill="auto"/>
            <w:noWrap w:val="0"/>
            <w:vAlign w:val="center"/>
          </w:tcPr>
          <w:p w14:paraId="47311262">
            <w:r>
              <w:rPr>
                <w:rFonts w:hint="eastAsia"/>
              </w:rPr>
              <w:t>拟担任本项目经理</w:t>
            </w:r>
            <w:r>
              <w:rPr>
                <w:rFonts w:hint="eastAsia"/>
                <w:lang w:eastAsia="zh-CN"/>
              </w:rPr>
              <w:t>（</w:t>
            </w:r>
            <w:r>
              <w:rPr>
                <w:rFonts w:hint="eastAsia"/>
                <w:lang w:val="en-US" w:eastAsia="zh-CN"/>
              </w:rPr>
              <w:t>1名</w:t>
            </w:r>
            <w:r>
              <w:rPr>
                <w:rFonts w:hint="eastAsia"/>
                <w:lang w:eastAsia="zh-CN"/>
              </w:rPr>
              <w:t>）</w:t>
            </w:r>
            <w:r>
              <w:rPr>
                <w:rFonts w:hint="eastAsia"/>
              </w:rPr>
              <w:t>具有信息系统项目管理师</w:t>
            </w:r>
            <w:r>
              <w:rPr>
                <w:rFonts w:hint="eastAsia"/>
                <w:lang w:eastAsia="zh-CN"/>
              </w:rPr>
              <w:t>（</w:t>
            </w:r>
            <w:r>
              <w:rPr>
                <w:rFonts w:hint="eastAsia"/>
                <w:lang w:val="en-US" w:eastAsia="zh-CN"/>
              </w:rPr>
              <w:t>软考</w:t>
            </w:r>
            <w:r>
              <w:rPr>
                <w:rFonts w:hint="eastAsia"/>
                <w:lang w:eastAsia="zh-CN"/>
              </w:rPr>
              <w:t>）</w:t>
            </w:r>
            <w:r>
              <w:rPr>
                <w:rFonts w:hint="eastAsia"/>
              </w:rPr>
              <w:t>、系统分析师</w:t>
            </w:r>
            <w:r>
              <w:rPr>
                <w:rFonts w:hint="eastAsia"/>
                <w:lang w:eastAsia="zh-CN"/>
              </w:rPr>
              <w:t>（</w:t>
            </w:r>
            <w:r>
              <w:rPr>
                <w:rFonts w:hint="eastAsia"/>
                <w:lang w:val="en-US" w:eastAsia="zh-CN"/>
              </w:rPr>
              <w:t>软考）</w:t>
            </w:r>
            <w:r>
              <w:rPr>
                <w:rFonts w:hint="eastAsia"/>
              </w:rPr>
              <w:t>、系统架构设计师</w:t>
            </w:r>
            <w:r>
              <w:rPr>
                <w:rFonts w:hint="eastAsia"/>
                <w:lang w:eastAsia="zh-CN"/>
              </w:rPr>
              <w:t>（</w:t>
            </w:r>
            <w:r>
              <w:rPr>
                <w:rFonts w:hint="eastAsia"/>
                <w:lang w:val="en-US" w:eastAsia="zh-CN"/>
              </w:rPr>
              <w:t>软考</w:t>
            </w:r>
            <w:r>
              <w:rPr>
                <w:rFonts w:hint="eastAsia"/>
                <w:lang w:eastAsia="zh-CN"/>
              </w:rPr>
              <w:t>）</w:t>
            </w:r>
            <w:r>
              <w:rPr>
                <w:rFonts w:hint="eastAsia"/>
              </w:rPr>
              <w:t>、数据库系统工程师</w:t>
            </w:r>
            <w:r>
              <w:rPr>
                <w:rFonts w:hint="eastAsia"/>
                <w:lang w:eastAsia="zh-CN"/>
              </w:rPr>
              <w:t>（</w:t>
            </w:r>
            <w:r>
              <w:rPr>
                <w:rFonts w:hint="eastAsia"/>
                <w:lang w:val="en-US" w:eastAsia="zh-CN"/>
              </w:rPr>
              <w:t>软考</w:t>
            </w:r>
            <w:r>
              <w:rPr>
                <w:rFonts w:hint="eastAsia"/>
                <w:lang w:eastAsia="zh-CN"/>
              </w:rPr>
              <w:t>）</w:t>
            </w:r>
            <w:r>
              <w:rPr>
                <w:rFonts w:hint="eastAsia"/>
              </w:rPr>
              <w:t>每本得</w:t>
            </w:r>
            <w:r>
              <w:rPr>
                <w:rFonts w:hint="eastAsia"/>
                <w:lang w:val="en-US" w:eastAsia="zh-CN"/>
              </w:rPr>
              <w:t>1</w:t>
            </w:r>
            <w:r>
              <w:rPr>
                <w:rFonts w:hint="eastAsia"/>
              </w:rPr>
              <w:t>分，最高得</w:t>
            </w:r>
            <w:r>
              <w:rPr>
                <w:rFonts w:hint="eastAsia"/>
                <w:lang w:val="en-US" w:eastAsia="zh-CN"/>
              </w:rPr>
              <w:t>3</w:t>
            </w:r>
            <w:r>
              <w:rPr>
                <w:rFonts w:hint="eastAsia"/>
              </w:rPr>
              <w:t>分。（0-</w:t>
            </w:r>
            <w:r>
              <w:rPr>
                <w:rFonts w:hint="eastAsia"/>
                <w:lang w:val="en-US" w:eastAsia="zh-CN"/>
              </w:rPr>
              <w:t>3</w:t>
            </w:r>
            <w:r>
              <w:rPr>
                <w:rFonts w:hint="eastAsia"/>
              </w:rPr>
              <w:t>分）</w:t>
            </w:r>
          </w:p>
        </w:tc>
        <w:tc>
          <w:tcPr>
            <w:tcW w:w="726" w:type="dxa"/>
            <w:vMerge w:val="restart"/>
            <w:shd w:val="clear" w:color="auto" w:fill="auto"/>
            <w:noWrap w:val="0"/>
            <w:vAlign w:val="center"/>
          </w:tcPr>
          <w:p w14:paraId="43EF88E3">
            <w:pPr>
              <w:jc w:val="center"/>
              <w:rPr>
                <w:rFonts w:hint="default"/>
                <w:lang w:val="en-US"/>
              </w:rPr>
            </w:pPr>
            <w:r>
              <w:rPr>
                <w:rFonts w:hint="eastAsia"/>
                <w:lang w:val="en-US" w:eastAsia="zh-CN"/>
              </w:rPr>
              <w:t>7</w:t>
            </w:r>
          </w:p>
        </w:tc>
      </w:tr>
      <w:tr w14:paraId="1D45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2" w:hRule="atLeast"/>
        </w:trPr>
        <w:tc>
          <w:tcPr>
            <w:tcW w:w="647" w:type="dxa"/>
            <w:vMerge w:val="continue"/>
            <w:shd w:val="clear" w:color="auto" w:fill="auto"/>
            <w:noWrap w:val="0"/>
            <w:vAlign w:val="center"/>
          </w:tcPr>
          <w:p w14:paraId="62E0891F">
            <w:pPr>
              <w:jc w:val="left"/>
            </w:pPr>
          </w:p>
        </w:tc>
        <w:tc>
          <w:tcPr>
            <w:tcW w:w="1490" w:type="dxa"/>
            <w:vMerge w:val="continue"/>
            <w:shd w:val="clear" w:color="auto" w:fill="auto"/>
            <w:noWrap w:val="0"/>
            <w:vAlign w:val="center"/>
          </w:tcPr>
          <w:p w14:paraId="320D295F">
            <w:pPr>
              <w:jc w:val="left"/>
            </w:pPr>
          </w:p>
        </w:tc>
        <w:tc>
          <w:tcPr>
            <w:tcW w:w="6379" w:type="dxa"/>
            <w:shd w:val="clear" w:color="auto" w:fill="auto"/>
            <w:noWrap w:val="0"/>
            <w:vAlign w:val="center"/>
          </w:tcPr>
          <w:p w14:paraId="568D0C6E">
            <w:r>
              <w:rPr>
                <w:rFonts w:hint="eastAsia"/>
              </w:rPr>
              <w:t>拟担任本项目技术负责人（1名）具有系统规划与管理师</w:t>
            </w:r>
            <w:r>
              <w:rPr>
                <w:rFonts w:hint="eastAsia"/>
                <w:lang w:eastAsia="zh-CN"/>
              </w:rPr>
              <w:t>（</w:t>
            </w:r>
            <w:r>
              <w:rPr>
                <w:rFonts w:hint="eastAsia"/>
                <w:lang w:val="en-US" w:eastAsia="zh-CN"/>
              </w:rPr>
              <w:t>软考</w:t>
            </w:r>
            <w:r>
              <w:rPr>
                <w:rFonts w:hint="eastAsia"/>
                <w:lang w:eastAsia="zh-CN"/>
              </w:rPr>
              <w:t>）</w:t>
            </w:r>
            <w:r>
              <w:rPr>
                <w:rFonts w:hint="eastAsia"/>
              </w:rPr>
              <w:t>、网络规划设计师</w:t>
            </w:r>
            <w:r>
              <w:rPr>
                <w:rFonts w:hint="eastAsia"/>
                <w:lang w:eastAsia="zh-CN"/>
              </w:rPr>
              <w:t>（</w:t>
            </w:r>
            <w:r>
              <w:rPr>
                <w:rFonts w:hint="eastAsia"/>
                <w:lang w:val="en-US" w:eastAsia="zh-CN"/>
              </w:rPr>
              <w:t>软考</w:t>
            </w:r>
            <w:r>
              <w:rPr>
                <w:rFonts w:hint="eastAsia"/>
                <w:lang w:eastAsia="zh-CN"/>
              </w:rPr>
              <w:t>）、</w:t>
            </w:r>
            <w:r>
              <w:rPr>
                <w:rFonts w:hint="eastAsia"/>
              </w:rPr>
              <w:t>网络与信息安全工程师、</w:t>
            </w:r>
            <w:r>
              <w:rPr>
                <w:rFonts w:hint="eastAsia"/>
                <w:lang w:val="en-US" w:eastAsia="zh-CN"/>
              </w:rPr>
              <w:t>高级</w:t>
            </w:r>
            <w:r>
              <w:rPr>
                <w:rFonts w:hint="eastAsia"/>
                <w:lang w:eastAsia="zh-CN"/>
              </w:rPr>
              <w:t>数据库管理工程师</w:t>
            </w:r>
            <w:r>
              <w:rPr>
                <w:rFonts w:hint="eastAsia"/>
                <w:lang w:val="en-US" w:eastAsia="zh-CN"/>
              </w:rPr>
              <w:t>的</w:t>
            </w:r>
            <w:r>
              <w:rPr>
                <w:rFonts w:hint="eastAsia"/>
              </w:rPr>
              <w:t>每本得</w:t>
            </w:r>
            <w:r>
              <w:rPr>
                <w:rFonts w:hint="eastAsia"/>
                <w:lang w:val="en-US" w:eastAsia="zh-CN"/>
              </w:rPr>
              <w:t>1</w:t>
            </w:r>
            <w:r>
              <w:rPr>
                <w:rFonts w:hint="eastAsia"/>
              </w:rPr>
              <w:t>分，最高得</w:t>
            </w:r>
            <w:r>
              <w:rPr>
                <w:rFonts w:hint="eastAsia"/>
                <w:lang w:val="en-US" w:eastAsia="zh-CN"/>
              </w:rPr>
              <w:t>3</w:t>
            </w:r>
            <w:r>
              <w:rPr>
                <w:rFonts w:hint="eastAsia"/>
              </w:rPr>
              <w:t>分。（0-</w:t>
            </w:r>
            <w:r>
              <w:rPr>
                <w:rFonts w:hint="eastAsia"/>
                <w:lang w:val="en-US" w:eastAsia="zh-CN"/>
              </w:rPr>
              <w:t>3</w:t>
            </w:r>
            <w:r>
              <w:rPr>
                <w:rFonts w:hint="eastAsia"/>
              </w:rPr>
              <w:t>分）</w:t>
            </w:r>
          </w:p>
        </w:tc>
        <w:tc>
          <w:tcPr>
            <w:tcW w:w="726" w:type="dxa"/>
            <w:vMerge w:val="continue"/>
            <w:shd w:val="clear" w:color="auto" w:fill="auto"/>
            <w:noWrap w:val="0"/>
            <w:vAlign w:val="center"/>
          </w:tcPr>
          <w:p w14:paraId="7270B7A2">
            <w:pPr>
              <w:jc w:val="left"/>
            </w:pPr>
          </w:p>
        </w:tc>
      </w:tr>
      <w:tr w14:paraId="3907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2" w:hRule="atLeast"/>
        </w:trPr>
        <w:tc>
          <w:tcPr>
            <w:tcW w:w="647" w:type="dxa"/>
            <w:vMerge w:val="continue"/>
            <w:shd w:val="clear" w:color="auto" w:fill="auto"/>
            <w:noWrap w:val="0"/>
            <w:vAlign w:val="center"/>
          </w:tcPr>
          <w:p w14:paraId="2269B87B">
            <w:pPr>
              <w:jc w:val="left"/>
            </w:pPr>
          </w:p>
        </w:tc>
        <w:tc>
          <w:tcPr>
            <w:tcW w:w="1490" w:type="dxa"/>
            <w:vMerge w:val="continue"/>
            <w:shd w:val="clear" w:color="auto" w:fill="auto"/>
            <w:noWrap w:val="0"/>
            <w:vAlign w:val="center"/>
          </w:tcPr>
          <w:p w14:paraId="212D10FA">
            <w:pPr>
              <w:jc w:val="left"/>
            </w:pPr>
          </w:p>
        </w:tc>
        <w:tc>
          <w:tcPr>
            <w:tcW w:w="6379" w:type="dxa"/>
            <w:shd w:val="clear" w:color="auto" w:fill="auto"/>
            <w:noWrap w:val="0"/>
            <w:vAlign w:val="center"/>
          </w:tcPr>
          <w:p w14:paraId="564F1748">
            <w:r>
              <w:t>项目组成员中（项目经理</w:t>
            </w:r>
            <w:r>
              <w:rPr>
                <w:rFonts w:hint="eastAsia"/>
                <w:lang w:eastAsia="zh-CN"/>
              </w:rPr>
              <w:t>、</w:t>
            </w:r>
            <w:r>
              <w:rPr>
                <w:rFonts w:hint="eastAsia"/>
                <w:lang w:val="en-US" w:eastAsia="zh-CN"/>
              </w:rPr>
              <w:t>技术负责人</w:t>
            </w:r>
            <w:r>
              <w:t>除外）具有</w:t>
            </w:r>
            <w:r>
              <w:rPr>
                <w:rFonts w:hint="eastAsia"/>
              </w:rPr>
              <w:t>高级工程师职称证书</w:t>
            </w:r>
            <w:r>
              <w:rPr>
                <w:rFonts w:hint="eastAsia"/>
                <w:lang w:val="en-US" w:eastAsia="zh-CN"/>
              </w:rPr>
              <w:t>的</w:t>
            </w:r>
            <w:r>
              <w:t>得</w:t>
            </w:r>
            <w:r>
              <w:rPr>
                <w:rFonts w:hint="eastAsia"/>
                <w:lang w:val="en-US" w:eastAsia="zh-CN"/>
              </w:rPr>
              <w:t>1</w:t>
            </w:r>
            <w:r>
              <w:t>分</w:t>
            </w:r>
            <w:r>
              <w:rPr>
                <w:rFonts w:hint="eastAsia"/>
                <w:lang w:eastAsia="zh-CN"/>
              </w:rPr>
              <w:t>。</w:t>
            </w:r>
            <w:r>
              <w:rPr>
                <w:rFonts w:hint="eastAsia"/>
              </w:rPr>
              <w:t>（0-</w:t>
            </w:r>
            <w:r>
              <w:rPr>
                <w:rFonts w:hint="eastAsia"/>
                <w:lang w:val="en-US" w:eastAsia="zh-CN"/>
              </w:rPr>
              <w:t>1</w:t>
            </w:r>
            <w:r>
              <w:rPr>
                <w:rFonts w:hint="eastAsia"/>
              </w:rPr>
              <w:t>分）</w:t>
            </w:r>
          </w:p>
        </w:tc>
        <w:tc>
          <w:tcPr>
            <w:tcW w:w="726" w:type="dxa"/>
            <w:vMerge w:val="continue"/>
            <w:shd w:val="clear" w:color="auto" w:fill="auto"/>
            <w:noWrap w:val="0"/>
            <w:vAlign w:val="center"/>
          </w:tcPr>
          <w:p w14:paraId="613DC0AA">
            <w:pPr>
              <w:jc w:val="left"/>
            </w:pPr>
          </w:p>
        </w:tc>
      </w:tr>
      <w:tr w14:paraId="2A8E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2" w:hRule="atLeast"/>
        </w:trPr>
        <w:tc>
          <w:tcPr>
            <w:tcW w:w="647" w:type="dxa"/>
            <w:vMerge w:val="continue"/>
            <w:shd w:val="clear" w:color="auto" w:fill="auto"/>
            <w:noWrap w:val="0"/>
            <w:vAlign w:val="center"/>
          </w:tcPr>
          <w:p w14:paraId="3DBA80C3">
            <w:pPr>
              <w:jc w:val="left"/>
            </w:pPr>
          </w:p>
        </w:tc>
        <w:tc>
          <w:tcPr>
            <w:tcW w:w="1490" w:type="dxa"/>
            <w:vMerge w:val="continue"/>
            <w:shd w:val="clear" w:color="auto" w:fill="auto"/>
            <w:noWrap w:val="0"/>
            <w:vAlign w:val="center"/>
          </w:tcPr>
          <w:p w14:paraId="19C67717">
            <w:pPr>
              <w:jc w:val="left"/>
            </w:pPr>
          </w:p>
        </w:tc>
        <w:tc>
          <w:tcPr>
            <w:tcW w:w="6379" w:type="dxa"/>
            <w:shd w:val="clear" w:color="auto" w:fill="auto"/>
            <w:noWrap w:val="0"/>
            <w:vAlign w:val="center"/>
          </w:tcPr>
          <w:p w14:paraId="74BA6A49">
            <w:r>
              <w:rPr>
                <w:rFonts w:hint="eastAsia"/>
              </w:rPr>
              <w:t>注</w:t>
            </w:r>
            <w:r>
              <w:rPr>
                <w:rFonts w:hint="eastAsia"/>
                <w:highlight w:val="none"/>
              </w:rPr>
              <w:t>：提供相关证书（签发机构为人力资源和社会保障部（厅、局）或工业和信息化部（厅、局、教育与考试中心、产业部</w:t>
            </w:r>
            <w:r>
              <w:rPr>
                <w:rFonts w:hint="eastAsia"/>
                <w:highlight w:val="none"/>
                <w:lang w:eastAsia="zh-CN"/>
              </w:rPr>
              <w:t>、</w:t>
            </w:r>
            <w:r>
              <w:rPr>
                <w:rFonts w:hint="eastAsia"/>
                <w:highlight w:val="none"/>
                <w:lang w:val="en-US" w:eastAsia="zh-CN"/>
              </w:rPr>
              <w:t>研究院</w:t>
            </w:r>
            <w:r>
              <w:rPr>
                <w:rFonts w:hint="eastAsia"/>
                <w:highlight w:val="none"/>
              </w:rPr>
              <w:t>））及社保缴纳证明复印件并加盖公章，否则不得分</w:t>
            </w:r>
            <w:r>
              <w:rPr>
                <w:rFonts w:hint="eastAsia"/>
              </w:rPr>
              <w:t>。</w:t>
            </w:r>
          </w:p>
        </w:tc>
        <w:tc>
          <w:tcPr>
            <w:tcW w:w="726" w:type="dxa"/>
            <w:vMerge w:val="continue"/>
            <w:shd w:val="clear" w:color="auto" w:fill="auto"/>
            <w:noWrap w:val="0"/>
            <w:vAlign w:val="center"/>
          </w:tcPr>
          <w:p w14:paraId="53CBA4EA">
            <w:pPr>
              <w:jc w:val="left"/>
            </w:pPr>
          </w:p>
        </w:tc>
      </w:tr>
      <w:tr w14:paraId="366E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647" w:type="dxa"/>
            <w:shd w:val="clear" w:color="auto" w:fill="auto"/>
            <w:noWrap w:val="0"/>
            <w:vAlign w:val="center"/>
          </w:tcPr>
          <w:p w14:paraId="0E502F95">
            <w:pPr>
              <w:jc w:val="center"/>
              <w:rPr>
                <w:rFonts w:hint="default"/>
                <w:lang w:val="en-US" w:eastAsia="zh-CN"/>
              </w:rPr>
            </w:pPr>
            <w:r>
              <w:rPr>
                <w:rFonts w:hint="eastAsia"/>
                <w:lang w:val="en-US" w:eastAsia="zh-CN"/>
              </w:rPr>
              <w:t>5</w:t>
            </w:r>
          </w:p>
        </w:tc>
        <w:tc>
          <w:tcPr>
            <w:tcW w:w="1490" w:type="dxa"/>
            <w:shd w:val="clear" w:color="auto" w:fill="auto"/>
            <w:noWrap w:val="0"/>
            <w:vAlign w:val="center"/>
          </w:tcPr>
          <w:p w14:paraId="2AAD8CFD">
            <w:pPr>
              <w:jc w:val="center"/>
              <w:rPr>
                <w:rFonts w:hint="eastAsia"/>
              </w:rPr>
            </w:pPr>
            <w:r>
              <w:rPr>
                <w:rFonts w:hint="eastAsia"/>
              </w:rPr>
              <w:t>技术方案</w:t>
            </w:r>
          </w:p>
        </w:tc>
        <w:tc>
          <w:tcPr>
            <w:tcW w:w="6379" w:type="dxa"/>
            <w:shd w:val="clear" w:color="auto" w:fill="auto"/>
            <w:noWrap w:val="0"/>
            <w:vAlign w:val="center"/>
          </w:tcPr>
          <w:p w14:paraId="05F043BB">
            <w:pPr>
              <w:rPr>
                <w:rFonts w:hint="default" w:hAnsi="Times New Roman" w:cs="Times New Roman"/>
                <w:sz w:val="21"/>
              </w:rPr>
            </w:pPr>
            <w:r>
              <w:rPr>
                <w:rFonts w:hint="default" w:hAnsi="Times New Roman" w:cs="Times New Roman"/>
                <w:sz w:val="21"/>
              </w:rPr>
              <w:t>根据投标人提供的技术方案，从包括对项目的理解、需求分析、功能设计的内容是否符合要求进行打分。</w:t>
            </w:r>
          </w:p>
          <w:p w14:paraId="346CCCE9">
            <w:pPr>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1、需求理解全面，分析准确到位、合理，</w:t>
            </w:r>
            <w:r>
              <w:rPr>
                <w:rFonts w:hint="eastAsia" w:cs="Times New Roman"/>
                <w:sz w:val="21"/>
                <w:szCs w:val="24"/>
                <w:lang w:val="en-US" w:eastAsia="zh-CN"/>
              </w:rPr>
              <w:t>5</w:t>
            </w:r>
            <w:r>
              <w:rPr>
                <w:rFonts w:hint="default" w:ascii="Times New Roman" w:hAnsi="Times New Roman" w:eastAsia="宋体" w:cs="Times New Roman"/>
                <w:sz w:val="21"/>
                <w:szCs w:val="24"/>
                <w:lang w:val="en-US" w:eastAsia="zh-CN"/>
              </w:rPr>
              <w:t>分；</w:t>
            </w:r>
          </w:p>
          <w:p w14:paraId="731A5CDE">
            <w:pPr>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2、基本理解需求，分析基本到位、合理，</w:t>
            </w:r>
            <w:r>
              <w:rPr>
                <w:rFonts w:hint="eastAsia" w:cs="Times New Roman"/>
                <w:sz w:val="21"/>
                <w:szCs w:val="24"/>
                <w:lang w:val="en-US" w:eastAsia="zh-CN"/>
              </w:rPr>
              <w:t>3</w:t>
            </w:r>
            <w:r>
              <w:rPr>
                <w:rFonts w:hint="default" w:ascii="Times New Roman" w:hAnsi="Times New Roman" w:eastAsia="宋体" w:cs="Times New Roman"/>
                <w:sz w:val="21"/>
                <w:szCs w:val="24"/>
                <w:lang w:val="en-US" w:eastAsia="zh-CN"/>
              </w:rPr>
              <w:t>分；</w:t>
            </w:r>
          </w:p>
          <w:p w14:paraId="259D5CB4">
            <w:pPr>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3、理解一般，分析不到位，</w:t>
            </w:r>
            <w:r>
              <w:rPr>
                <w:rFonts w:hint="eastAsia" w:cs="Times New Roman"/>
                <w:sz w:val="21"/>
                <w:szCs w:val="24"/>
                <w:lang w:val="en-US" w:eastAsia="zh-CN"/>
              </w:rPr>
              <w:t>1</w:t>
            </w:r>
            <w:r>
              <w:rPr>
                <w:rFonts w:hint="default" w:ascii="Times New Roman" w:hAnsi="Times New Roman" w:eastAsia="宋体" w:cs="Times New Roman"/>
                <w:sz w:val="21"/>
                <w:szCs w:val="24"/>
                <w:lang w:val="en-US" w:eastAsia="zh-CN"/>
              </w:rPr>
              <w:t>分；</w:t>
            </w:r>
          </w:p>
          <w:p w14:paraId="7036D460">
            <w:pPr>
              <w:jc w:val="left"/>
              <w:rPr>
                <w:rFonts w:hint="eastAsia"/>
              </w:rPr>
            </w:pPr>
            <w:r>
              <w:rPr>
                <w:rFonts w:hint="default" w:ascii="Times New Roman" w:hAnsi="Times New Roman" w:eastAsia="宋体" w:cs="Times New Roman"/>
                <w:sz w:val="21"/>
                <w:szCs w:val="24"/>
                <w:lang w:val="en-US" w:eastAsia="zh-CN"/>
              </w:rPr>
              <w:t>4、未提供不得分。</w:t>
            </w:r>
          </w:p>
        </w:tc>
        <w:tc>
          <w:tcPr>
            <w:tcW w:w="726" w:type="dxa"/>
            <w:shd w:val="clear" w:color="auto" w:fill="auto"/>
            <w:noWrap w:val="0"/>
            <w:vAlign w:val="center"/>
          </w:tcPr>
          <w:p w14:paraId="6FAB2446">
            <w:pPr>
              <w:jc w:val="center"/>
              <w:rPr>
                <w:rFonts w:hint="default"/>
                <w:lang w:val="en-US" w:eastAsia="zh-CN"/>
              </w:rPr>
            </w:pPr>
            <w:r>
              <w:rPr>
                <w:rFonts w:hint="eastAsia"/>
                <w:lang w:val="en-US" w:eastAsia="zh-CN"/>
              </w:rPr>
              <w:t>5</w:t>
            </w:r>
          </w:p>
        </w:tc>
      </w:tr>
      <w:tr w14:paraId="19B3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06" w:hRule="atLeast"/>
        </w:trPr>
        <w:tc>
          <w:tcPr>
            <w:tcW w:w="647" w:type="dxa"/>
            <w:shd w:val="clear" w:color="auto" w:fill="auto"/>
            <w:noWrap w:val="0"/>
            <w:vAlign w:val="center"/>
          </w:tcPr>
          <w:p w14:paraId="39BDAC5E">
            <w:pPr>
              <w:jc w:val="center"/>
              <w:rPr>
                <w:rFonts w:hint="default"/>
                <w:lang w:val="en-US" w:eastAsia="zh-CN"/>
              </w:rPr>
            </w:pPr>
            <w:r>
              <w:rPr>
                <w:rFonts w:hint="eastAsia"/>
                <w:lang w:val="en-US" w:eastAsia="zh-CN"/>
              </w:rPr>
              <w:t>6</w:t>
            </w:r>
          </w:p>
        </w:tc>
        <w:tc>
          <w:tcPr>
            <w:tcW w:w="1490" w:type="dxa"/>
            <w:shd w:val="clear" w:color="auto" w:fill="auto"/>
            <w:noWrap w:val="0"/>
            <w:vAlign w:val="center"/>
          </w:tcPr>
          <w:p w14:paraId="302AC442">
            <w:pPr>
              <w:jc w:val="center"/>
              <w:rPr>
                <w:rFonts w:hint="eastAsia"/>
              </w:rPr>
            </w:pPr>
            <w:r>
              <w:rPr>
                <w:rFonts w:hint="eastAsia"/>
              </w:rPr>
              <w:t>数据迁移方案</w:t>
            </w:r>
          </w:p>
        </w:tc>
        <w:tc>
          <w:tcPr>
            <w:tcW w:w="6379" w:type="dxa"/>
            <w:shd w:val="clear" w:color="auto" w:fill="auto"/>
            <w:noWrap w:val="0"/>
            <w:vAlign w:val="center"/>
          </w:tcPr>
          <w:p w14:paraId="1029DA94">
            <w:pPr>
              <w:jc w:val="left"/>
              <w:rPr>
                <w:rFonts w:hint="eastAsia"/>
              </w:rPr>
            </w:pPr>
            <w:r>
              <w:rPr>
                <w:rFonts w:hint="default" w:hAnsi="Times New Roman" w:cs="Times New Roman"/>
                <w:sz w:val="21"/>
              </w:rPr>
              <w:t>根据投标人提供的数据迁移方案是否切合实际、是否可行，保障措施，是否确保档案数据迁移前后的一致性，由评委进行打分。(评分范围：3，2，1，0）</w:t>
            </w:r>
          </w:p>
        </w:tc>
        <w:tc>
          <w:tcPr>
            <w:tcW w:w="726" w:type="dxa"/>
            <w:shd w:val="clear" w:color="auto" w:fill="auto"/>
            <w:noWrap w:val="0"/>
            <w:vAlign w:val="center"/>
          </w:tcPr>
          <w:p w14:paraId="68F9D8A9">
            <w:pPr>
              <w:jc w:val="center"/>
              <w:rPr>
                <w:rFonts w:hint="default"/>
                <w:lang w:val="en-US" w:eastAsia="zh-CN"/>
              </w:rPr>
            </w:pPr>
            <w:r>
              <w:rPr>
                <w:rFonts w:hint="eastAsia"/>
                <w:lang w:val="en-US" w:eastAsia="zh-CN"/>
              </w:rPr>
              <w:t>3</w:t>
            </w:r>
          </w:p>
        </w:tc>
      </w:tr>
      <w:tr w14:paraId="2C85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647" w:type="dxa"/>
            <w:shd w:val="clear" w:color="auto" w:fill="auto"/>
            <w:noWrap w:val="0"/>
            <w:vAlign w:val="center"/>
          </w:tcPr>
          <w:p w14:paraId="02A414D5">
            <w:pPr>
              <w:jc w:val="center"/>
              <w:rPr>
                <w:rFonts w:hint="default"/>
                <w:lang w:val="en-US" w:eastAsia="zh-CN"/>
              </w:rPr>
            </w:pPr>
            <w:r>
              <w:rPr>
                <w:rFonts w:hint="eastAsia"/>
                <w:lang w:val="en-US" w:eastAsia="zh-CN"/>
              </w:rPr>
              <w:t>7</w:t>
            </w:r>
          </w:p>
        </w:tc>
        <w:tc>
          <w:tcPr>
            <w:tcW w:w="1490" w:type="dxa"/>
            <w:shd w:val="clear" w:color="auto" w:fill="auto"/>
            <w:noWrap w:val="0"/>
            <w:vAlign w:val="center"/>
          </w:tcPr>
          <w:p w14:paraId="3F77ECFF">
            <w:pPr>
              <w:jc w:val="center"/>
              <w:rPr>
                <w:rFonts w:hint="eastAsia"/>
              </w:rPr>
            </w:pPr>
            <w:r>
              <w:rPr>
                <w:rFonts w:hint="default" w:ascii="Times New Roman" w:hAnsi="Times New Roman" w:cs="Times New Roman"/>
                <w:sz w:val="21"/>
              </w:rPr>
              <w:t>项目</w:t>
            </w:r>
            <w:r>
              <w:rPr>
                <w:rFonts w:hint="eastAsia" w:cs="Times New Roman"/>
                <w:sz w:val="21"/>
                <w:lang w:val="en-US" w:eastAsia="zh-CN"/>
              </w:rPr>
              <w:t>实施方案</w:t>
            </w:r>
          </w:p>
        </w:tc>
        <w:tc>
          <w:tcPr>
            <w:tcW w:w="6379" w:type="dxa"/>
            <w:shd w:val="clear" w:color="auto" w:fill="auto"/>
            <w:noWrap w:val="0"/>
            <w:vAlign w:val="center"/>
          </w:tcPr>
          <w:p w14:paraId="766F35D5">
            <w:pPr>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提供的项目实施方案（包括进度计划、质量保证体系、质量保证措施、验收方案等方面控制的必要措施等内容）安排是否合理、各工作方案内容是否切实可行等综合情况进行综合评分。</w:t>
            </w:r>
          </w:p>
          <w:p w14:paraId="3794C67F">
            <w:pPr>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1、需求理解全面，分析准确到位、合理，5分；</w:t>
            </w:r>
          </w:p>
          <w:p w14:paraId="7DC1B892">
            <w:pPr>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2、基本理解需求，分析基本到位、合理，3分；</w:t>
            </w:r>
          </w:p>
          <w:p w14:paraId="49157792">
            <w:pPr>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3、理解一般，分析不到位，3分；</w:t>
            </w:r>
          </w:p>
          <w:p w14:paraId="3C936744">
            <w:pPr>
              <w:jc w:val="left"/>
              <w:rPr>
                <w:rFonts w:hint="eastAsia"/>
              </w:rPr>
            </w:pPr>
            <w:r>
              <w:rPr>
                <w:rFonts w:hint="default" w:ascii="Times New Roman" w:hAnsi="Times New Roman" w:eastAsia="宋体" w:cs="Times New Roman"/>
                <w:sz w:val="21"/>
                <w:szCs w:val="24"/>
                <w:lang w:val="en-US" w:eastAsia="zh-CN"/>
              </w:rPr>
              <w:t>4、未提供不得分。</w:t>
            </w:r>
          </w:p>
        </w:tc>
        <w:tc>
          <w:tcPr>
            <w:tcW w:w="726" w:type="dxa"/>
            <w:shd w:val="clear" w:color="auto" w:fill="auto"/>
            <w:noWrap w:val="0"/>
            <w:vAlign w:val="center"/>
          </w:tcPr>
          <w:p w14:paraId="7A98CF12">
            <w:pPr>
              <w:jc w:val="center"/>
              <w:rPr>
                <w:rFonts w:hint="default"/>
                <w:lang w:val="en-US" w:eastAsia="zh-CN"/>
              </w:rPr>
            </w:pPr>
            <w:r>
              <w:rPr>
                <w:rFonts w:hint="eastAsia"/>
                <w:lang w:val="en-US" w:eastAsia="zh-CN"/>
              </w:rPr>
              <w:t>5</w:t>
            </w:r>
          </w:p>
        </w:tc>
      </w:tr>
      <w:tr w14:paraId="2150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93" w:hRule="atLeast"/>
        </w:trPr>
        <w:tc>
          <w:tcPr>
            <w:tcW w:w="647" w:type="dxa"/>
            <w:shd w:val="clear" w:color="auto" w:fill="auto"/>
            <w:noWrap w:val="0"/>
            <w:vAlign w:val="center"/>
          </w:tcPr>
          <w:p w14:paraId="3346403C">
            <w:pPr>
              <w:jc w:val="center"/>
              <w:rPr>
                <w:rFonts w:hint="default"/>
                <w:lang w:val="en-US" w:eastAsia="zh-CN"/>
              </w:rPr>
            </w:pPr>
            <w:r>
              <w:rPr>
                <w:rFonts w:hint="eastAsia"/>
                <w:lang w:val="en-US" w:eastAsia="zh-CN"/>
              </w:rPr>
              <w:t>8</w:t>
            </w:r>
          </w:p>
        </w:tc>
        <w:tc>
          <w:tcPr>
            <w:tcW w:w="1490" w:type="dxa"/>
            <w:shd w:val="clear" w:color="auto" w:fill="auto"/>
            <w:noWrap w:val="0"/>
            <w:vAlign w:val="center"/>
          </w:tcPr>
          <w:p w14:paraId="3EB78B38">
            <w:pPr>
              <w:jc w:val="center"/>
              <w:rPr>
                <w:rFonts w:hint="eastAsia" w:eastAsiaTheme="minorEastAsia"/>
                <w:lang w:val="en-US" w:eastAsia="zh-CN"/>
              </w:rPr>
            </w:pPr>
            <w:r>
              <w:rPr>
                <w:rFonts w:hint="eastAsia"/>
              </w:rPr>
              <w:t>培训</w:t>
            </w:r>
            <w:r>
              <w:rPr>
                <w:rFonts w:hint="eastAsia"/>
                <w:lang w:val="en-US" w:eastAsia="zh-CN"/>
              </w:rPr>
              <w:t>服务</w:t>
            </w:r>
          </w:p>
        </w:tc>
        <w:tc>
          <w:tcPr>
            <w:tcW w:w="6379" w:type="dxa"/>
            <w:shd w:val="clear" w:color="auto" w:fill="auto"/>
            <w:noWrap w:val="0"/>
            <w:vAlign w:val="center"/>
          </w:tcPr>
          <w:p w14:paraId="62055994">
            <w:pPr>
              <w:spacing w:line="240" w:lineRule="auto"/>
              <w:jc w:val="left"/>
              <w:rPr>
                <w:rFonts w:hint="default" w:hAnsi="Times New Roman" w:cs="Times New Roman"/>
                <w:sz w:val="21"/>
              </w:rPr>
            </w:pPr>
            <w:r>
              <w:rPr>
                <w:rFonts w:hint="default" w:hAnsi="Times New Roman" w:cs="Times New Roman"/>
                <w:sz w:val="21"/>
              </w:rPr>
              <w:t>根据投标人所提供的培训方案与承诺情况比较与评价。评价因素包括培训计划、培训内容、培训形式、培训师资及培训管理措施等进行打分。</w:t>
            </w:r>
          </w:p>
          <w:p w14:paraId="79DF1318">
            <w:pPr>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1、需求理解全面，分析准确到位、合理，3分；</w:t>
            </w:r>
          </w:p>
          <w:p w14:paraId="1D903456">
            <w:pPr>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2、基本理解需求，分析基本到位、合理，2分；</w:t>
            </w:r>
          </w:p>
          <w:p w14:paraId="54ED075D">
            <w:pPr>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3、理解一般，分析不到位，1分；</w:t>
            </w:r>
          </w:p>
          <w:p w14:paraId="42F4D955">
            <w:pPr>
              <w:jc w:val="left"/>
              <w:rPr>
                <w:rFonts w:hint="eastAsia"/>
              </w:rPr>
            </w:pPr>
            <w:r>
              <w:rPr>
                <w:rFonts w:hint="default" w:ascii="Times New Roman" w:hAnsi="Times New Roman" w:eastAsia="宋体" w:cs="Times New Roman"/>
                <w:sz w:val="21"/>
                <w:szCs w:val="24"/>
                <w:lang w:val="en-US" w:eastAsia="zh-CN"/>
              </w:rPr>
              <w:t>4、未提供不得分。</w:t>
            </w:r>
          </w:p>
        </w:tc>
        <w:tc>
          <w:tcPr>
            <w:tcW w:w="726" w:type="dxa"/>
            <w:shd w:val="clear" w:color="auto" w:fill="auto"/>
            <w:noWrap w:val="0"/>
            <w:vAlign w:val="center"/>
          </w:tcPr>
          <w:p w14:paraId="4499B5B5">
            <w:pPr>
              <w:jc w:val="center"/>
              <w:rPr>
                <w:rFonts w:hint="default"/>
                <w:lang w:val="en-US" w:eastAsia="zh-CN"/>
              </w:rPr>
            </w:pPr>
            <w:r>
              <w:rPr>
                <w:rFonts w:hint="eastAsia"/>
                <w:lang w:val="en-US" w:eastAsia="zh-CN"/>
              </w:rPr>
              <w:t>3</w:t>
            </w:r>
          </w:p>
        </w:tc>
      </w:tr>
      <w:tr w14:paraId="0C58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0" w:hRule="atLeast"/>
        </w:trPr>
        <w:tc>
          <w:tcPr>
            <w:tcW w:w="647" w:type="dxa"/>
            <w:shd w:val="clear" w:color="auto" w:fill="auto"/>
            <w:noWrap w:val="0"/>
            <w:vAlign w:val="center"/>
          </w:tcPr>
          <w:p w14:paraId="5D56779A">
            <w:pPr>
              <w:jc w:val="center"/>
              <w:rPr>
                <w:rFonts w:hint="default"/>
                <w:lang w:val="en-US" w:eastAsia="zh-CN"/>
              </w:rPr>
            </w:pPr>
            <w:r>
              <w:rPr>
                <w:rFonts w:hint="eastAsia"/>
                <w:lang w:val="en-US" w:eastAsia="zh-CN"/>
              </w:rPr>
              <w:t>9</w:t>
            </w:r>
          </w:p>
        </w:tc>
        <w:tc>
          <w:tcPr>
            <w:tcW w:w="1490" w:type="dxa"/>
            <w:shd w:val="clear" w:color="auto" w:fill="auto"/>
            <w:noWrap w:val="0"/>
            <w:vAlign w:val="center"/>
          </w:tcPr>
          <w:p w14:paraId="5568889F">
            <w:pPr>
              <w:jc w:val="center"/>
              <w:rPr>
                <w:rFonts w:hint="eastAsia"/>
              </w:rPr>
            </w:pPr>
            <w:r>
              <w:rPr>
                <w:rFonts w:hint="eastAsia"/>
              </w:rPr>
              <w:t>运维售后服务</w:t>
            </w:r>
          </w:p>
        </w:tc>
        <w:tc>
          <w:tcPr>
            <w:tcW w:w="6379" w:type="dxa"/>
            <w:shd w:val="clear" w:color="auto" w:fill="auto"/>
            <w:noWrap w:val="0"/>
            <w:vAlign w:val="center"/>
          </w:tcPr>
          <w:p w14:paraId="73962691">
            <w:pPr>
              <w:spacing w:line="240" w:lineRule="auto"/>
              <w:jc w:val="left"/>
              <w:rPr>
                <w:rFonts w:hint="default" w:hAnsi="Times New Roman" w:cs="Times New Roman"/>
                <w:sz w:val="21"/>
              </w:rPr>
            </w:pPr>
            <w:r>
              <w:rPr>
                <w:rFonts w:hint="default" w:hAnsi="Times New Roman" w:cs="Times New Roman"/>
                <w:sz w:val="21"/>
              </w:rPr>
              <w:t>为保证产品售后高效、稳定，根据投标人提供的的售后维护机构和人员等情况、售后服务方案、售后服务承诺的可行性、完整性进行打分。</w:t>
            </w:r>
          </w:p>
          <w:p w14:paraId="1E2FE3C8">
            <w:pPr>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1、需求理解全面，分析准确到位、合理，</w:t>
            </w:r>
            <w:r>
              <w:rPr>
                <w:rFonts w:hint="eastAsia" w:cs="Times New Roman"/>
                <w:sz w:val="21"/>
                <w:szCs w:val="24"/>
                <w:lang w:val="en-US" w:eastAsia="zh-CN"/>
              </w:rPr>
              <w:t>3</w:t>
            </w:r>
            <w:r>
              <w:rPr>
                <w:rFonts w:hint="default" w:ascii="Times New Roman" w:hAnsi="Times New Roman" w:eastAsia="宋体" w:cs="Times New Roman"/>
                <w:sz w:val="21"/>
                <w:szCs w:val="24"/>
                <w:lang w:val="en-US" w:eastAsia="zh-CN"/>
              </w:rPr>
              <w:t>分；</w:t>
            </w:r>
          </w:p>
          <w:p w14:paraId="2D77D32B">
            <w:pPr>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2、基本理解需求，分析基本到位、合理，</w:t>
            </w:r>
            <w:r>
              <w:rPr>
                <w:rFonts w:hint="eastAsia" w:cs="Times New Roman"/>
                <w:sz w:val="21"/>
                <w:szCs w:val="24"/>
                <w:lang w:val="en-US" w:eastAsia="zh-CN"/>
              </w:rPr>
              <w:t>2</w:t>
            </w:r>
            <w:r>
              <w:rPr>
                <w:rFonts w:hint="default" w:ascii="Times New Roman" w:hAnsi="Times New Roman" w:eastAsia="宋体" w:cs="Times New Roman"/>
                <w:sz w:val="21"/>
                <w:szCs w:val="24"/>
                <w:lang w:val="en-US" w:eastAsia="zh-CN"/>
              </w:rPr>
              <w:t>分；</w:t>
            </w:r>
          </w:p>
          <w:p w14:paraId="75428912">
            <w:pPr>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3、理解一般，分析不到位，1分；</w:t>
            </w:r>
          </w:p>
          <w:p w14:paraId="1505D361">
            <w:pPr>
              <w:jc w:val="left"/>
              <w:rPr>
                <w:rFonts w:hint="eastAsia"/>
              </w:rPr>
            </w:pPr>
            <w:r>
              <w:rPr>
                <w:rFonts w:hint="default" w:ascii="Times New Roman" w:hAnsi="Times New Roman" w:eastAsia="宋体" w:cs="Times New Roman"/>
                <w:sz w:val="21"/>
                <w:szCs w:val="24"/>
                <w:lang w:val="en-US" w:eastAsia="zh-CN"/>
              </w:rPr>
              <w:t>4、未提供不得分。</w:t>
            </w:r>
          </w:p>
        </w:tc>
        <w:tc>
          <w:tcPr>
            <w:tcW w:w="726" w:type="dxa"/>
            <w:shd w:val="clear" w:color="auto" w:fill="auto"/>
            <w:noWrap w:val="0"/>
            <w:vAlign w:val="center"/>
          </w:tcPr>
          <w:p w14:paraId="2E9745BF">
            <w:pPr>
              <w:jc w:val="center"/>
              <w:rPr>
                <w:rFonts w:hint="default"/>
                <w:lang w:val="en-US" w:eastAsia="zh-CN"/>
              </w:rPr>
            </w:pPr>
            <w:r>
              <w:rPr>
                <w:rFonts w:hint="eastAsia"/>
                <w:lang w:val="en-US" w:eastAsia="zh-CN"/>
              </w:rPr>
              <w:t>3</w:t>
            </w:r>
          </w:p>
        </w:tc>
      </w:tr>
      <w:tr w14:paraId="38C6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40" w:hRule="atLeast"/>
        </w:trPr>
        <w:tc>
          <w:tcPr>
            <w:tcW w:w="647" w:type="dxa"/>
            <w:shd w:val="clear" w:color="auto" w:fill="auto"/>
            <w:noWrap w:val="0"/>
            <w:vAlign w:val="center"/>
          </w:tcPr>
          <w:p w14:paraId="3DDF0BA4">
            <w:pPr>
              <w:jc w:val="center"/>
              <w:rPr>
                <w:rFonts w:hint="default"/>
                <w:lang w:val="en-US" w:eastAsia="zh-CN"/>
              </w:rPr>
            </w:pPr>
            <w:r>
              <w:rPr>
                <w:rFonts w:hint="eastAsia"/>
                <w:lang w:val="en-US" w:eastAsia="zh-CN"/>
              </w:rPr>
              <w:t>10</w:t>
            </w:r>
          </w:p>
        </w:tc>
        <w:tc>
          <w:tcPr>
            <w:tcW w:w="1490" w:type="dxa"/>
            <w:shd w:val="clear" w:color="auto" w:fill="auto"/>
            <w:noWrap w:val="0"/>
            <w:vAlign w:val="center"/>
          </w:tcPr>
          <w:p w14:paraId="0086EE59">
            <w:pPr>
              <w:jc w:val="center"/>
              <w:rPr>
                <w:rFonts w:hint="eastAsia"/>
              </w:rPr>
            </w:pPr>
            <w:r>
              <w:rPr>
                <w:rFonts w:hint="eastAsia"/>
              </w:rPr>
              <w:t>应急方案</w:t>
            </w:r>
          </w:p>
        </w:tc>
        <w:tc>
          <w:tcPr>
            <w:tcW w:w="6379" w:type="dxa"/>
            <w:shd w:val="clear" w:color="auto" w:fill="auto"/>
            <w:noWrap w:val="0"/>
            <w:vAlign w:val="center"/>
          </w:tcPr>
          <w:p w14:paraId="0AC81D1D">
            <w:pPr>
              <w:rPr>
                <w:rFonts w:hint="default" w:hAnsi="Times New Roman" w:cs="Times New Roman"/>
                <w:sz w:val="21"/>
              </w:rPr>
            </w:pPr>
            <w:r>
              <w:rPr>
                <w:rFonts w:hint="default" w:hAnsi="Times New Roman" w:cs="Times New Roman"/>
                <w:sz w:val="21"/>
              </w:rPr>
              <w:t>根据投标人所提供针对本项目的应急预案，包括处理突发事件的措施等进行打分。</w:t>
            </w:r>
          </w:p>
          <w:p w14:paraId="0F141A49">
            <w:pPr>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1、需求理解全面，分析准确到位、合理，3分；</w:t>
            </w:r>
          </w:p>
          <w:p w14:paraId="6985E776">
            <w:pPr>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2、基本理解需求，分析基本到位、合理，2分；</w:t>
            </w:r>
          </w:p>
          <w:p w14:paraId="1F935330">
            <w:pPr>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3、理解一般，分析不到位，1分；</w:t>
            </w:r>
          </w:p>
          <w:p w14:paraId="6AE3ECC1">
            <w:pPr>
              <w:jc w:val="left"/>
              <w:rPr>
                <w:rFonts w:hint="eastAsia"/>
              </w:rPr>
            </w:pPr>
            <w:r>
              <w:rPr>
                <w:rFonts w:hint="default" w:ascii="Times New Roman" w:hAnsi="Times New Roman" w:eastAsia="宋体" w:cs="Times New Roman"/>
                <w:sz w:val="21"/>
                <w:szCs w:val="24"/>
                <w:lang w:val="en-US" w:eastAsia="zh-CN"/>
              </w:rPr>
              <w:t>4、未提供不得分。</w:t>
            </w:r>
          </w:p>
        </w:tc>
        <w:tc>
          <w:tcPr>
            <w:tcW w:w="726" w:type="dxa"/>
            <w:shd w:val="clear" w:color="auto" w:fill="auto"/>
            <w:noWrap w:val="0"/>
            <w:vAlign w:val="center"/>
          </w:tcPr>
          <w:p w14:paraId="712644CD">
            <w:pPr>
              <w:jc w:val="center"/>
              <w:rPr>
                <w:rFonts w:hint="default"/>
                <w:lang w:val="en-US" w:eastAsia="zh-CN"/>
              </w:rPr>
            </w:pPr>
            <w:r>
              <w:rPr>
                <w:rFonts w:hint="eastAsia"/>
                <w:lang w:val="en-US" w:eastAsia="zh-CN"/>
              </w:rPr>
              <w:t>3</w:t>
            </w:r>
          </w:p>
        </w:tc>
      </w:tr>
      <w:tr w14:paraId="7E66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88" w:hRule="atLeast"/>
        </w:trPr>
        <w:tc>
          <w:tcPr>
            <w:tcW w:w="647" w:type="dxa"/>
            <w:shd w:val="clear" w:color="auto" w:fill="auto"/>
            <w:noWrap w:val="0"/>
            <w:vAlign w:val="center"/>
          </w:tcPr>
          <w:p w14:paraId="13B33C23">
            <w:pPr>
              <w:jc w:val="center"/>
              <w:rPr>
                <w:rFonts w:hint="default"/>
                <w:lang w:val="en-US" w:eastAsia="zh-CN"/>
              </w:rPr>
            </w:pPr>
            <w:r>
              <w:rPr>
                <w:rFonts w:hint="eastAsia"/>
                <w:lang w:val="en-US" w:eastAsia="zh-CN"/>
              </w:rPr>
              <w:t>11</w:t>
            </w:r>
          </w:p>
        </w:tc>
        <w:tc>
          <w:tcPr>
            <w:tcW w:w="1490" w:type="dxa"/>
            <w:shd w:val="clear" w:color="auto" w:fill="auto"/>
            <w:noWrap w:val="0"/>
            <w:vAlign w:val="center"/>
          </w:tcPr>
          <w:p w14:paraId="0E5BB983">
            <w:pPr>
              <w:jc w:val="center"/>
              <w:rPr>
                <w:rFonts w:hint="eastAsia"/>
              </w:rPr>
            </w:pPr>
            <w:r>
              <w:rPr>
                <w:rFonts w:hint="eastAsia"/>
                <w:lang w:val="en-US" w:eastAsia="zh-CN"/>
              </w:rPr>
              <w:t>项目</w:t>
            </w:r>
            <w:r>
              <w:rPr>
                <w:rFonts w:hint="eastAsia"/>
              </w:rPr>
              <w:t>演示</w:t>
            </w:r>
          </w:p>
        </w:tc>
        <w:tc>
          <w:tcPr>
            <w:tcW w:w="6379" w:type="dxa"/>
            <w:shd w:val="clear" w:color="auto" w:fill="auto"/>
            <w:noWrap w:val="0"/>
            <w:vAlign w:val="center"/>
          </w:tcPr>
          <w:p w14:paraId="5EE1F3F0">
            <w:pPr>
              <w:spacing w:line="240" w:lineRule="auto"/>
              <w:jc w:val="left"/>
              <w:rPr>
                <w:rFonts w:hAnsi="Times New Roman" w:cs="Times New Roman"/>
                <w:sz w:val="21"/>
              </w:rPr>
            </w:pPr>
            <w:r>
              <w:rPr>
                <w:rFonts w:hint="default" w:hAnsi="Times New Roman" w:cs="Times New Roman"/>
                <w:b w:val="0"/>
                <w:sz w:val="21"/>
              </w:rPr>
              <w:t>1.快速查询演示</w:t>
            </w:r>
            <w:r>
              <w:rPr>
                <w:rFonts w:hint="default" w:hAnsi="Times New Roman" w:cs="Times New Roman"/>
                <w:sz w:val="21"/>
              </w:rPr>
              <w:t>：用户快速查询档案的快捷入口。系统会根据用户输入的关键字，在档案库中搜索包含关键字的档案。</w:t>
            </w:r>
          </w:p>
          <w:p w14:paraId="3F37F77C">
            <w:pPr>
              <w:spacing w:line="240" w:lineRule="auto"/>
              <w:jc w:val="left"/>
              <w:rPr>
                <w:rFonts w:hAnsi="Times New Roman" w:cs="Times New Roman"/>
                <w:sz w:val="21"/>
              </w:rPr>
            </w:pPr>
            <w:r>
              <w:rPr>
                <w:rFonts w:hint="default" w:hAnsi="Times New Roman" w:cs="Times New Roman"/>
                <w:sz w:val="21"/>
              </w:rPr>
              <w:t>(评分范围：</w:t>
            </w:r>
            <w:r>
              <w:rPr>
                <w:rFonts w:hint="eastAsia" w:cs="Times New Roman"/>
                <w:sz w:val="21"/>
                <w:lang w:val="en-US" w:eastAsia="zh-CN"/>
              </w:rPr>
              <w:t>满足得3分，不满足0分</w:t>
            </w:r>
            <w:r>
              <w:rPr>
                <w:rFonts w:hint="default" w:hAnsi="Times New Roman" w:cs="Times New Roman"/>
                <w:sz w:val="21"/>
              </w:rPr>
              <w:t>）</w:t>
            </w:r>
          </w:p>
          <w:p w14:paraId="3C8105EE">
            <w:pPr>
              <w:spacing w:line="240" w:lineRule="auto"/>
              <w:jc w:val="left"/>
              <w:rPr>
                <w:rFonts w:hAnsi="Times New Roman" w:cs="Times New Roman"/>
                <w:sz w:val="21"/>
              </w:rPr>
            </w:pPr>
            <w:r>
              <w:rPr>
                <w:rFonts w:hint="default" w:hAnsi="Times New Roman" w:cs="Times New Roman"/>
                <w:b w:val="0"/>
                <w:sz w:val="21"/>
              </w:rPr>
              <w:t>2.批量导入功能演示：</w:t>
            </w:r>
            <w:r>
              <w:rPr>
                <w:rFonts w:hint="default" w:hAnsi="Times New Roman" w:cs="Times New Roman"/>
                <w:sz w:val="21"/>
              </w:rPr>
              <w:t>系统支持电子表格进行案卷目录与文件目录数据批量导入，导入模板根据著录模板会自动生成。点击导入系统会自动校验表格中的数据格式，自动检测档案重复性，并对著录数据自动检测，规范著录内容(评分范围：</w:t>
            </w:r>
            <w:r>
              <w:rPr>
                <w:rFonts w:hint="eastAsia" w:cs="Times New Roman"/>
                <w:sz w:val="21"/>
                <w:lang w:val="en-US" w:eastAsia="zh-CN"/>
              </w:rPr>
              <w:t>满足得3分，不满足0分</w:t>
            </w:r>
            <w:r>
              <w:rPr>
                <w:rFonts w:hint="default" w:hAnsi="Times New Roman" w:cs="Times New Roman"/>
                <w:sz w:val="21"/>
              </w:rPr>
              <w:t>）</w:t>
            </w:r>
          </w:p>
          <w:p w14:paraId="44151A52">
            <w:pPr>
              <w:spacing w:line="240" w:lineRule="auto"/>
              <w:rPr>
                <w:rFonts w:hAnsi="Times New Roman" w:cs="Times New Roman"/>
                <w:sz w:val="21"/>
              </w:rPr>
            </w:pPr>
            <w:r>
              <w:rPr>
                <w:rFonts w:hint="default" w:hAnsi="Times New Roman" w:cs="Times New Roman"/>
                <w:b w:val="0"/>
                <w:sz w:val="21"/>
              </w:rPr>
              <w:t>3查询记录统计演示：</w:t>
            </w:r>
            <w:r>
              <w:rPr>
                <w:rFonts w:hint="default" w:hAnsi="Times New Roman" w:cs="Times New Roman"/>
                <w:sz w:val="21"/>
              </w:rPr>
              <w:t>记录所有查询操作，可查看具体查看查询历史，时间，对应档案名称。(评分范围：</w:t>
            </w:r>
            <w:r>
              <w:rPr>
                <w:rFonts w:hint="eastAsia" w:cs="Times New Roman"/>
                <w:sz w:val="21"/>
                <w:lang w:val="en-US" w:eastAsia="zh-CN"/>
              </w:rPr>
              <w:t>满足得3分，不满足0分</w:t>
            </w:r>
            <w:r>
              <w:rPr>
                <w:rFonts w:hint="default" w:hAnsi="Times New Roman" w:cs="Times New Roman"/>
                <w:sz w:val="21"/>
              </w:rPr>
              <w:t>）</w:t>
            </w:r>
          </w:p>
          <w:p w14:paraId="44808C40">
            <w:pPr>
              <w:spacing w:line="240" w:lineRule="auto"/>
              <w:rPr>
                <w:rFonts w:hAnsi="Times New Roman" w:cs="Times New Roman"/>
                <w:sz w:val="21"/>
              </w:rPr>
            </w:pPr>
            <w:r>
              <w:rPr>
                <w:rFonts w:hint="default" w:hAnsi="Times New Roman" w:cs="Times New Roman"/>
                <w:b w:val="0"/>
                <w:sz w:val="21"/>
              </w:rPr>
              <w:t>4.查阅/借阅登记演示：</w:t>
            </w:r>
            <w:r>
              <w:rPr>
                <w:rFonts w:hint="default" w:hAnsi="Times New Roman" w:cs="Times New Roman"/>
                <w:sz w:val="21"/>
              </w:rPr>
              <w:t>系统根据各级别账号进行自动登记查/借档清单；全程软件内完成借阅/外借，审批，等流程，并实时存档留根，记录借阅/外借信息。用户可通过借阅记录中快速查看所通过借阅的内容，并限时开放查阅端口，结束后关闭，保证安全性。(评分范围：</w:t>
            </w:r>
            <w:r>
              <w:rPr>
                <w:rFonts w:hint="eastAsia" w:cs="Times New Roman"/>
                <w:sz w:val="21"/>
                <w:lang w:val="en-US" w:eastAsia="zh-CN"/>
              </w:rPr>
              <w:t>满足得3分，不满足0分</w:t>
            </w:r>
            <w:r>
              <w:rPr>
                <w:rFonts w:hint="default" w:hAnsi="Times New Roman" w:cs="Times New Roman"/>
                <w:sz w:val="21"/>
              </w:rPr>
              <w:t>）</w:t>
            </w:r>
          </w:p>
          <w:p w14:paraId="3C9E764D">
            <w:pPr>
              <w:jc w:val="left"/>
              <w:rPr>
                <w:rFonts w:hint="eastAsia"/>
              </w:rPr>
            </w:pPr>
            <w:r>
              <w:rPr>
                <w:rFonts w:hint="default" w:hAnsi="Times New Roman" w:cs="Times New Roman"/>
                <w:b w:val="0"/>
                <w:sz w:val="21"/>
                <w:szCs w:val="24"/>
              </w:rPr>
              <w:t>（演示介质∶U盘，须贴上标签并注明单位名称。时间10分钟以内，未提供U盘视频演示的本项不得分。）</w:t>
            </w:r>
          </w:p>
        </w:tc>
        <w:tc>
          <w:tcPr>
            <w:tcW w:w="726" w:type="dxa"/>
            <w:shd w:val="clear" w:color="auto" w:fill="auto"/>
            <w:noWrap w:val="0"/>
            <w:vAlign w:val="center"/>
          </w:tcPr>
          <w:p w14:paraId="0FF77C2B">
            <w:pPr>
              <w:jc w:val="center"/>
              <w:rPr>
                <w:rFonts w:hint="default"/>
                <w:lang w:val="en-US" w:eastAsia="zh-CN"/>
              </w:rPr>
            </w:pPr>
            <w:r>
              <w:rPr>
                <w:rFonts w:hint="eastAsia"/>
                <w:lang w:val="en-US" w:eastAsia="zh-CN"/>
              </w:rPr>
              <w:t>12</w:t>
            </w:r>
          </w:p>
        </w:tc>
      </w:tr>
    </w:tbl>
    <w:p w14:paraId="7B111503">
      <w:pPr>
        <w:spacing w:line="360" w:lineRule="auto"/>
        <w:rPr>
          <w:rFonts w:asciiTheme="majorEastAsia" w:hAnsiTheme="majorEastAsia" w:eastAsiaTheme="majorEastAsia" w:cstheme="majorEastAsia"/>
          <w:sz w:val="24"/>
        </w:rPr>
      </w:pPr>
    </w:p>
    <w:p w14:paraId="65575AEA">
      <w:pPr>
        <w:pStyle w:val="2"/>
        <w:rPr>
          <w:rFonts w:asciiTheme="majorEastAsia" w:hAnsiTheme="majorEastAsia" w:eastAsiaTheme="majorEastAsia" w:cstheme="majorEastAsia"/>
          <w:sz w:val="24"/>
        </w:rPr>
      </w:pPr>
    </w:p>
    <w:p w14:paraId="05E24BAC"/>
    <w:p w14:paraId="0D67F59C">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备注：</w:t>
      </w:r>
    </w:p>
    <w:p w14:paraId="4531D35B">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评标依据以投标人商务技术文件中加盖有效公章的证书/证明文件复印件为准；</w:t>
      </w:r>
    </w:p>
    <w:p w14:paraId="4A1770B0">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业绩评分项，投标人须提供证明材料，证明材料以评标标准要求为准。评标委员会、采购机构在项目评审直至合同签订、履约期间，有权要求投标人出具投标文件中的合同文本原件，予以确认其的真实性和有效性，如出现与事实不符等情况，将根据有关规定以“提供虚假材料谋取中标”予以处理。</w:t>
      </w:r>
    </w:p>
    <w:p w14:paraId="2318282E">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投标人售后服务机构，应提交场地租赁协议、营业执照等证明材料。</w:t>
      </w:r>
    </w:p>
    <w:p w14:paraId="5C703D89">
      <w:pPr>
        <w:spacing w:line="360" w:lineRule="auto"/>
        <w:rPr>
          <w:rFonts w:asciiTheme="majorEastAsia" w:hAnsiTheme="majorEastAsia" w:eastAsiaTheme="majorEastAsia" w:cstheme="majorEastAsia"/>
          <w:sz w:val="24"/>
        </w:rPr>
      </w:pPr>
    </w:p>
    <w:p w14:paraId="21F4C235">
      <w:pPr>
        <w:spacing w:line="360" w:lineRule="auto"/>
        <w:rPr>
          <w:rFonts w:asciiTheme="majorEastAsia" w:hAnsiTheme="majorEastAsia" w:eastAsiaTheme="majorEastAsia" w:cstheme="majorEastAsia"/>
          <w:sz w:val="24"/>
        </w:rPr>
      </w:pPr>
    </w:p>
    <w:p w14:paraId="24DE488B">
      <w:pPr>
        <w:spacing w:line="360" w:lineRule="auto"/>
        <w:rPr>
          <w:rFonts w:asciiTheme="majorEastAsia" w:hAnsiTheme="majorEastAsia" w:eastAsiaTheme="majorEastAsia" w:cstheme="majorEastAsia"/>
          <w:sz w:val="24"/>
        </w:rPr>
      </w:pPr>
    </w:p>
    <w:p w14:paraId="418EFB10">
      <w:pPr>
        <w:pStyle w:val="2"/>
        <w:rPr>
          <w:rFonts w:asciiTheme="majorEastAsia" w:hAnsiTheme="majorEastAsia" w:eastAsiaTheme="majorEastAsia" w:cstheme="majorEastAsia"/>
          <w:sz w:val="24"/>
        </w:rPr>
      </w:pPr>
    </w:p>
    <w:p w14:paraId="518411AA"/>
    <w:p w14:paraId="15C9EDF2">
      <w:pPr>
        <w:spacing w:line="360" w:lineRule="auto"/>
        <w:ind w:firstLine="590" w:firstLineChars="245"/>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2、商务评分30分（权值30%）：</w:t>
      </w:r>
    </w:p>
    <w:p w14:paraId="21DD73E1">
      <w:pPr>
        <w:spacing w:line="360" w:lineRule="auto"/>
        <w:ind w:firstLine="588" w:firstLineChars="24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满足招标文件要求且投标报价面值最低的投标报价为评标基准价，</w:t>
      </w:r>
      <w:r>
        <w:rPr>
          <w:rFonts w:hint="eastAsia" w:asciiTheme="minorEastAsia" w:hAnsiTheme="minorEastAsia"/>
          <w:b/>
          <w:bCs/>
          <w:color w:val="FF0000"/>
          <w:sz w:val="24"/>
          <w:u w:val="single"/>
        </w:rPr>
        <w:t>如报价低于所有投标人平均报价的50%时，需提供成本说明，否则视为无效投标。</w:t>
      </w:r>
      <w:r>
        <w:rPr>
          <w:rFonts w:hint="eastAsia" w:asciiTheme="majorEastAsia" w:hAnsiTheme="majorEastAsia" w:eastAsiaTheme="majorEastAsia" w:cstheme="majorEastAsia"/>
          <w:sz w:val="24"/>
        </w:rPr>
        <w:t>其余投标人投标报价与该基准价对比，计算出商务报价评分值（保留小数2位）：</w:t>
      </w:r>
    </w:p>
    <w:p w14:paraId="6A806D0B">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（1）有效投标人的投标报价等于评标基准价时其报价分为满分40分；</w:t>
      </w:r>
    </w:p>
    <w:p w14:paraId="64C53BBE">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（2）其他投标人的价格分按以下公式计算：</w:t>
      </w:r>
    </w:p>
    <w:p w14:paraId="0E1AE5A8">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投标报价得分=（评分基准价/投标人投标报价）× 价格权值 ×100（保留小数2位）</w:t>
      </w:r>
    </w:p>
    <w:p w14:paraId="4ED62A74">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FDF9DE">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（4）投标人所报总价不得超过预算金额，否则当无效标处理。</w:t>
      </w:r>
    </w:p>
    <w:p w14:paraId="28CF6CBE">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（三）综合得分（100分）（权值100%）</w:t>
      </w:r>
    </w:p>
    <w:p w14:paraId="712B17B5">
      <w:pPr>
        <w:spacing w:line="360" w:lineRule="auto"/>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有效投标人的综合得分为技术分和商务（报价）分的总和，评标委员会根据综合得分高低顺序排列，综合得分前两名投标人依次作为该项目第一中标候选人和第二中标候选人向招标人推荐。得分相同的，按投标报价由低到高顺序排列；得分且投标报价相同的，按技术部分得分高的排序第一。</w:t>
      </w:r>
    </w:p>
    <w:p w14:paraId="73126684">
      <w:pPr>
        <w:spacing w:line="360" w:lineRule="auto"/>
      </w:pPr>
    </w:p>
    <w:p w14:paraId="6E6BF2FA">
      <w:r>
        <w:rPr>
          <w:rFonts w:hint="eastAsia" w:ascii="新宋体" w:hAnsi="新宋体" w:eastAsia="新宋体" w:cs="宋体"/>
          <w:b/>
          <w:bCs/>
          <w:kern w:val="0"/>
          <w:sz w:val="32"/>
          <w:szCs w:val="32"/>
        </w:rPr>
        <w:br w:type="page"/>
      </w:r>
    </w:p>
    <w:p w14:paraId="22D45BAC">
      <w:pPr>
        <w:rPr>
          <w:rFonts w:ascii="新宋体" w:hAnsi="新宋体" w:eastAsia="新宋体" w:cs="宋体"/>
          <w:b/>
          <w:bCs/>
          <w:kern w:val="0"/>
          <w:sz w:val="32"/>
          <w:szCs w:val="32"/>
        </w:rPr>
      </w:pPr>
    </w:p>
    <w:p w14:paraId="6185DE63">
      <w:pPr>
        <w:jc w:val="left"/>
        <w:rPr>
          <w:sz w:val="24"/>
        </w:rPr>
      </w:pPr>
      <w:r>
        <w:rPr>
          <w:rFonts w:hint="eastAsia"/>
          <w:sz w:val="24"/>
        </w:rPr>
        <w:t>附件一</w:t>
      </w:r>
    </w:p>
    <w:p w14:paraId="5ED3AB42">
      <w:pPr>
        <w:spacing w:line="460" w:lineRule="exact"/>
        <w:jc w:val="center"/>
        <w:outlineLvl w:val="3"/>
        <w:rPr>
          <w:rFonts w:ascii="宋体" w:hAnsi="宋体" w:cs="宋体"/>
          <w:bCs/>
          <w:szCs w:val="28"/>
          <w:lang w:val="zh-CN"/>
        </w:rPr>
      </w:pPr>
      <w:r>
        <w:rPr>
          <w:rFonts w:hint="eastAsia" w:ascii="宋体" w:hAnsi="宋体" w:cs="宋体"/>
          <w:b/>
          <w:bCs/>
          <w:sz w:val="28"/>
          <w:szCs w:val="28"/>
          <w:lang w:val="zh-CN"/>
        </w:rPr>
        <w:t>投标函</w:t>
      </w:r>
    </w:p>
    <w:p w14:paraId="2AA1F274">
      <w:pPr>
        <w:spacing w:line="460" w:lineRule="exact"/>
        <w:rPr>
          <w:rFonts w:ascii="宋体" w:hAnsi="宋体" w:cs="宋体"/>
          <w:sz w:val="22"/>
          <w:szCs w:val="22"/>
        </w:rPr>
      </w:pPr>
      <w:r>
        <w:rPr>
          <w:rFonts w:hint="eastAsia" w:ascii="宋体" w:hAnsi="宋体" w:cs="宋体"/>
          <w:sz w:val="22"/>
          <w:szCs w:val="22"/>
        </w:rPr>
        <w:t xml:space="preserve">             </w:t>
      </w:r>
    </w:p>
    <w:p w14:paraId="4D77AF9F">
      <w:pPr>
        <w:spacing w:line="460" w:lineRule="exact"/>
        <w:rPr>
          <w:rFonts w:ascii="新宋体" w:hAnsi="新宋体" w:eastAsia="新宋体" w:cs="新宋体"/>
          <w:sz w:val="22"/>
          <w:szCs w:val="22"/>
        </w:rPr>
      </w:pPr>
      <w:r>
        <w:rPr>
          <w:rFonts w:hint="eastAsia" w:ascii="新宋体" w:hAnsi="新宋体" w:eastAsia="新宋体" w:cs="新宋体"/>
          <w:sz w:val="22"/>
          <w:szCs w:val="22"/>
        </w:rPr>
        <w:t>致：温州市第七人民医院</w:t>
      </w:r>
    </w:p>
    <w:p w14:paraId="326ADF61">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根据贵方为</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项目的投标邀请，我方</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（投标人名称）作为投标人正式授权</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（授权代表全名，职务）代表我方处理有关本投标的一切事宜。</w:t>
      </w:r>
    </w:p>
    <w:p w14:paraId="47587200">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在此提交的投标文件中，包括如下内容，并已分别单独密封装袋：</w:t>
      </w:r>
    </w:p>
    <w:p w14:paraId="36268862">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（—）按“招标内容及要求”要求编制的投标文件技术标【正本一份，副本三份】；</w:t>
      </w:r>
    </w:p>
    <w:p w14:paraId="505F45F0">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（二）按“招标内容及要求”要求编制的投标文件商务标【正本一份，副本三份】</w:t>
      </w:r>
    </w:p>
    <w:p w14:paraId="0AD92E23">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我方己完全明白招标文件的所有条款要求，并重申以下几点：</w:t>
      </w:r>
    </w:p>
    <w:p w14:paraId="6A063178">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（一）本投标文件的有效期自投标截止日起</w:t>
      </w:r>
      <w:r>
        <w:rPr>
          <w:rFonts w:hint="eastAsia" w:ascii="新宋体" w:hAnsi="新宋体" w:eastAsia="新宋体" w:cs="新宋体"/>
          <w:b/>
          <w:sz w:val="22"/>
          <w:szCs w:val="22"/>
        </w:rPr>
        <w:t>120天内</w:t>
      </w:r>
      <w:r>
        <w:rPr>
          <w:rFonts w:hint="eastAsia" w:ascii="新宋体" w:hAnsi="新宋体" w:eastAsia="新宋体" w:cs="新宋体"/>
          <w:sz w:val="22"/>
          <w:szCs w:val="22"/>
        </w:rPr>
        <w:t>有效，如中标，有效期将延至合同终止日为止；</w:t>
      </w:r>
    </w:p>
    <w:p w14:paraId="7F253FF5">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（二）我方已详细研究了招标文件的所有内容包括修改书（如有）和所有已提供的参考资料以及有关附件，我方完全理解并同意放弃在此方面提出含糊意见或误解的一切权力；</w:t>
      </w:r>
    </w:p>
    <w:p w14:paraId="54CD3AB2">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（三）我方同意提供按照贵方可能要求的与投标有关的一切数据或资料；</w:t>
      </w:r>
    </w:p>
    <w:p w14:paraId="7D291FFA">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（四）我方理解贵方不一定接受最低报价。</w:t>
      </w:r>
    </w:p>
    <w:p w14:paraId="707D538F">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（五）我方如果中标，将保证履行招标文件以及招标文件修改书（如有）中的全部责任和义务，按质、按量、按期完成《合同书》中的全部任务。</w:t>
      </w:r>
    </w:p>
    <w:p w14:paraId="7AFCE9E7">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（六）所有与本投标有关的函件请发往下列地址：</w:t>
      </w:r>
    </w:p>
    <w:p w14:paraId="30D82067">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地址</w:t>
      </w:r>
      <w:r>
        <w:rPr>
          <w:rFonts w:hint="eastAsia" w:ascii="新宋体" w:hAnsi="新宋体" w:eastAsia="新宋体" w:cs="新宋体"/>
          <w:sz w:val="22"/>
          <w:szCs w:val="22"/>
          <w:u w:val="single"/>
        </w:rPr>
        <w:t xml:space="preserve">                           </w:t>
      </w:r>
    </w:p>
    <w:p w14:paraId="0344B9C3">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电话</w:t>
      </w:r>
      <w:r>
        <w:rPr>
          <w:rFonts w:hint="eastAsia" w:ascii="新宋体" w:hAnsi="新宋体" w:eastAsia="新宋体" w:cs="新宋体"/>
          <w:sz w:val="22"/>
          <w:szCs w:val="22"/>
          <w:u w:val="single"/>
        </w:rPr>
        <w:t xml:space="preserve">                           </w:t>
      </w:r>
    </w:p>
    <w:p w14:paraId="6732036B">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传真</w:t>
      </w:r>
      <w:r>
        <w:rPr>
          <w:rFonts w:hint="eastAsia" w:ascii="新宋体" w:hAnsi="新宋体" w:eastAsia="新宋体" w:cs="新宋体"/>
          <w:sz w:val="22"/>
          <w:szCs w:val="22"/>
          <w:u w:val="single"/>
        </w:rPr>
        <w:t xml:space="preserve">                           </w:t>
      </w:r>
    </w:p>
    <w:p w14:paraId="193AAAC2">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电子邮件</w:t>
      </w:r>
      <w:r>
        <w:rPr>
          <w:rFonts w:hint="eastAsia" w:ascii="新宋体" w:hAnsi="新宋体" w:eastAsia="新宋体" w:cs="新宋体"/>
          <w:sz w:val="22"/>
          <w:szCs w:val="22"/>
          <w:u w:val="single"/>
        </w:rPr>
        <w:t xml:space="preserve">                       </w:t>
      </w:r>
    </w:p>
    <w:p w14:paraId="346B6189">
      <w:pPr>
        <w:spacing w:line="420" w:lineRule="exact"/>
        <w:ind w:firstLine="435"/>
        <w:rPr>
          <w:rFonts w:ascii="新宋体" w:hAnsi="新宋体" w:eastAsia="新宋体" w:cs="新宋体"/>
          <w:sz w:val="22"/>
          <w:szCs w:val="22"/>
        </w:rPr>
      </w:pPr>
    </w:p>
    <w:p w14:paraId="4E2723AD">
      <w:pPr>
        <w:spacing w:line="420" w:lineRule="exact"/>
        <w:ind w:firstLine="435"/>
        <w:rPr>
          <w:rFonts w:ascii="新宋体" w:hAnsi="新宋体" w:eastAsia="新宋体" w:cs="新宋体"/>
          <w:sz w:val="22"/>
          <w:szCs w:val="22"/>
        </w:rPr>
      </w:pPr>
      <w:r>
        <w:rPr>
          <w:rFonts w:hint="eastAsia" w:ascii="新宋体" w:hAnsi="新宋体" w:eastAsia="新宋体" w:cs="新宋体"/>
          <w:sz w:val="22"/>
          <w:szCs w:val="22"/>
        </w:rPr>
        <w:t xml:space="preserve">                                   投标人名称（公章）</w:t>
      </w:r>
      <w:r>
        <w:rPr>
          <w:rFonts w:hint="eastAsia" w:ascii="新宋体" w:hAnsi="新宋体" w:eastAsia="新宋体" w:cs="新宋体"/>
          <w:sz w:val="22"/>
          <w:szCs w:val="22"/>
          <w:u w:val="single"/>
        </w:rPr>
        <w:t xml:space="preserve">                </w:t>
      </w:r>
    </w:p>
    <w:p w14:paraId="10E99368">
      <w:pPr>
        <w:spacing w:line="420" w:lineRule="exact"/>
        <w:ind w:firstLine="435"/>
        <w:rPr>
          <w:rFonts w:ascii="新宋体" w:hAnsi="新宋体" w:eastAsia="新宋体" w:cs="新宋体"/>
          <w:sz w:val="22"/>
          <w:szCs w:val="22"/>
        </w:rPr>
      </w:pPr>
      <w:r>
        <w:rPr>
          <w:rFonts w:hint="eastAsia" w:ascii="新宋体" w:hAnsi="新宋体" w:eastAsia="新宋体" w:cs="新宋体"/>
          <w:sz w:val="22"/>
          <w:szCs w:val="22"/>
        </w:rPr>
        <w:t xml:space="preserve">                                   投标人代表</w:t>
      </w:r>
      <w:r>
        <w:rPr>
          <w:rFonts w:hint="eastAsia" w:ascii="新宋体" w:hAnsi="新宋体" w:eastAsia="新宋体" w:cs="新宋体"/>
          <w:sz w:val="22"/>
          <w:szCs w:val="22"/>
          <w:u w:val="single"/>
        </w:rPr>
        <w:t xml:space="preserve">                        </w:t>
      </w:r>
    </w:p>
    <w:p w14:paraId="4D1DD5F1">
      <w:pPr>
        <w:spacing w:line="460" w:lineRule="exact"/>
        <w:ind w:firstLine="435"/>
        <w:rPr>
          <w:rFonts w:ascii="新宋体" w:hAnsi="新宋体" w:eastAsia="新宋体" w:cs="新宋体"/>
          <w:sz w:val="22"/>
          <w:szCs w:val="22"/>
          <w:u w:val="single"/>
        </w:rPr>
      </w:pPr>
      <w:r>
        <w:rPr>
          <w:rFonts w:hint="eastAsia" w:ascii="新宋体" w:hAnsi="新宋体" w:eastAsia="新宋体" w:cs="新宋体"/>
          <w:sz w:val="22"/>
          <w:szCs w:val="22"/>
        </w:rPr>
        <w:t xml:space="preserve">                                   日   期</w:t>
      </w:r>
      <w:r>
        <w:rPr>
          <w:rFonts w:hint="eastAsia" w:ascii="新宋体" w:hAnsi="新宋体" w:eastAsia="新宋体" w:cs="新宋体"/>
          <w:sz w:val="22"/>
          <w:szCs w:val="22"/>
          <w:u w:val="single"/>
        </w:rPr>
        <w:t xml:space="preserve">                           </w:t>
      </w:r>
    </w:p>
    <w:p w14:paraId="216B2244">
      <w:pPr>
        <w:spacing w:line="460" w:lineRule="exact"/>
        <w:ind w:firstLine="435"/>
        <w:rPr>
          <w:rFonts w:ascii="新宋体" w:hAnsi="新宋体" w:eastAsia="新宋体" w:cs="新宋体"/>
          <w:sz w:val="22"/>
          <w:szCs w:val="22"/>
          <w:u w:val="single"/>
        </w:rPr>
      </w:pPr>
    </w:p>
    <w:p w14:paraId="5128EF6A">
      <w:pPr>
        <w:spacing w:line="460" w:lineRule="exact"/>
        <w:ind w:firstLine="541" w:firstLineChars="245"/>
        <w:outlineLvl w:val="1"/>
        <w:rPr>
          <w:rFonts w:ascii="新宋体" w:hAnsi="新宋体" w:eastAsia="新宋体"/>
          <w:b/>
          <w:bCs/>
          <w:sz w:val="22"/>
          <w:szCs w:val="22"/>
        </w:rPr>
      </w:pPr>
    </w:p>
    <w:p w14:paraId="454A3B25">
      <w:pPr>
        <w:spacing w:line="460" w:lineRule="exact"/>
        <w:ind w:firstLine="541" w:firstLineChars="245"/>
        <w:outlineLvl w:val="1"/>
        <w:rPr>
          <w:rFonts w:ascii="新宋体" w:hAnsi="新宋体" w:eastAsia="新宋体"/>
          <w:b/>
          <w:bCs/>
          <w:sz w:val="22"/>
          <w:szCs w:val="22"/>
        </w:rPr>
      </w:pPr>
    </w:p>
    <w:p w14:paraId="5300FE25">
      <w:pPr>
        <w:spacing w:line="460" w:lineRule="exact"/>
        <w:ind w:firstLine="541" w:firstLineChars="245"/>
        <w:outlineLvl w:val="1"/>
        <w:rPr>
          <w:rFonts w:ascii="新宋体" w:hAnsi="新宋体" w:eastAsia="新宋体"/>
          <w:b/>
          <w:bCs/>
          <w:sz w:val="22"/>
          <w:szCs w:val="22"/>
        </w:rPr>
      </w:pPr>
    </w:p>
    <w:p w14:paraId="23558644">
      <w:pPr>
        <w:rPr>
          <w:rFonts w:ascii="新宋体" w:hAnsi="新宋体" w:eastAsia="新宋体"/>
          <w:b/>
          <w:bCs/>
          <w:sz w:val="22"/>
          <w:szCs w:val="22"/>
        </w:rPr>
      </w:pPr>
    </w:p>
    <w:p w14:paraId="72AF9F77">
      <w:pPr>
        <w:widowControl/>
        <w:spacing w:line="360" w:lineRule="auto"/>
        <w:jc w:val="left"/>
        <w:rPr>
          <w:sz w:val="24"/>
        </w:rPr>
      </w:pPr>
      <w:r>
        <w:rPr>
          <w:rFonts w:hint="eastAsia"/>
          <w:sz w:val="24"/>
        </w:rPr>
        <w:t>附件二：</w:t>
      </w:r>
    </w:p>
    <w:p w14:paraId="369AB066">
      <w:pPr>
        <w:widowControl/>
        <w:spacing w:line="360" w:lineRule="auto"/>
        <w:jc w:val="center"/>
        <w:rPr>
          <w:b/>
          <w:sz w:val="36"/>
          <w:szCs w:val="36"/>
        </w:rPr>
      </w:pPr>
      <w:r>
        <w:rPr>
          <w:rFonts w:hint="eastAsia"/>
          <w:b/>
          <w:sz w:val="36"/>
          <w:szCs w:val="36"/>
        </w:rPr>
        <w:t>法定代表人授权书</w:t>
      </w:r>
    </w:p>
    <w:p w14:paraId="7C88FA51">
      <w:pPr>
        <w:spacing w:line="360" w:lineRule="auto"/>
        <w:rPr>
          <w:rFonts w:ascii="新宋体" w:hAnsi="新宋体" w:eastAsia="新宋体"/>
          <w:sz w:val="24"/>
        </w:rPr>
      </w:pPr>
      <w:r>
        <w:rPr>
          <w:rFonts w:hint="eastAsia" w:ascii="新宋体" w:hAnsi="新宋体" w:eastAsia="新宋体"/>
          <w:sz w:val="24"/>
        </w:rPr>
        <w:t>温州市第七人民医院：</w:t>
      </w:r>
    </w:p>
    <w:p w14:paraId="6B6C9F46">
      <w:pPr>
        <w:spacing w:line="360" w:lineRule="auto"/>
        <w:ind w:firstLine="600" w:firstLineChars="250"/>
        <w:rPr>
          <w:rFonts w:ascii="新宋体" w:hAnsi="新宋体" w:eastAsia="新宋体"/>
          <w:sz w:val="24"/>
        </w:rPr>
      </w:pPr>
      <w:r>
        <w:rPr>
          <w:rFonts w:hint="eastAsia" w:ascii="新宋体" w:hAnsi="新宋体" w:eastAsia="新宋体"/>
          <w:sz w:val="24"/>
          <w:u w:val="single"/>
        </w:rPr>
        <w:t xml:space="preserve">             </w:t>
      </w:r>
      <w:r>
        <w:rPr>
          <w:rFonts w:hint="eastAsia" w:ascii="新宋体" w:hAnsi="新宋体" w:eastAsia="新宋体"/>
          <w:sz w:val="24"/>
        </w:rPr>
        <w:t>（投标人全称）法定代表人</w:t>
      </w:r>
      <w:r>
        <w:rPr>
          <w:rFonts w:hint="eastAsia" w:ascii="新宋体" w:hAnsi="新宋体" w:eastAsia="新宋体"/>
          <w:sz w:val="24"/>
          <w:u w:val="single"/>
        </w:rPr>
        <w:t xml:space="preserve">          （</w:t>
      </w:r>
      <w:r>
        <w:rPr>
          <w:rFonts w:hint="eastAsia" w:ascii="新宋体" w:hAnsi="新宋体" w:eastAsia="新宋体"/>
          <w:sz w:val="24"/>
        </w:rPr>
        <w:t>法定代表人姓名），身份证号：</w:t>
      </w:r>
      <w:r>
        <w:rPr>
          <w:rFonts w:hint="eastAsia" w:ascii="新宋体" w:hAnsi="新宋体" w:eastAsia="新宋体"/>
          <w:sz w:val="24"/>
          <w:u w:val="single"/>
        </w:rPr>
        <w:t xml:space="preserve">           </w:t>
      </w:r>
      <w:r>
        <w:rPr>
          <w:rFonts w:hint="eastAsia" w:ascii="新宋体" w:hAnsi="新宋体" w:eastAsia="新宋体"/>
          <w:sz w:val="24"/>
        </w:rPr>
        <w:t xml:space="preserve"> 授权</w:t>
      </w:r>
      <w:r>
        <w:rPr>
          <w:rFonts w:hint="eastAsia" w:ascii="新宋体" w:hAnsi="新宋体" w:eastAsia="新宋体"/>
          <w:sz w:val="24"/>
          <w:u w:val="single"/>
        </w:rPr>
        <w:t xml:space="preserve">         </w:t>
      </w:r>
      <w:r>
        <w:rPr>
          <w:rFonts w:hint="eastAsia" w:ascii="新宋体" w:hAnsi="新宋体" w:eastAsia="新宋体"/>
          <w:sz w:val="24"/>
        </w:rPr>
        <w:t>（全权代表姓名），身份证号：</w:t>
      </w:r>
      <w:r>
        <w:rPr>
          <w:rFonts w:hint="eastAsia" w:ascii="新宋体" w:hAnsi="新宋体" w:eastAsia="新宋体"/>
          <w:sz w:val="24"/>
          <w:u w:val="single"/>
        </w:rPr>
        <w:t xml:space="preserve">        </w:t>
      </w:r>
      <w:r>
        <w:rPr>
          <w:rFonts w:hint="eastAsia" w:ascii="新宋体" w:hAnsi="新宋体" w:eastAsia="新宋体"/>
          <w:sz w:val="24"/>
        </w:rPr>
        <w:t>为全权代表，参加贵单位组织的（</w:t>
      </w:r>
      <w:r>
        <w:rPr>
          <w:rFonts w:hint="eastAsia" w:ascii="新宋体" w:hAnsi="新宋体" w:eastAsia="新宋体"/>
          <w:sz w:val="24"/>
          <w:u w:val="single"/>
        </w:rPr>
        <w:t xml:space="preserve">                    </w:t>
      </w:r>
      <w:r>
        <w:rPr>
          <w:rFonts w:hint="eastAsia" w:ascii="新宋体" w:hAnsi="新宋体" w:eastAsia="新宋体"/>
          <w:sz w:val="24"/>
        </w:rPr>
        <w:t>项目名称）的比选采购活动，全权代表我方处理比选采购活动中的一切事宜。</w:t>
      </w:r>
    </w:p>
    <w:p w14:paraId="004C8112">
      <w:pPr>
        <w:spacing w:line="360" w:lineRule="auto"/>
        <w:ind w:firstLine="600" w:firstLineChars="250"/>
        <w:rPr>
          <w:rFonts w:ascii="新宋体" w:hAnsi="新宋体" w:eastAsia="新宋体"/>
          <w:sz w:val="24"/>
        </w:rPr>
      </w:pPr>
      <w:r>
        <w:rPr>
          <w:rFonts w:hint="eastAsia" w:ascii="新宋体" w:hAnsi="新宋体" w:eastAsia="新宋体"/>
          <w:sz w:val="24"/>
        </w:rPr>
        <w:t xml:space="preserve"> </w:t>
      </w:r>
    </w:p>
    <w:p w14:paraId="33D0BA8C">
      <w:pPr>
        <w:spacing w:line="360" w:lineRule="auto"/>
        <w:rPr>
          <w:rFonts w:ascii="新宋体" w:hAnsi="新宋体" w:eastAsia="新宋体"/>
          <w:sz w:val="24"/>
        </w:rPr>
      </w:pPr>
      <w:r>
        <w:rPr>
          <w:rFonts w:hint="eastAsia" w:ascii="新宋体" w:hAnsi="新宋体" w:eastAsia="新宋体"/>
          <w:sz w:val="24"/>
        </w:rPr>
        <w:t>法定代表人(签字或盖章)：</w:t>
      </w:r>
    </w:p>
    <w:p w14:paraId="773BC209">
      <w:pPr>
        <w:spacing w:line="360" w:lineRule="auto"/>
        <w:rPr>
          <w:rFonts w:ascii="新宋体" w:hAnsi="新宋体" w:eastAsia="新宋体"/>
          <w:sz w:val="24"/>
        </w:rPr>
      </w:pPr>
      <w:r>
        <w:rPr>
          <w:rFonts w:hint="eastAsia" w:ascii="新宋体" w:hAnsi="新宋体" w:eastAsia="新宋体"/>
          <w:sz w:val="24"/>
        </w:rPr>
        <w:t>投标人全称（公章）：</w:t>
      </w:r>
    </w:p>
    <w:p w14:paraId="01D81252">
      <w:pPr>
        <w:widowControl/>
        <w:spacing w:line="360" w:lineRule="auto"/>
        <w:jc w:val="left"/>
        <w:rPr>
          <w:sz w:val="24"/>
        </w:rPr>
      </w:pPr>
      <w:r>
        <w:rPr>
          <w:rFonts w:hint="eastAsia" w:ascii="新宋体" w:hAnsi="新宋体" w:eastAsia="新宋体"/>
          <w:sz w:val="24"/>
        </w:rPr>
        <w:t>日   期：</w:t>
      </w:r>
    </w:p>
    <w:p w14:paraId="4A3177FE">
      <w:pPr>
        <w:spacing w:line="360" w:lineRule="auto"/>
        <w:rPr>
          <w:rFonts w:ascii="新宋体" w:hAnsi="新宋体" w:eastAsia="新宋体"/>
          <w:sz w:val="24"/>
        </w:rPr>
      </w:pPr>
    </w:p>
    <w:p w14:paraId="27CEA21A">
      <w:pPr>
        <w:spacing w:line="360" w:lineRule="auto"/>
        <w:rPr>
          <w:rFonts w:ascii="新宋体" w:hAnsi="新宋体" w:eastAsia="新宋体"/>
          <w:sz w:val="24"/>
        </w:rPr>
      </w:pPr>
      <w:r>
        <w:rPr>
          <w:rFonts w:hint="eastAsia" w:ascii="新宋体" w:hAnsi="新宋体" w:eastAsia="新宋体"/>
          <w:sz w:val="24"/>
        </w:rPr>
        <w:t>法定代表人身份证复印件或扫描件（正反面）：</w:t>
      </w:r>
    </w:p>
    <w:p w14:paraId="5A7741B2">
      <w:pPr>
        <w:spacing w:line="360" w:lineRule="auto"/>
        <w:rPr>
          <w:rFonts w:ascii="新宋体" w:hAnsi="新宋体" w:eastAsia="新宋体"/>
          <w:sz w:val="24"/>
        </w:rPr>
      </w:pPr>
    </w:p>
    <w:p w14:paraId="27118B49">
      <w:pPr>
        <w:spacing w:line="360" w:lineRule="auto"/>
        <w:rPr>
          <w:rFonts w:ascii="新宋体" w:hAnsi="新宋体" w:eastAsia="新宋体"/>
          <w:sz w:val="24"/>
        </w:rPr>
      </w:pPr>
    </w:p>
    <w:p w14:paraId="5790E4F1">
      <w:pPr>
        <w:spacing w:line="360" w:lineRule="auto"/>
        <w:rPr>
          <w:rFonts w:ascii="新宋体" w:hAnsi="新宋体" w:eastAsia="新宋体"/>
          <w:sz w:val="24"/>
        </w:rPr>
      </w:pPr>
    </w:p>
    <w:p w14:paraId="2CA9F899">
      <w:pPr>
        <w:spacing w:line="360" w:lineRule="auto"/>
        <w:rPr>
          <w:rFonts w:ascii="新宋体" w:hAnsi="新宋体" w:eastAsia="新宋体"/>
          <w:sz w:val="24"/>
        </w:rPr>
      </w:pPr>
    </w:p>
    <w:p w14:paraId="46B7144A">
      <w:pPr>
        <w:spacing w:line="360" w:lineRule="auto"/>
        <w:rPr>
          <w:rFonts w:ascii="新宋体" w:hAnsi="新宋体" w:eastAsia="新宋体"/>
          <w:sz w:val="24"/>
        </w:rPr>
      </w:pPr>
    </w:p>
    <w:p w14:paraId="677A725C">
      <w:pPr>
        <w:spacing w:line="360" w:lineRule="auto"/>
        <w:rPr>
          <w:rFonts w:ascii="新宋体" w:hAnsi="新宋体" w:eastAsia="新宋体"/>
          <w:sz w:val="24"/>
        </w:rPr>
      </w:pPr>
    </w:p>
    <w:p w14:paraId="57F18827">
      <w:pPr>
        <w:spacing w:line="360" w:lineRule="auto"/>
        <w:rPr>
          <w:rFonts w:ascii="新宋体" w:hAnsi="新宋体" w:eastAsia="新宋体"/>
          <w:sz w:val="24"/>
        </w:rPr>
      </w:pPr>
    </w:p>
    <w:p w14:paraId="6971194A">
      <w:pPr>
        <w:spacing w:line="360" w:lineRule="auto"/>
        <w:rPr>
          <w:sz w:val="24"/>
        </w:rPr>
      </w:pPr>
      <w:r>
        <w:rPr>
          <w:rFonts w:hint="eastAsia" w:ascii="新宋体" w:hAnsi="新宋体" w:eastAsia="新宋体"/>
          <w:sz w:val="24"/>
        </w:rPr>
        <w:t>授权代表身份证复印件或扫描件（正反面）：</w:t>
      </w:r>
    </w:p>
    <w:p w14:paraId="214BF4E9">
      <w:pPr>
        <w:widowControl/>
        <w:spacing w:line="360" w:lineRule="auto"/>
        <w:jc w:val="left"/>
        <w:rPr>
          <w:sz w:val="24"/>
        </w:rPr>
      </w:pPr>
    </w:p>
    <w:p w14:paraId="53A5B5AD">
      <w:pPr>
        <w:widowControl/>
        <w:spacing w:line="360" w:lineRule="auto"/>
        <w:jc w:val="left"/>
        <w:rPr>
          <w:sz w:val="24"/>
        </w:rPr>
      </w:pPr>
    </w:p>
    <w:p w14:paraId="7C545947">
      <w:pPr>
        <w:widowControl/>
        <w:spacing w:line="360" w:lineRule="auto"/>
        <w:jc w:val="left"/>
        <w:rPr>
          <w:sz w:val="24"/>
        </w:rPr>
      </w:pPr>
    </w:p>
    <w:p w14:paraId="63A267B8">
      <w:pPr>
        <w:widowControl/>
        <w:spacing w:line="360" w:lineRule="auto"/>
        <w:jc w:val="left"/>
        <w:rPr>
          <w:sz w:val="24"/>
        </w:rPr>
      </w:pPr>
      <w:r>
        <w:rPr>
          <w:sz w:val="24"/>
        </w:rPr>
        <w:br w:type="page"/>
      </w:r>
      <w:r>
        <w:rPr>
          <w:rFonts w:hint="eastAsia"/>
          <w:sz w:val="24"/>
        </w:rPr>
        <w:t>附件三：</w:t>
      </w:r>
    </w:p>
    <w:p w14:paraId="7AEA4377">
      <w:pPr>
        <w:adjustRightInd w:val="0"/>
        <w:snapToGrid w:val="0"/>
        <w:spacing w:line="360" w:lineRule="auto"/>
        <w:jc w:val="center"/>
        <w:rPr>
          <w:b/>
          <w:sz w:val="36"/>
          <w:szCs w:val="36"/>
        </w:rPr>
      </w:pPr>
      <w:r>
        <w:rPr>
          <w:b/>
          <w:sz w:val="36"/>
          <w:szCs w:val="36"/>
        </w:rPr>
        <w:t>采购要求响应表</w:t>
      </w:r>
    </w:p>
    <w:p w14:paraId="1411E3C2">
      <w:pPr>
        <w:adjustRightInd w:val="0"/>
        <w:spacing w:line="360" w:lineRule="auto"/>
        <w:rPr>
          <w:spacing w:val="20"/>
          <w:sz w:val="24"/>
        </w:rPr>
      </w:pPr>
      <w:r>
        <w:rPr>
          <w:sz w:val="24"/>
        </w:rPr>
        <w:t>项目名称：</w:t>
      </w:r>
      <w:r>
        <w:rPr>
          <w:sz w:val="24"/>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2C442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71B1531">
            <w:pPr>
              <w:adjustRightInd w:val="0"/>
              <w:spacing w:line="360" w:lineRule="auto"/>
              <w:jc w:val="center"/>
              <w:rPr>
                <w:sz w:val="24"/>
              </w:rPr>
            </w:pPr>
            <w:r>
              <w:rPr>
                <w:sz w:val="24"/>
              </w:rPr>
              <w:t>序号</w:t>
            </w:r>
          </w:p>
        </w:tc>
        <w:tc>
          <w:tcPr>
            <w:tcW w:w="3659" w:type="dxa"/>
            <w:tcBorders>
              <w:top w:val="single" w:color="auto" w:sz="4" w:space="0"/>
              <w:left w:val="single" w:color="auto" w:sz="4" w:space="0"/>
              <w:bottom w:val="single" w:color="auto" w:sz="4" w:space="0"/>
              <w:right w:val="single" w:color="auto" w:sz="4" w:space="0"/>
            </w:tcBorders>
            <w:vAlign w:val="center"/>
          </w:tcPr>
          <w:p w14:paraId="153E2D7D">
            <w:pPr>
              <w:adjustRightInd w:val="0"/>
              <w:spacing w:line="360" w:lineRule="auto"/>
              <w:jc w:val="center"/>
              <w:rPr>
                <w:sz w:val="24"/>
              </w:rPr>
            </w:pPr>
            <w:r>
              <w:rPr>
                <w:rFonts w:hint="eastAsia"/>
                <w:sz w:val="24"/>
              </w:rPr>
              <w:t>比选</w:t>
            </w:r>
            <w:r>
              <w:rPr>
                <w:sz w:val="24"/>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14:paraId="09364507">
            <w:pPr>
              <w:adjustRightInd w:val="0"/>
              <w:spacing w:line="360" w:lineRule="auto"/>
              <w:jc w:val="center"/>
              <w:rPr>
                <w:sz w:val="24"/>
              </w:rPr>
            </w:pPr>
            <w:r>
              <w:rPr>
                <w:sz w:val="24"/>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14:paraId="404D42D6">
            <w:pPr>
              <w:adjustRightInd w:val="0"/>
              <w:spacing w:line="360" w:lineRule="auto"/>
              <w:jc w:val="center"/>
              <w:rPr>
                <w:sz w:val="24"/>
              </w:rPr>
            </w:pPr>
            <w:r>
              <w:rPr>
                <w:sz w:val="24"/>
              </w:rPr>
              <w:t>偏离情况</w:t>
            </w:r>
          </w:p>
        </w:tc>
      </w:tr>
      <w:tr w14:paraId="0CD0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07BD997">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0BB34BE0">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3FFEBE50">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1324FC3">
            <w:pPr>
              <w:adjustRightInd w:val="0"/>
              <w:spacing w:line="360" w:lineRule="auto"/>
              <w:jc w:val="center"/>
              <w:rPr>
                <w:sz w:val="24"/>
              </w:rPr>
            </w:pPr>
          </w:p>
        </w:tc>
      </w:tr>
      <w:tr w14:paraId="4EFA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6D4791F">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7A529BF9">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32D03E47">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79B2C97">
            <w:pPr>
              <w:adjustRightInd w:val="0"/>
              <w:spacing w:line="360" w:lineRule="auto"/>
              <w:jc w:val="center"/>
              <w:rPr>
                <w:sz w:val="24"/>
              </w:rPr>
            </w:pPr>
          </w:p>
        </w:tc>
      </w:tr>
      <w:tr w14:paraId="1780F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4D9542D">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6CADCF3B">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72859DC7">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615DA6B">
            <w:pPr>
              <w:adjustRightInd w:val="0"/>
              <w:spacing w:line="360" w:lineRule="auto"/>
              <w:jc w:val="center"/>
              <w:rPr>
                <w:sz w:val="24"/>
              </w:rPr>
            </w:pPr>
          </w:p>
        </w:tc>
      </w:tr>
      <w:tr w14:paraId="3D709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0394490">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60380B83">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0F8126A3">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29EE44D9">
            <w:pPr>
              <w:adjustRightInd w:val="0"/>
              <w:spacing w:line="360" w:lineRule="auto"/>
              <w:jc w:val="center"/>
              <w:rPr>
                <w:sz w:val="24"/>
              </w:rPr>
            </w:pPr>
          </w:p>
        </w:tc>
      </w:tr>
      <w:tr w14:paraId="725C3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DBF7CC1">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359E8832">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0F23BFC4">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6AD4579">
            <w:pPr>
              <w:adjustRightInd w:val="0"/>
              <w:spacing w:line="360" w:lineRule="auto"/>
              <w:jc w:val="center"/>
              <w:rPr>
                <w:sz w:val="24"/>
              </w:rPr>
            </w:pPr>
          </w:p>
        </w:tc>
      </w:tr>
      <w:tr w14:paraId="7E8A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8461155">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3ED0A77">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17B8F4FE">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92DB696">
            <w:pPr>
              <w:adjustRightInd w:val="0"/>
              <w:spacing w:line="360" w:lineRule="auto"/>
              <w:jc w:val="center"/>
              <w:rPr>
                <w:sz w:val="24"/>
              </w:rPr>
            </w:pPr>
          </w:p>
        </w:tc>
      </w:tr>
      <w:tr w14:paraId="34E27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507555">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D96BCAC">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10E29003">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4A159088">
            <w:pPr>
              <w:adjustRightInd w:val="0"/>
              <w:spacing w:line="360" w:lineRule="auto"/>
              <w:jc w:val="center"/>
              <w:rPr>
                <w:sz w:val="24"/>
              </w:rPr>
            </w:pPr>
          </w:p>
        </w:tc>
      </w:tr>
      <w:tr w14:paraId="6E2AD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3336D63">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28D3072A">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21A518BD">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2D057A81">
            <w:pPr>
              <w:adjustRightInd w:val="0"/>
              <w:spacing w:line="360" w:lineRule="auto"/>
              <w:jc w:val="center"/>
              <w:rPr>
                <w:sz w:val="24"/>
              </w:rPr>
            </w:pPr>
          </w:p>
        </w:tc>
      </w:tr>
      <w:tr w14:paraId="7CE39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24F0433">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2FC2CE2D">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10344E1B">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213F841">
            <w:pPr>
              <w:adjustRightInd w:val="0"/>
              <w:spacing w:line="360" w:lineRule="auto"/>
              <w:jc w:val="center"/>
              <w:rPr>
                <w:sz w:val="24"/>
              </w:rPr>
            </w:pPr>
          </w:p>
        </w:tc>
      </w:tr>
      <w:tr w14:paraId="0A9CF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2F1C419">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6AC1EE78">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543D0B6A">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7EC47140">
            <w:pPr>
              <w:adjustRightInd w:val="0"/>
              <w:spacing w:line="360" w:lineRule="auto"/>
              <w:jc w:val="center"/>
              <w:rPr>
                <w:sz w:val="24"/>
              </w:rPr>
            </w:pPr>
          </w:p>
        </w:tc>
      </w:tr>
      <w:tr w14:paraId="172CA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8009732">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B67066C">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5957DB28">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27DB0B66">
            <w:pPr>
              <w:adjustRightInd w:val="0"/>
              <w:spacing w:line="360" w:lineRule="auto"/>
              <w:jc w:val="center"/>
              <w:rPr>
                <w:sz w:val="24"/>
              </w:rPr>
            </w:pPr>
          </w:p>
        </w:tc>
      </w:tr>
      <w:tr w14:paraId="31634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6F1B59">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3A09B7AC">
            <w:pPr>
              <w:adjustRightInd w:val="0"/>
              <w:spacing w:line="360" w:lineRule="auto"/>
              <w:jc w:val="center"/>
              <w:rPr>
                <w:sz w:val="24"/>
              </w:rPr>
            </w:pPr>
            <w:r>
              <w:rPr>
                <w:sz w:val="24"/>
              </w:rPr>
              <w:t>...</w:t>
            </w:r>
          </w:p>
        </w:tc>
        <w:tc>
          <w:tcPr>
            <w:tcW w:w="3539" w:type="dxa"/>
            <w:tcBorders>
              <w:top w:val="single" w:color="auto" w:sz="4" w:space="0"/>
              <w:left w:val="single" w:color="auto" w:sz="4" w:space="0"/>
              <w:bottom w:val="single" w:color="auto" w:sz="4" w:space="0"/>
              <w:right w:val="single" w:color="auto" w:sz="4" w:space="0"/>
            </w:tcBorders>
            <w:vAlign w:val="center"/>
          </w:tcPr>
          <w:p w14:paraId="7A382CBD">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74179C7">
            <w:pPr>
              <w:adjustRightInd w:val="0"/>
              <w:spacing w:line="360" w:lineRule="auto"/>
              <w:jc w:val="center"/>
              <w:rPr>
                <w:sz w:val="24"/>
              </w:rPr>
            </w:pPr>
          </w:p>
        </w:tc>
      </w:tr>
    </w:tbl>
    <w:p w14:paraId="627FC90B">
      <w:pPr>
        <w:adjustRightInd w:val="0"/>
        <w:snapToGrid w:val="0"/>
        <w:spacing w:before="50" w:after="50" w:line="360" w:lineRule="auto"/>
        <w:rPr>
          <w:b/>
          <w:bCs/>
          <w:sz w:val="24"/>
        </w:rPr>
      </w:pPr>
      <w:r>
        <w:rPr>
          <w:b/>
          <w:bCs/>
          <w:sz w:val="24"/>
        </w:rPr>
        <w:t>注：</w:t>
      </w:r>
    </w:p>
    <w:p w14:paraId="4F0B6463">
      <w:pPr>
        <w:numPr>
          <w:ilvl w:val="1"/>
          <w:numId w:val="4"/>
        </w:numPr>
        <w:tabs>
          <w:tab w:val="left" w:pos="540"/>
        </w:tabs>
        <w:adjustRightInd w:val="0"/>
        <w:snapToGrid w:val="0"/>
        <w:spacing w:before="50" w:after="50" w:line="360" w:lineRule="auto"/>
        <w:ind w:left="540" w:hanging="540"/>
        <w:rPr>
          <w:b/>
          <w:bCs/>
          <w:sz w:val="24"/>
        </w:rPr>
      </w:pPr>
      <w:r>
        <w:rPr>
          <w:b/>
          <w:bCs/>
          <w:sz w:val="24"/>
        </w:rPr>
        <w:t>投标人应根据投标设备的性能指标、对照</w:t>
      </w:r>
      <w:r>
        <w:rPr>
          <w:rFonts w:hint="eastAsia"/>
          <w:b/>
          <w:bCs/>
          <w:sz w:val="24"/>
        </w:rPr>
        <w:t>比选</w:t>
      </w:r>
      <w:r>
        <w:rPr>
          <w:b/>
          <w:bCs/>
          <w:sz w:val="24"/>
        </w:rPr>
        <w:t>文件要求一一对应如实填写技术响应表，在“偏离情况”栏注明“正偏离”、“负偏离”或“无偏离”。未按要求填写的，有可能作负偏离处理。</w:t>
      </w:r>
    </w:p>
    <w:p w14:paraId="6F452D3E">
      <w:pPr>
        <w:adjustRightInd w:val="0"/>
        <w:snapToGrid w:val="0"/>
        <w:spacing w:before="50" w:after="50" w:line="360" w:lineRule="auto"/>
        <w:rPr>
          <w:b/>
          <w:bCs/>
          <w:sz w:val="24"/>
        </w:rPr>
      </w:pPr>
    </w:p>
    <w:p w14:paraId="26DB728B">
      <w:pPr>
        <w:adjustRightInd w:val="0"/>
        <w:snapToGrid w:val="0"/>
        <w:spacing w:before="50" w:after="50" w:line="360" w:lineRule="auto"/>
        <w:rPr>
          <w:b/>
          <w:bCs/>
          <w:sz w:val="24"/>
        </w:rPr>
      </w:pPr>
    </w:p>
    <w:p w14:paraId="53886E05">
      <w:pPr>
        <w:adjustRightInd w:val="0"/>
        <w:snapToGrid w:val="0"/>
        <w:spacing w:before="50" w:after="156" w:afterLines="50" w:line="360" w:lineRule="auto"/>
        <w:jc w:val="left"/>
        <w:rPr>
          <w:sz w:val="24"/>
        </w:rPr>
      </w:pPr>
      <w:r>
        <w:rPr>
          <w:b/>
          <w:bCs/>
          <w:sz w:val="24"/>
        </w:rPr>
        <w:t>投标人签章：</w:t>
      </w:r>
      <w:r>
        <w:rPr>
          <w:spacing w:val="20"/>
          <w:sz w:val="24"/>
          <w:u w:val="single"/>
        </w:rPr>
        <w:t xml:space="preserve">            </w:t>
      </w:r>
      <w:r>
        <w:rPr>
          <w:spacing w:val="20"/>
          <w:sz w:val="24"/>
        </w:rPr>
        <w:t xml:space="preserve">              </w:t>
      </w:r>
      <w:r>
        <w:rPr>
          <w:b/>
          <w:bCs/>
          <w:sz w:val="24"/>
        </w:rPr>
        <w:t>日 期：</w:t>
      </w:r>
      <w:r>
        <w:rPr>
          <w:spacing w:val="20"/>
          <w:sz w:val="24"/>
          <w:u w:val="single"/>
        </w:rPr>
        <w:t xml:space="preserve">          </w:t>
      </w:r>
    </w:p>
    <w:p w14:paraId="0600FAA1">
      <w:pPr>
        <w:rPr>
          <w:sz w:val="24"/>
        </w:rPr>
      </w:pPr>
    </w:p>
    <w:p w14:paraId="70A6AAE3">
      <w:pPr>
        <w:rPr>
          <w:rFonts w:ascii="新宋体" w:hAnsi="新宋体" w:eastAsia="新宋体"/>
          <w:b/>
          <w:bCs/>
          <w:sz w:val="22"/>
          <w:szCs w:val="22"/>
        </w:rPr>
      </w:pPr>
      <w:r>
        <w:rPr>
          <w:rFonts w:hint="eastAsia" w:ascii="新宋体" w:hAnsi="新宋体" w:eastAsia="新宋体"/>
          <w:b/>
          <w:bCs/>
          <w:sz w:val="22"/>
          <w:szCs w:val="22"/>
        </w:rPr>
        <w:br w:type="page"/>
      </w:r>
    </w:p>
    <w:p w14:paraId="03CE05EF">
      <w:pPr>
        <w:outlineLvl w:val="1"/>
        <w:rPr>
          <w:rFonts w:ascii="新宋体" w:hAnsi="新宋体" w:eastAsia="新宋体"/>
          <w:sz w:val="24"/>
        </w:rPr>
      </w:pPr>
      <w:r>
        <w:rPr>
          <w:rFonts w:hint="eastAsia" w:ascii="新宋体" w:hAnsi="新宋体" w:eastAsia="新宋体"/>
          <w:sz w:val="24"/>
        </w:rPr>
        <w:t>附件四</w:t>
      </w:r>
    </w:p>
    <w:p w14:paraId="3DB2CB75">
      <w:pPr>
        <w:ind w:left="143" w:leftChars="68"/>
        <w:jc w:val="center"/>
        <w:outlineLvl w:val="2"/>
        <w:rPr>
          <w:rFonts w:ascii="新宋体" w:hAnsi="新宋体" w:eastAsia="新宋体"/>
          <w:b/>
          <w:sz w:val="28"/>
          <w:szCs w:val="28"/>
        </w:rPr>
      </w:pPr>
      <w:r>
        <w:rPr>
          <w:rFonts w:hint="eastAsia" w:ascii="新宋体" w:hAnsi="新宋体" w:eastAsia="新宋体"/>
          <w:b/>
          <w:sz w:val="28"/>
          <w:szCs w:val="28"/>
        </w:rPr>
        <w:t xml:space="preserve">服务方案 </w:t>
      </w:r>
    </w:p>
    <w:p w14:paraId="7AC6A3EC">
      <w:pPr>
        <w:autoSpaceDE w:val="0"/>
        <w:autoSpaceDN w:val="0"/>
        <w:ind w:right="893" w:firstLine="418"/>
        <w:textAlignment w:val="bottom"/>
        <w:rPr>
          <w:rFonts w:ascii="新宋体" w:hAnsi="新宋体" w:eastAsia="新宋体"/>
        </w:rPr>
      </w:pPr>
      <w:r>
        <w:rPr>
          <w:rFonts w:hint="eastAsia" w:ascii="新宋体" w:hAnsi="新宋体" w:eastAsia="新宋体"/>
          <w:b/>
          <w:sz w:val="22"/>
        </w:rPr>
        <w:t>项目名称：                                           项目编号：</w:t>
      </w:r>
      <w:r>
        <w:rPr>
          <w:rFonts w:hint="eastAsia" w:ascii="新宋体" w:hAnsi="新宋体" w:eastAsia="新宋体"/>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14:paraId="7C66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1" w:hRule="atLeast"/>
          <w:jc w:val="center"/>
        </w:trPr>
        <w:tc>
          <w:tcPr>
            <w:tcW w:w="9181" w:type="dxa"/>
            <w:vAlign w:val="center"/>
          </w:tcPr>
          <w:p w14:paraId="50589785">
            <w:pPr>
              <w:pStyle w:val="27"/>
              <w:spacing w:after="0"/>
              <w:jc w:val="center"/>
              <w:rPr>
                <w:rFonts w:ascii="新宋体" w:hAnsi="新宋体" w:eastAsia="新宋体"/>
              </w:rPr>
            </w:pPr>
          </w:p>
        </w:tc>
      </w:tr>
    </w:tbl>
    <w:p w14:paraId="252E88CC">
      <w:pPr>
        <w:rPr>
          <w:rFonts w:ascii="新宋体" w:hAnsi="新宋体" w:eastAsia="新宋体"/>
          <w:sz w:val="22"/>
          <w:szCs w:val="22"/>
          <w:lang w:val="zh-CN"/>
        </w:rPr>
      </w:pPr>
      <w:r>
        <w:rPr>
          <w:rFonts w:hint="eastAsia" w:ascii="新宋体" w:hAnsi="新宋体" w:eastAsia="新宋体"/>
          <w:sz w:val="28"/>
        </w:rPr>
        <w:t xml:space="preserve">  </w:t>
      </w:r>
    </w:p>
    <w:p w14:paraId="48798E9F">
      <w:pPr>
        <w:spacing w:line="380" w:lineRule="exact"/>
        <w:ind w:firstLine="4400" w:firstLineChars="2000"/>
        <w:rPr>
          <w:rFonts w:ascii="新宋体" w:hAnsi="新宋体" w:eastAsia="新宋体"/>
          <w:sz w:val="22"/>
          <w:szCs w:val="22"/>
        </w:rPr>
      </w:pPr>
      <w:r>
        <w:rPr>
          <w:rFonts w:hint="eastAsia" w:ascii="新宋体" w:hAnsi="新宋体" w:eastAsia="新宋体"/>
          <w:sz w:val="22"/>
          <w:szCs w:val="22"/>
        </w:rPr>
        <w:t>投标人全称（盖章）：</w:t>
      </w:r>
    </w:p>
    <w:p w14:paraId="1A2C1EF0">
      <w:pPr>
        <w:spacing w:line="380" w:lineRule="exact"/>
        <w:ind w:firstLine="4400" w:firstLineChars="2000"/>
        <w:rPr>
          <w:rFonts w:ascii="新宋体" w:hAnsi="新宋体" w:eastAsia="新宋体"/>
          <w:sz w:val="22"/>
          <w:szCs w:val="22"/>
        </w:rPr>
      </w:pPr>
      <w:r>
        <w:rPr>
          <w:rFonts w:hint="eastAsia" w:ascii="新宋体" w:hAnsi="新宋体" w:eastAsia="新宋体"/>
          <w:sz w:val="22"/>
          <w:szCs w:val="22"/>
        </w:rPr>
        <w:t>投标人代表（签字）：</w:t>
      </w:r>
    </w:p>
    <w:p w14:paraId="00B275BE">
      <w:pPr>
        <w:spacing w:line="380" w:lineRule="exact"/>
        <w:ind w:firstLine="4400" w:firstLineChars="2000"/>
        <w:rPr>
          <w:rFonts w:ascii="新宋体" w:hAnsi="新宋体" w:eastAsia="新宋体"/>
          <w:sz w:val="22"/>
          <w:szCs w:val="22"/>
        </w:rPr>
      </w:pPr>
      <w:r>
        <w:rPr>
          <w:rFonts w:hint="eastAsia" w:ascii="新宋体" w:hAnsi="新宋体" w:eastAsia="新宋体"/>
          <w:sz w:val="22"/>
          <w:szCs w:val="22"/>
        </w:rPr>
        <w:t xml:space="preserve">日  期： </w:t>
      </w:r>
    </w:p>
    <w:p w14:paraId="42B66FF5">
      <w:pPr>
        <w:spacing w:line="380" w:lineRule="exact"/>
        <w:outlineLvl w:val="1"/>
        <w:rPr>
          <w:rFonts w:ascii="新宋体" w:hAnsi="新宋体" w:eastAsia="新宋体"/>
          <w:b/>
          <w:bCs/>
          <w:sz w:val="22"/>
          <w:szCs w:val="22"/>
        </w:rPr>
      </w:pPr>
    </w:p>
    <w:p w14:paraId="1501E205">
      <w:pPr>
        <w:spacing w:line="380" w:lineRule="exact"/>
        <w:outlineLvl w:val="1"/>
        <w:rPr>
          <w:rFonts w:ascii="新宋体" w:hAnsi="新宋体" w:eastAsia="新宋体"/>
          <w:b/>
          <w:bCs/>
          <w:sz w:val="22"/>
          <w:szCs w:val="22"/>
        </w:rPr>
      </w:pPr>
    </w:p>
    <w:p w14:paraId="27ABC4AC">
      <w:pPr>
        <w:spacing w:line="360" w:lineRule="auto"/>
        <w:jc w:val="left"/>
        <w:rPr>
          <w:rFonts w:ascii="宋体" w:hAnsi="宋体" w:cs="Courier New"/>
          <w:b/>
          <w:bCs/>
          <w:sz w:val="24"/>
        </w:rPr>
      </w:pPr>
      <w:r>
        <w:rPr>
          <w:rFonts w:hint="eastAsia" w:ascii="宋体" w:hAnsi="宋体" w:cs="Courier New"/>
          <w:bCs/>
          <w:sz w:val="24"/>
        </w:rPr>
        <w:t>附件五：</w:t>
      </w:r>
    </w:p>
    <w:p w14:paraId="5DF971BD">
      <w:pPr>
        <w:spacing w:line="360" w:lineRule="auto"/>
        <w:jc w:val="center"/>
        <w:rPr>
          <w:rFonts w:ascii="宋体" w:hAnsi="宋体" w:cs="Courier New"/>
          <w:b/>
          <w:bCs/>
          <w:sz w:val="36"/>
          <w:szCs w:val="36"/>
        </w:rPr>
      </w:pPr>
      <w:r>
        <w:rPr>
          <w:rFonts w:hint="eastAsia" w:ascii="宋体" w:hAnsi="宋体" w:cs="Courier New"/>
          <w:b/>
          <w:bCs/>
          <w:sz w:val="36"/>
          <w:szCs w:val="36"/>
        </w:rPr>
        <w:t>投标报价单</w:t>
      </w:r>
    </w:p>
    <w:p w14:paraId="5CB4916A">
      <w:pPr>
        <w:spacing w:line="360" w:lineRule="auto"/>
        <w:rPr>
          <w:rFonts w:ascii="宋体" w:hAnsi="宋体"/>
          <w:b/>
          <w:bCs/>
          <w:sz w:val="24"/>
        </w:rPr>
      </w:pPr>
      <w:r>
        <w:rPr>
          <w:rFonts w:hint="eastAsia" w:ascii="宋体" w:hAnsi="宋体" w:cs="Arial"/>
          <w:sz w:val="24"/>
        </w:rPr>
        <w:t>项目名称</w:t>
      </w:r>
      <w:r>
        <w:rPr>
          <w:rFonts w:ascii="宋体" w:hAnsi="宋体" w:cs="Arial"/>
          <w:sz w:val="24"/>
        </w:rPr>
        <w:t xml:space="preserve">：   </w:t>
      </w:r>
      <w:r>
        <w:rPr>
          <w:rFonts w:ascii="宋体" w:hAnsi="宋体" w:cs="Arial"/>
          <w:bCs/>
          <w:sz w:val="24"/>
        </w:rPr>
        <w:t xml:space="preserve">        </w:t>
      </w:r>
      <w:r>
        <w:rPr>
          <w:rFonts w:hint="eastAsia" w:ascii="宋体" w:hAnsi="宋体" w:cs="Arial"/>
          <w:sz w:val="24"/>
        </w:rPr>
        <w:t xml:space="preserve">                  </w:t>
      </w:r>
      <w:r>
        <w:rPr>
          <w:rFonts w:ascii="宋体" w:hAnsi="宋体" w:cs="Arial"/>
          <w:sz w:val="24"/>
        </w:rPr>
        <w:t>（价格单位：人民币元）</w:t>
      </w:r>
    </w:p>
    <w:tbl>
      <w:tblPr>
        <w:tblStyle w:val="20"/>
        <w:tblpPr w:leftFromText="180" w:rightFromText="180" w:vertAnchor="text" w:horzAnchor="page" w:tblpX="1212" w:tblpY="133"/>
        <w:tblOverlap w:val="never"/>
        <w:tblW w:w="981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17"/>
        <w:gridCol w:w="1008"/>
        <w:gridCol w:w="2304"/>
        <w:gridCol w:w="1525"/>
        <w:gridCol w:w="1491"/>
        <w:gridCol w:w="1458"/>
        <w:gridCol w:w="1515"/>
      </w:tblGrid>
      <w:tr w14:paraId="6518E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9" w:hRule="atLeast"/>
        </w:trPr>
        <w:tc>
          <w:tcPr>
            <w:tcW w:w="517" w:type="dxa"/>
            <w:vAlign w:val="center"/>
          </w:tcPr>
          <w:p w14:paraId="21059BAF">
            <w:pPr>
              <w:spacing w:line="360" w:lineRule="auto"/>
              <w:jc w:val="center"/>
              <w:rPr>
                <w:rFonts w:ascii="宋体" w:hAnsi="宋体" w:cs="hakuyoxingshu7000"/>
                <w:b/>
                <w:bCs/>
                <w:sz w:val="24"/>
              </w:rPr>
            </w:pPr>
            <w:r>
              <w:rPr>
                <w:rFonts w:hint="eastAsia" w:ascii="宋体" w:hAnsi="宋体" w:cs="hakuyoxingshu7000"/>
                <w:b/>
                <w:bCs/>
                <w:sz w:val="24"/>
              </w:rPr>
              <w:t>序号</w:t>
            </w:r>
          </w:p>
        </w:tc>
        <w:tc>
          <w:tcPr>
            <w:tcW w:w="1008" w:type="dxa"/>
            <w:vAlign w:val="center"/>
          </w:tcPr>
          <w:p w14:paraId="436A6EF8">
            <w:pPr>
              <w:spacing w:line="360" w:lineRule="auto"/>
              <w:jc w:val="center"/>
              <w:rPr>
                <w:rFonts w:ascii="宋体" w:hAnsi="宋体" w:cs="hakuyoxingshu7000"/>
                <w:b/>
                <w:bCs/>
                <w:sz w:val="24"/>
              </w:rPr>
            </w:pPr>
            <w:r>
              <w:rPr>
                <w:rFonts w:hint="eastAsia" w:ascii="宋体" w:hAnsi="宋体" w:cs="hakuyoxingshu7000"/>
                <w:b/>
                <w:bCs/>
                <w:sz w:val="24"/>
              </w:rPr>
              <w:t>项目内容</w:t>
            </w:r>
          </w:p>
        </w:tc>
        <w:tc>
          <w:tcPr>
            <w:tcW w:w="2304" w:type="dxa"/>
            <w:vAlign w:val="center"/>
          </w:tcPr>
          <w:p w14:paraId="1C89820E">
            <w:pPr>
              <w:spacing w:line="360" w:lineRule="auto"/>
              <w:jc w:val="center"/>
              <w:rPr>
                <w:rFonts w:ascii="宋体" w:hAnsi="宋体" w:cs="hakuyoxingshu7000"/>
                <w:b/>
                <w:bCs/>
                <w:sz w:val="24"/>
              </w:rPr>
            </w:pPr>
            <w:r>
              <w:rPr>
                <w:rFonts w:hint="eastAsia" w:ascii="宋体" w:hAnsi="宋体" w:cs="hakuyoxingshu7000"/>
                <w:b/>
                <w:bCs/>
                <w:sz w:val="24"/>
              </w:rPr>
              <w:t>品牌、型号、规格</w:t>
            </w:r>
          </w:p>
        </w:tc>
        <w:tc>
          <w:tcPr>
            <w:tcW w:w="1525" w:type="dxa"/>
            <w:vAlign w:val="center"/>
          </w:tcPr>
          <w:p w14:paraId="245C41C5">
            <w:pPr>
              <w:spacing w:line="360" w:lineRule="auto"/>
              <w:jc w:val="center"/>
              <w:rPr>
                <w:rFonts w:ascii="宋体" w:hAnsi="宋体" w:cs="hakuyoxingshu7000"/>
                <w:b/>
                <w:bCs/>
                <w:sz w:val="24"/>
              </w:rPr>
            </w:pPr>
            <w:r>
              <w:rPr>
                <w:rFonts w:hint="eastAsia" w:ascii="宋体" w:hAnsi="宋体" w:cs="hakuyoxingshu7000"/>
                <w:b/>
                <w:bCs/>
                <w:sz w:val="24"/>
              </w:rPr>
              <w:t>数量</w:t>
            </w:r>
          </w:p>
        </w:tc>
        <w:tc>
          <w:tcPr>
            <w:tcW w:w="1491" w:type="dxa"/>
            <w:vAlign w:val="center"/>
          </w:tcPr>
          <w:p w14:paraId="3E15C47B">
            <w:pPr>
              <w:spacing w:line="360" w:lineRule="auto"/>
              <w:jc w:val="center"/>
              <w:rPr>
                <w:rFonts w:ascii="宋体" w:hAnsi="宋体" w:cs="hakuyoxingshu7000"/>
                <w:b/>
                <w:bCs/>
                <w:sz w:val="24"/>
              </w:rPr>
            </w:pPr>
            <w:r>
              <w:rPr>
                <w:rFonts w:hint="eastAsia" w:ascii="宋体" w:hAnsi="宋体" w:cs="hakuyoxingshu7000"/>
                <w:b/>
                <w:bCs/>
                <w:sz w:val="24"/>
              </w:rPr>
              <w:t>单价</w:t>
            </w:r>
          </w:p>
        </w:tc>
        <w:tc>
          <w:tcPr>
            <w:tcW w:w="1458" w:type="dxa"/>
            <w:vAlign w:val="center"/>
          </w:tcPr>
          <w:p w14:paraId="23F99DD1">
            <w:pPr>
              <w:spacing w:line="360" w:lineRule="auto"/>
              <w:jc w:val="center"/>
              <w:rPr>
                <w:rFonts w:ascii="宋体" w:hAnsi="宋体" w:cs="hakuyoxingshu7000"/>
                <w:b/>
                <w:bCs/>
                <w:sz w:val="24"/>
              </w:rPr>
            </w:pPr>
            <w:r>
              <w:rPr>
                <w:rFonts w:hint="eastAsia" w:ascii="宋体" w:hAnsi="宋体" w:cs="hakuyoxingshu7000"/>
                <w:b/>
                <w:bCs/>
                <w:sz w:val="24"/>
              </w:rPr>
              <w:t>金额</w:t>
            </w:r>
          </w:p>
        </w:tc>
        <w:tc>
          <w:tcPr>
            <w:tcW w:w="1515" w:type="dxa"/>
            <w:vAlign w:val="center"/>
          </w:tcPr>
          <w:p w14:paraId="70B0D6CB">
            <w:pPr>
              <w:spacing w:line="360" w:lineRule="auto"/>
              <w:jc w:val="center"/>
              <w:rPr>
                <w:rFonts w:ascii="宋体" w:hAnsi="宋体" w:cs="hakuyoxingshu7000"/>
                <w:b/>
                <w:bCs/>
                <w:sz w:val="24"/>
              </w:rPr>
            </w:pPr>
            <w:r>
              <w:rPr>
                <w:rFonts w:hint="eastAsia" w:ascii="宋体" w:hAnsi="宋体" w:cs="hakuyoxingshu7000"/>
                <w:b/>
                <w:bCs/>
                <w:sz w:val="24"/>
              </w:rPr>
              <w:t>备注</w:t>
            </w:r>
          </w:p>
        </w:tc>
      </w:tr>
      <w:tr w14:paraId="34E79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57B69F95">
            <w:pPr>
              <w:spacing w:line="360" w:lineRule="auto"/>
              <w:jc w:val="center"/>
              <w:rPr>
                <w:rFonts w:ascii="宋体" w:hAnsi="宋体" w:cs="hakuyoxingshu7000"/>
                <w:bCs/>
                <w:sz w:val="24"/>
              </w:rPr>
            </w:pPr>
            <w:r>
              <w:rPr>
                <w:rFonts w:hint="eastAsia" w:ascii="宋体" w:hAnsi="宋体" w:cs="hakuyoxingshu7000"/>
                <w:bCs/>
                <w:sz w:val="24"/>
              </w:rPr>
              <w:t>1</w:t>
            </w:r>
          </w:p>
        </w:tc>
        <w:tc>
          <w:tcPr>
            <w:tcW w:w="1008" w:type="dxa"/>
            <w:vAlign w:val="center"/>
          </w:tcPr>
          <w:p w14:paraId="6E383F3E">
            <w:pPr>
              <w:spacing w:line="360" w:lineRule="auto"/>
              <w:rPr>
                <w:rFonts w:ascii="宋体" w:hAnsi="宋体" w:cs="hakuyoxingshu7000"/>
                <w:bCs/>
                <w:sz w:val="24"/>
              </w:rPr>
            </w:pPr>
          </w:p>
        </w:tc>
        <w:tc>
          <w:tcPr>
            <w:tcW w:w="2304" w:type="dxa"/>
            <w:vAlign w:val="center"/>
          </w:tcPr>
          <w:p w14:paraId="584EF199">
            <w:pPr>
              <w:spacing w:line="360" w:lineRule="auto"/>
              <w:rPr>
                <w:rFonts w:ascii="宋体" w:hAnsi="宋体" w:cs="hakuyoxingshu7000"/>
                <w:bCs/>
                <w:sz w:val="24"/>
              </w:rPr>
            </w:pPr>
          </w:p>
        </w:tc>
        <w:tc>
          <w:tcPr>
            <w:tcW w:w="1525" w:type="dxa"/>
            <w:vAlign w:val="center"/>
          </w:tcPr>
          <w:p w14:paraId="487C9B37">
            <w:pPr>
              <w:spacing w:line="360" w:lineRule="auto"/>
              <w:rPr>
                <w:rFonts w:ascii="宋体" w:hAnsi="宋体" w:cs="hakuyoxingshu7000"/>
                <w:bCs/>
                <w:sz w:val="24"/>
              </w:rPr>
            </w:pPr>
          </w:p>
        </w:tc>
        <w:tc>
          <w:tcPr>
            <w:tcW w:w="1491" w:type="dxa"/>
            <w:vAlign w:val="center"/>
          </w:tcPr>
          <w:p w14:paraId="1CB30D8D">
            <w:pPr>
              <w:spacing w:line="360" w:lineRule="auto"/>
              <w:rPr>
                <w:rFonts w:ascii="宋体" w:hAnsi="宋体" w:cs="hakuyoxingshu7000"/>
                <w:b/>
                <w:bCs/>
                <w:sz w:val="24"/>
              </w:rPr>
            </w:pPr>
          </w:p>
        </w:tc>
        <w:tc>
          <w:tcPr>
            <w:tcW w:w="1458" w:type="dxa"/>
            <w:vAlign w:val="center"/>
          </w:tcPr>
          <w:p w14:paraId="704A508A">
            <w:pPr>
              <w:spacing w:line="360" w:lineRule="auto"/>
              <w:rPr>
                <w:rFonts w:ascii="宋体" w:hAnsi="宋体" w:cs="hakuyoxingshu7000"/>
                <w:b/>
                <w:bCs/>
                <w:sz w:val="24"/>
              </w:rPr>
            </w:pPr>
          </w:p>
        </w:tc>
        <w:tc>
          <w:tcPr>
            <w:tcW w:w="1515" w:type="dxa"/>
            <w:vAlign w:val="center"/>
          </w:tcPr>
          <w:p w14:paraId="101FA150">
            <w:pPr>
              <w:spacing w:line="360" w:lineRule="auto"/>
              <w:rPr>
                <w:rFonts w:ascii="宋体" w:hAnsi="宋体" w:cs="hakuyoxingshu7000"/>
                <w:b/>
                <w:bCs/>
                <w:sz w:val="24"/>
              </w:rPr>
            </w:pPr>
          </w:p>
        </w:tc>
      </w:tr>
      <w:tr w14:paraId="78A30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4DBDADF4">
            <w:pPr>
              <w:spacing w:line="360" w:lineRule="auto"/>
              <w:jc w:val="center"/>
              <w:rPr>
                <w:rFonts w:ascii="宋体" w:hAnsi="宋体" w:cs="hakuyoxingshu7000"/>
                <w:bCs/>
                <w:sz w:val="24"/>
              </w:rPr>
            </w:pPr>
            <w:r>
              <w:rPr>
                <w:rFonts w:hint="eastAsia" w:ascii="宋体" w:hAnsi="宋体" w:cs="hakuyoxingshu7000"/>
                <w:bCs/>
                <w:sz w:val="24"/>
              </w:rPr>
              <w:t>2</w:t>
            </w:r>
          </w:p>
        </w:tc>
        <w:tc>
          <w:tcPr>
            <w:tcW w:w="1008" w:type="dxa"/>
            <w:vAlign w:val="center"/>
          </w:tcPr>
          <w:p w14:paraId="025B00ED">
            <w:pPr>
              <w:spacing w:line="360" w:lineRule="auto"/>
              <w:rPr>
                <w:rFonts w:ascii="宋体" w:hAnsi="宋体" w:cs="hakuyoxingshu7000"/>
                <w:bCs/>
                <w:sz w:val="24"/>
              </w:rPr>
            </w:pPr>
          </w:p>
        </w:tc>
        <w:tc>
          <w:tcPr>
            <w:tcW w:w="2304" w:type="dxa"/>
            <w:vAlign w:val="center"/>
          </w:tcPr>
          <w:p w14:paraId="2953C44F">
            <w:pPr>
              <w:spacing w:line="360" w:lineRule="auto"/>
              <w:rPr>
                <w:rFonts w:ascii="宋体" w:hAnsi="宋体" w:cs="hakuyoxingshu7000"/>
                <w:bCs/>
                <w:sz w:val="24"/>
              </w:rPr>
            </w:pPr>
          </w:p>
        </w:tc>
        <w:tc>
          <w:tcPr>
            <w:tcW w:w="1525" w:type="dxa"/>
            <w:vAlign w:val="center"/>
          </w:tcPr>
          <w:p w14:paraId="4C44FE28">
            <w:pPr>
              <w:spacing w:line="360" w:lineRule="auto"/>
              <w:rPr>
                <w:rFonts w:ascii="宋体" w:hAnsi="宋体" w:cs="hakuyoxingshu7000"/>
                <w:bCs/>
                <w:sz w:val="24"/>
              </w:rPr>
            </w:pPr>
          </w:p>
        </w:tc>
        <w:tc>
          <w:tcPr>
            <w:tcW w:w="1491" w:type="dxa"/>
            <w:vAlign w:val="center"/>
          </w:tcPr>
          <w:p w14:paraId="56EB844C">
            <w:pPr>
              <w:spacing w:line="360" w:lineRule="auto"/>
              <w:rPr>
                <w:rFonts w:ascii="宋体" w:hAnsi="宋体" w:cs="hakuyoxingshu7000"/>
                <w:b/>
                <w:bCs/>
                <w:sz w:val="24"/>
              </w:rPr>
            </w:pPr>
          </w:p>
        </w:tc>
        <w:tc>
          <w:tcPr>
            <w:tcW w:w="1458" w:type="dxa"/>
            <w:vAlign w:val="center"/>
          </w:tcPr>
          <w:p w14:paraId="02414195">
            <w:pPr>
              <w:spacing w:line="360" w:lineRule="auto"/>
              <w:rPr>
                <w:rFonts w:ascii="宋体" w:hAnsi="宋体" w:cs="hakuyoxingshu7000"/>
                <w:b/>
                <w:bCs/>
                <w:sz w:val="24"/>
              </w:rPr>
            </w:pPr>
          </w:p>
        </w:tc>
        <w:tc>
          <w:tcPr>
            <w:tcW w:w="1515" w:type="dxa"/>
            <w:vAlign w:val="center"/>
          </w:tcPr>
          <w:p w14:paraId="6A1DCC45">
            <w:pPr>
              <w:spacing w:line="360" w:lineRule="auto"/>
              <w:rPr>
                <w:rFonts w:ascii="宋体" w:hAnsi="宋体" w:cs="hakuyoxingshu7000"/>
                <w:b/>
                <w:bCs/>
                <w:sz w:val="24"/>
              </w:rPr>
            </w:pPr>
          </w:p>
        </w:tc>
      </w:tr>
      <w:tr w14:paraId="18131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41DF80A4">
            <w:pPr>
              <w:spacing w:line="360" w:lineRule="auto"/>
              <w:jc w:val="center"/>
              <w:rPr>
                <w:rFonts w:ascii="宋体" w:hAnsi="宋体" w:cs="hakuyoxingshu7000"/>
                <w:bCs/>
                <w:sz w:val="24"/>
              </w:rPr>
            </w:pPr>
            <w:r>
              <w:rPr>
                <w:rFonts w:hint="eastAsia" w:ascii="宋体" w:hAnsi="宋体" w:cs="hakuyoxingshu7000"/>
                <w:bCs/>
                <w:sz w:val="24"/>
              </w:rPr>
              <w:t>3</w:t>
            </w:r>
          </w:p>
        </w:tc>
        <w:tc>
          <w:tcPr>
            <w:tcW w:w="1008" w:type="dxa"/>
            <w:vAlign w:val="center"/>
          </w:tcPr>
          <w:p w14:paraId="6CA52491">
            <w:pPr>
              <w:spacing w:line="360" w:lineRule="auto"/>
              <w:rPr>
                <w:rFonts w:ascii="宋体" w:hAnsi="宋体" w:cs="hakuyoxingshu7000"/>
                <w:bCs/>
                <w:sz w:val="24"/>
              </w:rPr>
            </w:pPr>
          </w:p>
        </w:tc>
        <w:tc>
          <w:tcPr>
            <w:tcW w:w="2304" w:type="dxa"/>
            <w:vAlign w:val="center"/>
          </w:tcPr>
          <w:p w14:paraId="6F6EED04">
            <w:pPr>
              <w:spacing w:line="360" w:lineRule="auto"/>
              <w:rPr>
                <w:rFonts w:ascii="宋体" w:hAnsi="宋体" w:cs="hakuyoxingshu7000"/>
                <w:bCs/>
                <w:sz w:val="24"/>
              </w:rPr>
            </w:pPr>
          </w:p>
        </w:tc>
        <w:tc>
          <w:tcPr>
            <w:tcW w:w="1525" w:type="dxa"/>
            <w:vAlign w:val="center"/>
          </w:tcPr>
          <w:p w14:paraId="37A30D69">
            <w:pPr>
              <w:spacing w:line="360" w:lineRule="auto"/>
              <w:rPr>
                <w:rFonts w:ascii="宋体" w:hAnsi="宋体" w:cs="hakuyoxingshu7000"/>
                <w:bCs/>
                <w:sz w:val="24"/>
              </w:rPr>
            </w:pPr>
          </w:p>
        </w:tc>
        <w:tc>
          <w:tcPr>
            <w:tcW w:w="1491" w:type="dxa"/>
            <w:vAlign w:val="center"/>
          </w:tcPr>
          <w:p w14:paraId="31840FE0">
            <w:pPr>
              <w:spacing w:line="360" w:lineRule="auto"/>
              <w:rPr>
                <w:rFonts w:ascii="宋体" w:hAnsi="宋体" w:cs="hakuyoxingshu7000"/>
                <w:b/>
                <w:bCs/>
                <w:sz w:val="24"/>
              </w:rPr>
            </w:pPr>
          </w:p>
        </w:tc>
        <w:tc>
          <w:tcPr>
            <w:tcW w:w="1458" w:type="dxa"/>
            <w:vAlign w:val="center"/>
          </w:tcPr>
          <w:p w14:paraId="1A91A371">
            <w:pPr>
              <w:spacing w:line="360" w:lineRule="auto"/>
              <w:rPr>
                <w:rFonts w:ascii="宋体" w:hAnsi="宋体" w:cs="hakuyoxingshu7000"/>
                <w:b/>
                <w:bCs/>
                <w:sz w:val="24"/>
              </w:rPr>
            </w:pPr>
          </w:p>
        </w:tc>
        <w:tc>
          <w:tcPr>
            <w:tcW w:w="1515" w:type="dxa"/>
            <w:vAlign w:val="center"/>
          </w:tcPr>
          <w:p w14:paraId="5AE2C45B">
            <w:pPr>
              <w:spacing w:line="360" w:lineRule="auto"/>
              <w:rPr>
                <w:rFonts w:ascii="宋体" w:hAnsi="宋体" w:cs="hakuyoxingshu7000"/>
                <w:b/>
                <w:bCs/>
                <w:sz w:val="24"/>
              </w:rPr>
            </w:pPr>
          </w:p>
        </w:tc>
      </w:tr>
      <w:tr w14:paraId="6E6C2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3269820E">
            <w:pPr>
              <w:spacing w:line="360" w:lineRule="auto"/>
              <w:jc w:val="center"/>
              <w:rPr>
                <w:rFonts w:ascii="宋体" w:hAnsi="宋体" w:cs="hakuyoxingshu7000"/>
                <w:bCs/>
                <w:sz w:val="24"/>
              </w:rPr>
            </w:pPr>
            <w:r>
              <w:rPr>
                <w:rFonts w:hint="eastAsia" w:ascii="宋体" w:hAnsi="宋体" w:cs="hakuyoxingshu7000"/>
                <w:bCs/>
                <w:sz w:val="24"/>
              </w:rPr>
              <w:t>4</w:t>
            </w:r>
          </w:p>
        </w:tc>
        <w:tc>
          <w:tcPr>
            <w:tcW w:w="1008" w:type="dxa"/>
            <w:vAlign w:val="center"/>
          </w:tcPr>
          <w:p w14:paraId="24A258BD">
            <w:pPr>
              <w:spacing w:line="360" w:lineRule="auto"/>
              <w:rPr>
                <w:rFonts w:ascii="宋体" w:hAnsi="宋体" w:cs="hakuyoxingshu7000"/>
                <w:bCs/>
                <w:sz w:val="24"/>
              </w:rPr>
            </w:pPr>
          </w:p>
        </w:tc>
        <w:tc>
          <w:tcPr>
            <w:tcW w:w="2304" w:type="dxa"/>
            <w:vAlign w:val="center"/>
          </w:tcPr>
          <w:p w14:paraId="5A6D7BF4">
            <w:pPr>
              <w:spacing w:line="360" w:lineRule="auto"/>
              <w:rPr>
                <w:rFonts w:ascii="宋体" w:hAnsi="宋体" w:cs="hakuyoxingshu7000"/>
                <w:bCs/>
                <w:sz w:val="24"/>
              </w:rPr>
            </w:pPr>
          </w:p>
        </w:tc>
        <w:tc>
          <w:tcPr>
            <w:tcW w:w="1525" w:type="dxa"/>
            <w:vAlign w:val="center"/>
          </w:tcPr>
          <w:p w14:paraId="415F03B5">
            <w:pPr>
              <w:spacing w:line="360" w:lineRule="auto"/>
              <w:rPr>
                <w:rFonts w:ascii="宋体" w:hAnsi="宋体" w:cs="hakuyoxingshu7000"/>
                <w:bCs/>
                <w:sz w:val="24"/>
              </w:rPr>
            </w:pPr>
          </w:p>
        </w:tc>
        <w:tc>
          <w:tcPr>
            <w:tcW w:w="1491" w:type="dxa"/>
            <w:vAlign w:val="center"/>
          </w:tcPr>
          <w:p w14:paraId="448B9FAA">
            <w:pPr>
              <w:spacing w:line="360" w:lineRule="auto"/>
              <w:rPr>
                <w:rFonts w:ascii="宋体" w:hAnsi="宋体" w:cs="hakuyoxingshu7000"/>
                <w:b/>
                <w:bCs/>
                <w:sz w:val="24"/>
              </w:rPr>
            </w:pPr>
          </w:p>
        </w:tc>
        <w:tc>
          <w:tcPr>
            <w:tcW w:w="1458" w:type="dxa"/>
            <w:vAlign w:val="center"/>
          </w:tcPr>
          <w:p w14:paraId="20DEEE85">
            <w:pPr>
              <w:spacing w:line="360" w:lineRule="auto"/>
              <w:rPr>
                <w:rFonts w:ascii="宋体" w:hAnsi="宋体" w:cs="hakuyoxingshu7000"/>
                <w:b/>
                <w:bCs/>
                <w:sz w:val="24"/>
              </w:rPr>
            </w:pPr>
          </w:p>
        </w:tc>
        <w:tc>
          <w:tcPr>
            <w:tcW w:w="1515" w:type="dxa"/>
            <w:vAlign w:val="center"/>
          </w:tcPr>
          <w:p w14:paraId="5D245A06">
            <w:pPr>
              <w:spacing w:line="360" w:lineRule="auto"/>
              <w:rPr>
                <w:rFonts w:ascii="宋体" w:hAnsi="宋体" w:cs="hakuyoxingshu7000"/>
                <w:b/>
                <w:bCs/>
                <w:sz w:val="24"/>
              </w:rPr>
            </w:pPr>
          </w:p>
        </w:tc>
      </w:tr>
      <w:tr w14:paraId="36DDB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0D0D644D">
            <w:pPr>
              <w:spacing w:line="360" w:lineRule="auto"/>
              <w:jc w:val="center"/>
              <w:rPr>
                <w:rFonts w:ascii="宋体" w:hAnsi="宋体" w:cs="hakuyoxingshu7000"/>
                <w:bCs/>
                <w:sz w:val="24"/>
              </w:rPr>
            </w:pPr>
            <w:r>
              <w:rPr>
                <w:rFonts w:hint="eastAsia" w:ascii="宋体" w:hAnsi="宋体" w:cs="hakuyoxingshu7000"/>
                <w:bCs/>
                <w:sz w:val="24"/>
              </w:rPr>
              <w:t>5</w:t>
            </w:r>
          </w:p>
        </w:tc>
        <w:tc>
          <w:tcPr>
            <w:tcW w:w="1008" w:type="dxa"/>
            <w:vAlign w:val="center"/>
          </w:tcPr>
          <w:p w14:paraId="07495637">
            <w:pPr>
              <w:spacing w:line="360" w:lineRule="auto"/>
              <w:rPr>
                <w:rFonts w:ascii="宋体" w:hAnsi="宋体" w:cs="hakuyoxingshu7000"/>
                <w:bCs/>
                <w:sz w:val="24"/>
              </w:rPr>
            </w:pPr>
          </w:p>
        </w:tc>
        <w:tc>
          <w:tcPr>
            <w:tcW w:w="2304" w:type="dxa"/>
            <w:vAlign w:val="center"/>
          </w:tcPr>
          <w:p w14:paraId="33FFF48F">
            <w:pPr>
              <w:spacing w:line="360" w:lineRule="auto"/>
              <w:rPr>
                <w:rFonts w:ascii="宋体" w:hAnsi="宋体" w:cs="hakuyoxingshu7000"/>
                <w:bCs/>
                <w:sz w:val="24"/>
              </w:rPr>
            </w:pPr>
          </w:p>
        </w:tc>
        <w:tc>
          <w:tcPr>
            <w:tcW w:w="1525" w:type="dxa"/>
            <w:vAlign w:val="center"/>
          </w:tcPr>
          <w:p w14:paraId="794E03DD">
            <w:pPr>
              <w:spacing w:line="360" w:lineRule="auto"/>
              <w:rPr>
                <w:rFonts w:ascii="宋体" w:hAnsi="宋体" w:cs="hakuyoxingshu7000"/>
                <w:bCs/>
                <w:sz w:val="24"/>
              </w:rPr>
            </w:pPr>
          </w:p>
        </w:tc>
        <w:tc>
          <w:tcPr>
            <w:tcW w:w="1491" w:type="dxa"/>
            <w:vAlign w:val="center"/>
          </w:tcPr>
          <w:p w14:paraId="62FEAC7A">
            <w:pPr>
              <w:spacing w:line="360" w:lineRule="auto"/>
              <w:rPr>
                <w:rFonts w:ascii="宋体" w:hAnsi="宋体" w:cs="hakuyoxingshu7000"/>
                <w:b/>
                <w:bCs/>
                <w:sz w:val="24"/>
              </w:rPr>
            </w:pPr>
          </w:p>
        </w:tc>
        <w:tc>
          <w:tcPr>
            <w:tcW w:w="1458" w:type="dxa"/>
            <w:vAlign w:val="center"/>
          </w:tcPr>
          <w:p w14:paraId="1552ED17">
            <w:pPr>
              <w:spacing w:line="360" w:lineRule="auto"/>
              <w:rPr>
                <w:rFonts w:ascii="宋体" w:hAnsi="宋体" w:cs="hakuyoxingshu7000"/>
                <w:b/>
                <w:bCs/>
                <w:sz w:val="24"/>
              </w:rPr>
            </w:pPr>
          </w:p>
        </w:tc>
        <w:tc>
          <w:tcPr>
            <w:tcW w:w="1515" w:type="dxa"/>
            <w:vAlign w:val="center"/>
          </w:tcPr>
          <w:p w14:paraId="6410815F">
            <w:pPr>
              <w:spacing w:line="360" w:lineRule="auto"/>
              <w:rPr>
                <w:rFonts w:ascii="宋体" w:hAnsi="宋体" w:cs="hakuyoxingshu7000"/>
                <w:b/>
                <w:bCs/>
                <w:sz w:val="24"/>
              </w:rPr>
            </w:pPr>
          </w:p>
        </w:tc>
      </w:tr>
      <w:tr w14:paraId="1BC37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3474EB04">
            <w:pPr>
              <w:spacing w:line="360" w:lineRule="auto"/>
              <w:jc w:val="center"/>
              <w:rPr>
                <w:rFonts w:ascii="宋体" w:hAnsi="宋体" w:cs="hakuyoxingshu7000"/>
                <w:bCs/>
                <w:sz w:val="24"/>
              </w:rPr>
            </w:pPr>
            <w:r>
              <w:rPr>
                <w:rFonts w:hint="eastAsia" w:ascii="宋体" w:hAnsi="宋体" w:cs="hakuyoxingshu7000"/>
                <w:bCs/>
                <w:sz w:val="24"/>
              </w:rPr>
              <w:t>6</w:t>
            </w:r>
          </w:p>
        </w:tc>
        <w:tc>
          <w:tcPr>
            <w:tcW w:w="1008" w:type="dxa"/>
            <w:vAlign w:val="center"/>
          </w:tcPr>
          <w:p w14:paraId="40981366">
            <w:pPr>
              <w:spacing w:line="360" w:lineRule="auto"/>
              <w:rPr>
                <w:rFonts w:ascii="宋体" w:hAnsi="宋体" w:cs="hakuyoxingshu7000"/>
                <w:bCs/>
                <w:sz w:val="24"/>
              </w:rPr>
            </w:pPr>
          </w:p>
        </w:tc>
        <w:tc>
          <w:tcPr>
            <w:tcW w:w="2304" w:type="dxa"/>
            <w:vAlign w:val="center"/>
          </w:tcPr>
          <w:p w14:paraId="6CD165D6">
            <w:pPr>
              <w:spacing w:line="360" w:lineRule="auto"/>
              <w:rPr>
                <w:rFonts w:ascii="宋体" w:hAnsi="宋体" w:cs="hakuyoxingshu7000"/>
                <w:bCs/>
                <w:sz w:val="24"/>
              </w:rPr>
            </w:pPr>
          </w:p>
        </w:tc>
        <w:tc>
          <w:tcPr>
            <w:tcW w:w="1525" w:type="dxa"/>
            <w:vAlign w:val="center"/>
          </w:tcPr>
          <w:p w14:paraId="6FDC58E5">
            <w:pPr>
              <w:spacing w:line="360" w:lineRule="auto"/>
              <w:rPr>
                <w:rFonts w:ascii="宋体" w:hAnsi="宋体" w:cs="hakuyoxingshu7000"/>
                <w:bCs/>
                <w:sz w:val="24"/>
              </w:rPr>
            </w:pPr>
          </w:p>
        </w:tc>
        <w:tc>
          <w:tcPr>
            <w:tcW w:w="1491" w:type="dxa"/>
            <w:vAlign w:val="center"/>
          </w:tcPr>
          <w:p w14:paraId="772553E1">
            <w:pPr>
              <w:spacing w:line="360" w:lineRule="auto"/>
              <w:rPr>
                <w:rFonts w:ascii="宋体" w:hAnsi="宋体" w:cs="hakuyoxingshu7000"/>
                <w:b/>
                <w:bCs/>
                <w:sz w:val="24"/>
              </w:rPr>
            </w:pPr>
          </w:p>
        </w:tc>
        <w:tc>
          <w:tcPr>
            <w:tcW w:w="1458" w:type="dxa"/>
            <w:vAlign w:val="center"/>
          </w:tcPr>
          <w:p w14:paraId="5C0F5102">
            <w:pPr>
              <w:spacing w:line="360" w:lineRule="auto"/>
              <w:rPr>
                <w:rFonts w:ascii="宋体" w:hAnsi="宋体" w:cs="hakuyoxingshu7000"/>
                <w:b/>
                <w:bCs/>
                <w:sz w:val="24"/>
              </w:rPr>
            </w:pPr>
          </w:p>
        </w:tc>
        <w:tc>
          <w:tcPr>
            <w:tcW w:w="1515" w:type="dxa"/>
            <w:vAlign w:val="center"/>
          </w:tcPr>
          <w:p w14:paraId="5DFB519E">
            <w:pPr>
              <w:spacing w:line="360" w:lineRule="auto"/>
              <w:rPr>
                <w:rFonts w:ascii="宋体" w:hAnsi="宋体" w:cs="hakuyoxingshu7000"/>
                <w:b/>
                <w:bCs/>
                <w:sz w:val="24"/>
              </w:rPr>
            </w:pPr>
          </w:p>
        </w:tc>
      </w:tr>
      <w:tr w14:paraId="38A1A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2EEC9BC8">
            <w:pPr>
              <w:spacing w:line="360" w:lineRule="auto"/>
              <w:jc w:val="center"/>
              <w:rPr>
                <w:rFonts w:ascii="宋体" w:hAnsi="宋体" w:cs="hakuyoxingshu7000"/>
                <w:bCs/>
                <w:sz w:val="24"/>
              </w:rPr>
            </w:pPr>
            <w:r>
              <w:rPr>
                <w:rFonts w:hint="eastAsia" w:ascii="宋体" w:hAnsi="宋体" w:cs="hakuyoxingshu7000"/>
                <w:bCs/>
                <w:sz w:val="24"/>
              </w:rPr>
              <w:t>7</w:t>
            </w:r>
          </w:p>
        </w:tc>
        <w:tc>
          <w:tcPr>
            <w:tcW w:w="1008" w:type="dxa"/>
            <w:vAlign w:val="center"/>
          </w:tcPr>
          <w:p w14:paraId="436E19B0">
            <w:pPr>
              <w:spacing w:line="360" w:lineRule="auto"/>
              <w:rPr>
                <w:rFonts w:ascii="宋体" w:hAnsi="宋体" w:cs="hakuyoxingshu7000"/>
                <w:bCs/>
                <w:sz w:val="24"/>
              </w:rPr>
            </w:pPr>
          </w:p>
        </w:tc>
        <w:tc>
          <w:tcPr>
            <w:tcW w:w="2304" w:type="dxa"/>
            <w:vAlign w:val="center"/>
          </w:tcPr>
          <w:p w14:paraId="7D2BECB6">
            <w:pPr>
              <w:spacing w:line="360" w:lineRule="auto"/>
              <w:rPr>
                <w:rFonts w:ascii="宋体" w:hAnsi="宋体" w:cs="hakuyoxingshu7000"/>
                <w:bCs/>
                <w:sz w:val="24"/>
              </w:rPr>
            </w:pPr>
          </w:p>
        </w:tc>
        <w:tc>
          <w:tcPr>
            <w:tcW w:w="1525" w:type="dxa"/>
            <w:vAlign w:val="center"/>
          </w:tcPr>
          <w:p w14:paraId="0815CE23">
            <w:pPr>
              <w:spacing w:line="360" w:lineRule="auto"/>
              <w:rPr>
                <w:rFonts w:ascii="宋体" w:hAnsi="宋体" w:cs="hakuyoxingshu7000"/>
                <w:bCs/>
                <w:sz w:val="24"/>
              </w:rPr>
            </w:pPr>
          </w:p>
        </w:tc>
        <w:tc>
          <w:tcPr>
            <w:tcW w:w="1491" w:type="dxa"/>
            <w:vAlign w:val="center"/>
          </w:tcPr>
          <w:p w14:paraId="244358CB">
            <w:pPr>
              <w:spacing w:line="360" w:lineRule="auto"/>
              <w:rPr>
                <w:rFonts w:ascii="宋体" w:hAnsi="宋体" w:cs="hakuyoxingshu7000"/>
                <w:b/>
                <w:bCs/>
                <w:sz w:val="24"/>
              </w:rPr>
            </w:pPr>
          </w:p>
        </w:tc>
        <w:tc>
          <w:tcPr>
            <w:tcW w:w="1458" w:type="dxa"/>
            <w:vAlign w:val="center"/>
          </w:tcPr>
          <w:p w14:paraId="6F0D493A">
            <w:pPr>
              <w:spacing w:line="360" w:lineRule="auto"/>
              <w:rPr>
                <w:rFonts w:ascii="宋体" w:hAnsi="宋体" w:cs="hakuyoxingshu7000"/>
                <w:b/>
                <w:bCs/>
                <w:sz w:val="24"/>
              </w:rPr>
            </w:pPr>
          </w:p>
        </w:tc>
        <w:tc>
          <w:tcPr>
            <w:tcW w:w="1515" w:type="dxa"/>
            <w:vAlign w:val="center"/>
          </w:tcPr>
          <w:p w14:paraId="22C0D9E3">
            <w:pPr>
              <w:spacing w:line="360" w:lineRule="auto"/>
              <w:rPr>
                <w:rFonts w:ascii="宋体" w:hAnsi="宋体" w:cs="hakuyoxingshu7000"/>
                <w:b/>
                <w:bCs/>
                <w:sz w:val="24"/>
              </w:rPr>
            </w:pPr>
          </w:p>
        </w:tc>
      </w:tr>
      <w:tr w14:paraId="32115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35E4286A">
            <w:pPr>
              <w:spacing w:line="360" w:lineRule="auto"/>
              <w:jc w:val="center"/>
              <w:rPr>
                <w:rFonts w:ascii="宋体" w:hAnsi="宋体" w:cs="hakuyoxingshu7000"/>
                <w:bCs/>
                <w:sz w:val="24"/>
              </w:rPr>
            </w:pPr>
            <w:r>
              <w:rPr>
                <w:rFonts w:hint="eastAsia" w:ascii="宋体" w:hAnsi="宋体" w:cs="hakuyoxingshu7000"/>
                <w:bCs/>
                <w:sz w:val="24"/>
              </w:rPr>
              <w:t>8</w:t>
            </w:r>
          </w:p>
        </w:tc>
        <w:tc>
          <w:tcPr>
            <w:tcW w:w="1008" w:type="dxa"/>
            <w:vAlign w:val="center"/>
          </w:tcPr>
          <w:p w14:paraId="7A743047">
            <w:pPr>
              <w:spacing w:line="360" w:lineRule="auto"/>
              <w:jc w:val="center"/>
              <w:rPr>
                <w:rFonts w:ascii="宋体" w:hAnsi="宋体" w:cs="hakuyoxingshu7000"/>
                <w:b/>
                <w:bCs/>
                <w:sz w:val="24"/>
              </w:rPr>
            </w:pPr>
          </w:p>
        </w:tc>
        <w:tc>
          <w:tcPr>
            <w:tcW w:w="5320" w:type="dxa"/>
            <w:gridSpan w:val="3"/>
            <w:vAlign w:val="center"/>
          </w:tcPr>
          <w:p w14:paraId="3E51F10D">
            <w:pPr>
              <w:spacing w:line="360" w:lineRule="auto"/>
              <w:jc w:val="center"/>
              <w:rPr>
                <w:rFonts w:ascii="宋体" w:hAnsi="宋体" w:cs="hakuyoxingshu7000"/>
                <w:b/>
                <w:bCs/>
                <w:sz w:val="24"/>
              </w:rPr>
            </w:pPr>
            <w:r>
              <w:rPr>
                <w:rFonts w:hint="eastAsia" w:ascii="宋体" w:hAnsi="宋体" w:cs="hakuyoxingshu7000"/>
                <w:b/>
                <w:bCs/>
                <w:sz w:val="24"/>
              </w:rPr>
              <w:t>合计金额：</w:t>
            </w:r>
          </w:p>
        </w:tc>
        <w:tc>
          <w:tcPr>
            <w:tcW w:w="1458" w:type="dxa"/>
            <w:vAlign w:val="center"/>
          </w:tcPr>
          <w:p w14:paraId="0C83CAFB">
            <w:pPr>
              <w:spacing w:line="360" w:lineRule="auto"/>
              <w:rPr>
                <w:rFonts w:ascii="宋体" w:hAnsi="宋体" w:cs="hakuyoxingshu7000"/>
                <w:b/>
                <w:bCs/>
                <w:sz w:val="24"/>
              </w:rPr>
            </w:pPr>
          </w:p>
        </w:tc>
        <w:tc>
          <w:tcPr>
            <w:tcW w:w="1515" w:type="dxa"/>
            <w:vAlign w:val="center"/>
          </w:tcPr>
          <w:p w14:paraId="09630431">
            <w:pPr>
              <w:spacing w:line="360" w:lineRule="auto"/>
              <w:rPr>
                <w:rFonts w:ascii="宋体" w:hAnsi="宋体" w:cs="hakuyoxingshu7000"/>
                <w:b/>
                <w:bCs/>
                <w:sz w:val="24"/>
              </w:rPr>
            </w:pPr>
          </w:p>
        </w:tc>
      </w:tr>
      <w:tr w14:paraId="0D9CB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trPr>
        <w:tc>
          <w:tcPr>
            <w:tcW w:w="1525" w:type="dxa"/>
            <w:gridSpan w:val="2"/>
            <w:vAlign w:val="center"/>
          </w:tcPr>
          <w:p w14:paraId="39D38D63">
            <w:pPr>
              <w:spacing w:line="360" w:lineRule="auto"/>
              <w:rPr>
                <w:rFonts w:ascii="宋体" w:hAnsi="宋体" w:cs="hakuyoxingshu7000"/>
                <w:b/>
                <w:bCs/>
                <w:sz w:val="24"/>
              </w:rPr>
            </w:pPr>
          </w:p>
        </w:tc>
        <w:tc>
          <w:tcPr>
            <w:tcW w:w="8293" w:type="dxa"/>
            <w:gridSpan w:val="5"/>
            <w:vAlign w:val="center"/>
          </w:tcPr>
          <w:p w14:paraId="5B397EFF">
            <w:pPr>
              <w:spacing w:line="360" w:lineRule="auto"/>
              <w:rPr>
                <w:rFonts w:ascii="宋体" w:hAnsi="宋体" w:cs="hakuyoxingshu7000"/>
                <w:b/>
                <w:bCs/>
                <w:sz w:val="24"/>
              </w:rPr>
            </w:pPr>
            <w:r>
              <w:rPr>
                <w:rFonts w:hint="eastAsia" w:ascii="宋体" w:hAnsi="宋体" w:cs="hakuyoxingshu7000"/>
                <w:b/>
                <w:bCs/>
                <w:sz w:val="24"/>
              </w:rPr>
              <w:t>合计投标报价（大写）：                             元人民币</w:t>
            </w:r>
          </w:p>
        </w:tc>
      </w:tr>
    </w:tbl>
    <w:p w14:paraId="4B19D83C">
      <w:pPr>
        <w:spacing w:line="360" w:lineRule="auto"/>
        <w:rPr>
          <w:rFonts w:ascii="宋体" w:hAnsi="宋体" w:cs="Arial"/>
          <w:b/>
          <w:bCs/>
          <w:sz w:val="24"/>
        </w:rPr>
      </w:pPr>
      <w:r>
        <w:rPr>
          <w:rFonts w:hint="eastAsia" w:ascii="新宋体" w:hAnsi="新宋体" w:eastAsia="新宋体"/>
          <w:b/>
          <w:sz w:val="24"/>
        </w:rPr>
        <w:t>说明：项目报价为完成该项目所需全部物品（包括所有安装配件）、货物的运输、安装、调试、相关税金，以及服务等全部费用，投标人应根据上述因素自行考虑含入投标报价。</w:t>
      </w:r>
    </w:p>
    <w:p w14:paraId="70A9907B">
      <w:pPr>
        <w:spacing w:line="360" w:lineRule="auto"/>
        <w:rPr>
          <w:rFonts w:ascii="宋体" w:hAnsi="宋体" w:cs="Arial"/>
          <w:b/>
          <w:bCs/>
          <w:sz w:val="24"/>
        </w:rPr>
      </w:pPr>
      <w:r>
        <w:rPr>
          <w:rFonts w:hint="eastAsia" w:ascii="宋体" w:hAnsi="宋体" w:cs="Arial"/>
          <w:b/>
          <w:bCs/>
          <w:sz w:val="24"/>
        </w:rPr>
        <w:t>报价清单请按预估数量×预估单价为总报价。</w:t>
      </w:r>
    </w:p>
    <w:p w14:paraId="0DB14BE1">
      <w:pPr>
        <w:spacing w:line="360" w:lineRule="auto"/>
        <w:rPr>
          <w:rFonts w:ascii="宋体" w:hAnsi="宋体" w:cs="Arial"/>
          <w:b/>
          <w:bCs/>
          <w:sz w:val="24"/>
        </w:rPr>
      </w:pPr>
    </w:p>
    <w:p w14:paraId="720A669C">
      <w:pPr>
        <w:spacing w:line="360" w:lineRule="auto"/>
        <w:ind w:right="-11" w:firstLine="240" w:firstLineChars="100"/>
        <w:rPr>
          <w:rFonts w:ascii="宋体" w:hAnsi="宋体" w:cs="Arial"/>
          <w:sz w:val="24"/>
        </w:rPr>
      </w:pPr>
      <w:r>
        <w:rPr>
          <w:rFonts w:hint="eastAsia" w:ascii="宋体" w:hAnsi="宋体" w:cs="Arial"/>
          <w:sz w:val="24"/>
        </w:rPr>
        <w:t>投标商全称</w:t>
      </w:r>
      <w:r>
        <w:rPr>
          <w:rFonts w:ascii="宋体" w:hAnsi="宋体" w:cs="Arial"/>
          <w:sz w:val="24"/>
        </w:rPr>
        <w:t>（公章）：</w:t>
      </w:r>
      <w:r>
        <w:rPr>
          <w:rFonts w:hint="eastAsia" w:ascii="宋体" w:hAnsi="宋体" w:cs="Arial"/>
          <w:sz w:val="24"/>
          <w:u w:val="single"/>
        </w:rPr>
        <w:t xml:space="preserve">                    </w:t>
      </w:r>
    </w:p>
    <w:p w14:paraId="5D2D9F65">
      <w:pPr>
        <w:spacing w:line="360" w:lineRule="auto"/>
        <w:rPr>
          <w:rFonts w:ascii="宋体" w:hAnsi="宋体"/>
          <w:sz w:val="24"/>
        </w:rPr>
      </w:pPr>
      <w:r>
        <w:rPr>
          <w:rFonts w:hint="eastAsia" w:ascii="宋体" w:hAnsi="宋体"/>
          <w:sz w:val="24"/>
        </w:rPr>
        <w:t xml:space="preserve">  </w:t>
      </w:r>
      <w:r>
        <w:rPr>
          <w:rFonts w:ascii="宋体" w:hAnsi="宋体"/>
          <w:sz w:val="24"/>
        </w:rPr>
        <w:t>日期：</w:t>
      </w:r>
      <w:r>
        <w:rPr>
          <w:rFonts w:hint="eastAsia" w:ascii="宋体" w:hAnsi="宋体"/>
          <w:sz w:val="24"/>
          <w:u w:val="single"/>
        </w:rPr>
        <w:t xml:space="preserve">               </w:t>
      </w:r>
    </w:p>
    <w:p w14:paraId="3480810A">
      <w:pPr>
        <w:spacing w:line="360" w:lineRule="auto"/>
        <w:rPr>
          <w:sz w:val="24"/>
        </w:rPr>
      </w:pPr>
    </w:p>
    <w:p w14:paraId="7A4DF3EC">
      <w:pPr>
        <w:widowControl/>
        <w:spacing w:line="360" w:lineRule="auto"/>
        <w:jc w:val="left"/>
      </w:pPr>
    </w:p>
    <w:p w14:paraId="0209CD3A">
      <w:pPr>
        <w:widowControl/>
        <w:spacing w:line="360" w:lineRule="auto"/>
        <w:jc w:val="left"/>
      </w:pPr>
    </w:p>
    <w:p w14:paraId="6690C3A1">
      <w:pPr>
        <w:widowControl/>
        <w:spacing w:line="360" w:lineRule="auto"/>
        <w:jc w:val="left"/>
      </w:pPr>
    </w:p>
    <w:p w14:paraId="0DD0298D">
      <w:pPr>
        <w:widowControl/>
        <w:spacing w:line="360" w:lineRule="auto"/>
        <w:jc w:val="left"/>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hakuyoxingshu7000">
    <w:altName w:val="宋体"/>
    <w:panose1 w:val="02000600000000000000"/>
    <w:charset w:val="86"/>
    <w:family w:val="auto"/>
    <w:pitch w:val="default"/>
    <w:sig w:usb0="00000000" w:usb1="00000000" w:usb2="0000003F" w:usb3="00000000" w:csb0="603F00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899EC"/>
    <w:multiLevelType w:val="singleLevel"/>
    <w:tmpl w:val="A52899EC"/>
    <w:lvl w:ilvl="0" w:tentative="0">
      <w:start w:val="1"/>
      <w:numFmt w:val="decimal"/>
      <w:suff w:val="nothing"/>
      <w:lvlText w:val="%1、"/>
      <w:lvlJc w:val="left"/>
    </w:lvl>
  </w:abstractNum>
  <w:abstractNum w:abstractNumId="1">
    <w:nsid w:val="FC00EF3E"/>
    <w:multiLevelType w:val="singleLevel"/>
    <w:tmpl w:val="FC00EF3E"/>
    <w:lvl w:ilvl="0" w:tentative="0">
      <w:start w:val="1"/>
      <w:numFmt w:val="chineseCounting"/>
      <w:suff w:val="nothing"/>
      <w:lvlText w:val="%1、"/>
      <w:lvlJc w:val="left"/>
      <w:rPr>
        <w:rFonts w:hint="eastAsia"/>
      </w:rPr>
    </w:lvl>
  </w:abstractNum>
  <w:abstractNum w:abstractNumId="2">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D497C9E"/>
    <w:multiLevelType w:val="multilevel"/>
    <w:tmpl w:val="5D497C9E"/>
    <w:lvl w:ilvl="0" w:tentative="0">
      <w:start w:val="1"/>
      <w:numFmt w:val="chineseCountingThousand"/>
      <w:pStyle w:val="4"/>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NWE4MzgzMzNiMjhmZmMxMDNlZjM0NGE0Mjk3N2MifQ=="/>
  </w:docVars>
  <w:rsids>
    <w:rsidRoot w:val="7E9D2BEE"/>
    <w:rsid w:val="00164318"/>
    <w:rsid w:val="003D4B84"/>
    <w:rsid w:val="0060628D"/>
    <w:rsid w:val="008F65FF"/>
    <w:rsid w:val="00B23857"/>
    <w:rsid w:val="00E16A0C"/>
    <w:rsid w:val="00EA7669"/>
    <w:rsid w:val="01735F55"/>
    <w:rsid w:val="01920F12"/>
    <w:rsid w:val="0217614B"/>
    <w:rsid w:val="02444CFE"/>
    <w:rsid w:val="02693733"/>
    <w:rsid w:val="02702D13"/>
    <w:rsid w:val="02AE55E9"/>
    <w:rsid w:val="031F6931"/>
    <w:rsid w:val="037F7C73"/>
    <w:rsid w:val="03806BD9"/>
    <w:rsid w:val="0399071A"/>
    <w:rsid w:val="03A32C74"/>
    <w:rsid w:val="03B81543"/>
    <w:rsid w:val="03BE5308"/>
    <w:rsid w:val="03F4702C"/>
    <w:rsid w:val="04137DFA"/>
    <w:rsid w:val="041E1407"/>
    <w:rsid w:val="043A5387"/>
    <w:rsid w:val="04581CB1"/>
    <w:rsid w:val="046805A7"/>
    <w:rsid w:val="046C7126"/>
    <w:rsid w:val="048177A5"/>
    <w:rsid w:val="05104339"/>
    <w:rsid w:val="05252DE6"/>
    <w:rsid w:val="054935FC"/>
    <w:rsid w:val="057D45C7"/>
    <w:rsid w:val="05B2719F"/>
    <w:rsid w:val="05D37841"/>
    <w:rsid w:val="05D610DF"/>
    <w:rsid w:val="063437DC"/>
    <w:rsid w:val="063F15D1"/>
    <w:rsid w:val="0663284C"/>
    <w:rsid w:val="06770E4D"/>
    <w:rsid w:val="06B701C7"/>
    <w:rsid w:val="07016BD4"/>
    <w:rsid w:val="07B40FAC"/>
    <w:rsid w:val="07F608F1"/>
    <w:rsid w:val="083A6BF5"/>
    <w:rsid w:val="084367D4"/>
    <w:rsid w:val="08A43261"/>
    <w:rsid w:val="09181A0E"/>
    <w:rsid w:val="09414AC1"/>
    <w:rsid w:val="09682EB8"/>
    <w:rsid w:val="09701596"/>
    <w:rsid w:val="09B01196"/>
    <w:rsid w:val="09EF276F"/>
    <w:rsid w:val="0A1041B5"/>
    <w:rsid w:val="0A155669"/>
    <w:rsid w:val="0A992ACF"/>
    <w:rsid w:val="0AAC082D"/>
    <w:rsid w:val="0ABB16FD"/>
    <w:rsid w:val="0B280B93"/>
    <w:rsid w:val="0B9E1294"/>
    <w:rsid w:val="0C0F6D61"/>
    <w:rsid w:val="0C1C35C4"/>
    <w:rsid w:val="0C3E373D"/>
    <w:rsid w:val="0C48260B"/>
    <w:rsid w:val="0C811679"/>
    <w:rsid w:val="0C88659A"/>
    <w:rsid w:val="0C9814B5"/>
    <w:rsid w:val="0C992E66"/>
    <w:rsid w:val="0CB67574"/>
    <w:rsid w:val="0CD74F4E"/>
    <w:rsid w:val="0D625D59"/>
    <w:rsid w:val="0DCF4D92"/>
    <w:rsid w:val="0DD57DA6"/>
    <w:rsid w:val="0E1D50C2"/>
    <w:rsid w:val="0E2B3F92"/>
    <w:rsid w:val="0EB126E9"/>
    <w:rsid w:val="0FC6104D"/>
    <w:rsid w:val="0FD86205"/>
    <w:rsid w:val="0FFD20EE"/>
    <w:rsid w:val="102D3FF1"/>
    <w:rsid w:val="107C5C0E"/>
    <w:rsid w:val="109C4CD3"/>
    <w:rsid w:val="10D95F27"/>
    <w:rsid w:val="10DD77C5"/>
    <w:rsid w:val="10F36FE9"/>
    <w:rsid w:val="110E0BAC"/>
    <w:rsid w:val="114C494B"/>
    <w:rsid w:val="11CB32F9"/>
    <w:rsid w:val="127B54E8"/>
    <w:rsid w:val="12B22195"/>
    <w:rsid w:val="13176A48"/>
    <w:rsid w:val="131E40C5"/>
    <w:rsid w:val="13823917"/>
    <w:rsid w:val="13CA1F19"/>
    <w:rsid w:val="13DD44F2"/>
    <w:rsid w:val="144E2A5F"/>
    <w:rsid w:val="14CA0061"/>
    <w:rsid w:val="14D507B4"/>
    <w:rsid w:val="14E32ED1"/>
    <w:rsid w:val="154D3605"/>
    <w:rsid w:val="15E52C78"/>
    <w:rsid w:val="16325C9C"/>
    <w:rsid w:val="166B13D0"/>
    <w:rsid w:val="16B234A2"/>
    <w:rsid w:val="16BF796D"/>
    <w:rsid w:val="16E70179"/>
    <w:rsid w:val="173845ED"/>
    <w:rsid w:val="17856145"/>
    <w:rsid w:val="17FD24FB"/>
    <w:rsid w:val="18185587"/>
    <w:rsid w:val="182201B4"/>
    <w:rsid w:val="184523CE"/>
    <w:rsid w:val="184E706F"/>
    <w:rsid w:val="187B02C7"/>
    <w:rsid w:val="18D9319D"/>
    <w:rsid w:val="18E17A47"/>
    <w:rsid w:val="18F00A8A"/>
    <w:rsid w:val="19235266"/>
    <w:rsid w:val="196C08F1"/>
    <w:rsid w:val="1A2521DD"/>
    <w:rsid w:val="1A846F04"/>
    <w:rsid w:val="1A935399"/>
    <w:rsid w:val="1AAF0E80"/>
    <w:rsid w:val="1AC51655"/>
    <w:rsid w:val="1ADA6B24"/>
    <w:rsid w:val="1B4D379A"/>
    <w:rsid w:val="1B5C4EFB"/>
    <w:rsid w:val="1B676A58"/>
    <w:rsid w:val="1B6D2EC4"/>
    <w:rsid w:val="1B943177"/>
    <w:rsid w:val="1B9969DF"/>
    <w:rsid w:val="1BCD3B84"/>
    <w:rsid w:val="1BD532AE"/>
    <w:rsid w:val="1C275729"/>
    <w:rsid w:val="1C5D4C5D"/>
    <w:rsid w:val="1C8431EB"/>
    <w:rsid w:val="1CB810E7"/>
    <w:rsid w:val="1CCE26B8"/>
    <w:rsid w:val="1CDE389D"/>
    <w:rsid w:val="1D525097"/>
    <w:rsid w:val="1DDC2BB3"/>
    <w:rsid w:val="1DF63C75"/>
    <w:rsid w:val="1DF655C9"/>
    <w:rsid w:val="1E01086B"/>
    <w:rsid w:val="1E05197A"/>
    <w:rsid w:val="1E6432D4"/>
    <w:rsid w:val="1E82375A"/>
    <w:rsid w:val="1E960FB4"/>
    <w:rsid w:val="1EEA7AC6"/>
    <w:rsid w:val="1F090697"/>
    <w:rsid w:val="1F7B5265"/>
    <w:rsid w:val="1F7E2174"/>
    <w:rsid w:val="1FD92A7D"/>
    <w:rsid w:val="20140D2A"/>
    <w:rsid w:val="203B6D03"/>
    <w:rsid w:val="206A26F8"/>
    <w:rsid w:val="207215AC"/>
    <w:rsid w:val="20825C93"/>
    <w:rsid w:val="20AC4ABE"/>
    <w:rsid w:val="20B300B6"/>
    <w:rsid w:val="20BE4494"/>
    <w:rsid w:val="210B5C89"/>
    <w:rsid w:val="213056EF"/>
    <w:rsid w:val="214B19AF"/>
    <w:rsid w:val="21526214"/>
    <w:rsid w:val="219C2D85"/>
    <w:rsid w:val="21AE1BD8"/>
    <w:rsid w:val="21B53E47"/>
    <w:rsid w:val="21E30D42"/>
    <w:rsid w:val="22201238"/>
    <w:rsid w:val="225E003A"/>
    <w:rsid w:val="22617B2B"/>
    <w:rsid w:val="226A4C31"/>
    <w:rsid w:val="226B2757"/>
    <w:rsid w:val="22B74B50"/>
    <w:rsid w:val="22C500B9"/>
    <w:rsid w:val="22F4274D"/>
    <w:rsid w:val="23086FED"/>
    <w:rsid w:val="23696C97"/>
    <w:rsid w:val="23A74C4E"/>
    <w:rsid w:val="23CB5BA3"/>
    <w:rsid w:val="23DD5975"/>
    <w:rsid w:val="23E822B1"/>
    <w:rsid w:val="23FA2DFB"/>
    <w:rsid w:val="242D0576"/>
    <w:rsid w:val="24BE3012"/>
    <w:rsid w:val="24C20D54"/>
    <w:rsid w:val="250003E1"/>
    <w:rsid w:val="250032EF"/>
    <w:rsid w:val="25396B3D"/>
    <w:rsid w:val="256F255E"/>
    <w:rsid w:val="2601367E"/>
    <w:rsid w:val="260E1459"/>
    <w:rsid w:val="26647BE9"/>
    <w:rsid w:val="26CB1FFA"/>
    <w:rsid w:val="277327DA"/>
    <w:rsid w:val="278A02F5"/>
    <w:rsid w:val="27AC7A9A"/>
    <w:rsid w:val="27BA6FBE"/>
    <w:rsid w:val="282707F3"/>
    <w:rsid w:val="28AC341B"/>
    <w:rsid w:val="28F33F9C"/>
    <w:rsid w:val="290B7C96"/>
    <w:rsid w:val="299E3412"/>
    <w:rsid w:val="29CC6E69"/>
    <w:rsid w:val="2A24600D"/>
    <w:rsid w:val="2A4B17EC"/>
    <w:rsid w:val="2A5A1159"/>
    <w:rsid w:val="2B0D5F6D"/>
    <w:rsid w:val="2B683928"/>
    <w:rsid w:val="2C025EDA"/>
    <w:rsid w:val="2C0E0D23"/>
    <w:rsid w:val="2C273B93"/>
    <w:rsid w:val="2C412EA7"/>
    <w:rsid w:val="2C7F2D90"/>
    <w:rsid w:val="2C8402CC"/>
    <w:rsid w:val="2C8965FC"/>
    <w:rsid w:val="2C9F3729"/>
    <w:rsid w:val="2CD25DAF"/>
    <w:rsid w:val="2D381852"/>
    <w:rsid w:val="2D511CA4"/>
    <w:rsid w:val="2D990AC0"/>
    <w:rsid w:val="2DAF3E40"/>
    <w:rsid w:val="2DDA4C9A"/>
    <w:rsid w:val="2DE55AB4"/>
    <w:rsid w:val="2DFA155F"/>
    <w:rsid w:val="2E0C3A22"/>
    <w:rsid w:val="2E0D1483"/>
    <w:rsid w:val="2E3D7EEF"/>
    <w:rsid w:val="2E761BEF"/>
    <w:rsid w:val="2EBB4BEE"/>
    <w:rsid w:val="2F137233"/>
    <w:rsid w:val="2FDA59F2"/>
    <w:rsid w:val="2FEF49C8"/>
    <w:rsid w:val="30393E95"/>
    <w:rsid w:val="306A77ED"/>
    <w:rsid w:val="309B0E6F"/>
    <w:rsid w:val="30E3452C"/>
    <w:rsid w:val="319C6045"/>
    <w:rsid w:val="31B41C0A"/>
    <w:rsid w:val="31B45EC9"/>
    <w:rsid w:val="31BB0FE7"/>
    <w:rsid w:val="31D54EF7"/>
    <w:rsid w:val="31EB11BF"/>
    <w:rsid w:val="32351D06"/>
    <w:rsid w:val="324B2329"/>
    <w:rsid w:val="326B7C1E"/>
    <w:rsid w:val="32A83B15"/>
    <w:rsid w:val="32AE46C6"/>
    <w:rsid w:val="32E6579B"/>
    <w:rsid w:val="33395E7A"/>
    <w:rsid w:val="33454756"/>
    <w:rsid w:val="3345781A"/>
    <w:rsid w:val="33950813"/>
    <w:rsid w:val="33B91786"/>
    <w:rsid w:val="33D60378"/>
    <w:rsid w:val="33EA7980"/>
    <w:rsid w:val="356419B4"/>
    <w:rsid w:val="35F9034E"/>
    <w:rsid w:val="35FE6F21"/>
    <w:rsid w:val="365A27C8"/>
    <w:rsid w:val="3694744F"/>
    <w:rsid w:val="36B978CE"/>
    <w:rsid w:val="373F4487"/>
    <w:rsid w:val="37894282"/>
    <w:rsid w:val="378C2AA9"/>
    <w:rsid w:val="38341477"/>
    <w:rsid w:val="38A6160E"/>
    <w:rsid w:val="38C34C43"/>
    <w:rsid w:val="38C43CA9"/>
    <w:rsid w:val="39495F88"/>
    <w:rsid w:val="39826B31"/>
    <w:rsid w:val="39A6259B"/>
    <w:rsid w:val="3AB4342E"/>
    <w:rsid w:val="3AD44EE6"/>
    <w:rsid w:val="3B781D15"/>
    <w:rsid w:val="3B9052B1"/>
    <w:rsid w:val="3BE55E13"/>
    <w:rsid w:val="3C2D2B00"/>
    <w:rsid w:val="3C4B3FC2"/>
    <w:rsid w:val="3C846FAD"/>
    <w:rsid w:val="3C990FCB"/>
    <w:rsid w:val="3D7E46A8"/>
    <w:rsid w:val="3DA34099"/>
    <w:rsid w:val="3DF81D2A"/>
    <w:rsid w:val="3E1A70B4"/>
    <w:rsid w:val="3E4A79FC"/>
    <w:rsid w:val="3E5E1BF9"/>
    <w:rsid w:val="3E75078E"/>
    <w:rsid w:val="3EA03A5D"/>
    <w:rsid w:val="3ECF1148"/>
    <w:rsid w:val="3EDC25BB"/>
    <w:rsid w:val="3F1F65DD"/>
    <w:rsid w:val="3FB757CD"/>
    <w:rsid w:val="3FB80293"/>
    <w:rsid w:val="3FBD724F"/>
    <w:rsid w:val="3FEE56D0"/>
    <w:rsid w:val="3FFD4EDF"/>
    <w:rsid w:val="40034CE0"/>
    <w:rsid w:val="4045722C"/>
    <w:rsid w:val="407209E5"/>
    <w:rsid w:val="40D7128C"/>
    <w:rsid w:val="40EB11DB"/>
    <w:rsid w:val="41272213"/>
    <w:rsid w:val="413F4786"/>
    <w:rsid w:val="41DF2AEE"/>
    <w:rsid w:val="42162BD2"/>
    <w:rsid w:val="42186000"/>
    <w:rsid w:val="423A5616"/>
    <w:rsid w:val="426923B8"/>
    <w:rsid w:val="42AD0108"/>
    <w:rsid w:val="42CE4911"/>
    <w:rsid w:val="42E12896"/>
    <w:rsid w:val="42E303BC"/>
    <w:rsid w:val="436B215F"/>
    <w:rsid w:val="43703F00"/>
    <w:rsid w:val="43713C1A"/>
    <w:rsid w:val="43F319C0"/>
    <w:rsid w:val="43F53D29"/>
    <w:rsid w:val="44052F6D"/>
    <w:rsid w:val="4458226F"/>
    <w:rsid w:val="445C54F5"/>
    <w:rsid w:val="44867251"/>
    <w:rsid w:val="449A0F4E"/>
    <w:rsid w:val="44CD4E80"/>
    <w:rsid w:val="44ED72D0"/>
    <w:rsid w:val="458A4B1F"/>
    <w:rsid w:val="45B84D5C"/>
    <w:rsid w:val="461C6516"/>
    <w:rsid w:val="46217054"/>
    <w:rsid w:val="46226C7C"/>
    <w:rsid w:val="46254F1A"/>
    <w:rsid w:val="475A0D14"/>
    <w:rsid w:val="47B02837"/>
    <w:rsid w:val="48485148"/>
    <w:rsid w:val="48861F15"/>
    <w:rsid w:val="48A905A4"/>
    <w:rsid w:val="48BB1493"/>
    <w:rsid w:val="49044BE8"/>
    <w:rsid w:val="491D3EFC"/>
    <w:rsid w:val="498D2E30"/>
    <w:rsid w:val="49F45D1E"/>
    <w:rsid w:val="4A154C94"/>
    <w:rsid w:val="4A4D3632"/>
    <w:rsid w:val="4A5C0AFE"/>
    <w:rsid w:val="4A810264"/>
    <w:rsid w:val="4ACB490C"/>
    <w:rsid w:val="4B2D35EC"/>
    <w:rsid w:val="4B3F63AB"/>
    <w:rsid w:val="4B6173B9"/>
    <w:rsid w:val="4BA12BC2"/>
    <w:rsid w:val="4BF1634C"/>
    <w:rsid w:val="4C1A1186"/>
    <w:rsid w:val="4C1E4213"/>
    <w:rsid w:val="4C26121A"/>
    <w:rsid w:val="4C4A468F"/>
    <w:rsid w:val="4C7240D0"/>
    <w:rsid w:val="4C8C2F4B"/>
    <w:rsid w:val="4CA3296A"/>
    <w:rsid w:val="4CA40006"/>
    <w:rsid w:val="4D4C6D24"/>
    <w:rsid w:val="4D8412CA"/>
    <w:rsid w:val="4DAE072C"/>
    <w:rsid w:val="4DC40B01"/>
    <w:rsid w:val="4DD17574"/>
    <w:rsid w:val="4E3F7EF2"/>
    <w:rsid w:val="4E50411F"/>
    <w:rsid w:val="4E53118F"/>
    <w:rsid w:val="4E535E94"/>
    <w:rsid w:val="4EBC7D13"/>
    <w:rsid w:val="4ED67027"/>
    <w:rsid w:val="4F0F3AB7"/>
    <w:rsid w:val="4F156EDC"/>
    <w:rsid w:val="4F195165"/>
    <w:rsid w:val="4F525FCE"/>
    <w:rsid w:val="4F936CC6"/>
    <w:rsid w:val="4FA17CA6"/>
    <w:rsid w:val="4FE152E0"/>
    <w:rsid w:val="4FEB04D1"/>
    <w:rsid w:val="4FED432F"/>
    <w:rsid w:val="501C315F"/>
    <w:rsid w:val="50760AC1"/>
    <w:rsid w:val="50EC3E2B"/>
    <w:rsid w:val="510032E3"/>
    <w:rsid w:val="511F053B"/>
    <w:rsid w:val="514840EF"/>
    <w:rsid w:val="51B21297"/>
    <w:rsid w:val="51CC46FA"/>
    <w:rsid w:val="51E97071"/>
    <w:rsid w:val="523302EC"/>
    <w:rsid w:val="524547A9"/>
    <w:rsid w:val="525613B6"/>
    <w:rsid w:val="52675B8D"/>
    <w:rsid w:val="52741FD4"/>
    <w:rsid w:val="52B43B6C"/>
    <w:rsid w:val="52C665FD"/>
    <w:rsid w:val="537E1A3B"/>
    <w:rsid w:val="54B55B30"/>
    <w:rsid w:val="54D73EC6"/>
    <w:rsid w:val="54ED444E"/>
    <w:rsid w:val="552D3719"/>
    <w:rsid w:val="55961CE5"/>
    <w:rsid w:val="55E55977"/>
    <w:rsid w:val="56B72E79"/>
    <w:rsid w:val="5730129E"/>
    <w:rsid w:val="574A6804"/>
    <w:rsid w:val="57DF67F9"/>
    <w:rsid w:val="57F56770"/>
    <w:rsid w:val="582C415B"/>
    <w:rsid w:val="585039A6"/>
    <w:rsid w:val="589B5CAA"/>
    <w:rsid w:val="58F702C5"/>
    <w:rsid w:val="58FD5F53"/>
    <w:rsid w:val="596E3654"/>
    <w:rsid w:val="59883613"/>
    <w:rsid w:val="59D74F82"/>
    <w:rsid w:val="5A355549"/>
    <w:rsid w:val="5A807902"/>
    <w:rsid w:val="5AA970C6"/>
    <w:rsid w:val="5AB04BD0"/>
    <w:rsid w:val="5AFA5E4B"/>
    <w:rsid w:val="5B044F1C"/>
    <w:rsid w:val="5B235531"/>
    <w:rsid w:val="5B5F03A4"/>
    <w:rsid w:val="5BB300C0"/>
    <w:rsid w:val="5BC43B2B"/>
    <w:rsid w:val="5C1E200D"/>
    <w:rsid w:val="5C3F2F33"/>
    <w:rsid w:val="5C7E30BB"/>
    <w:rsid w:val="5C7E5810"/>
    <w:rsid w:val="5CA54D24"/>
    <w:rsid w:val="5CD87317"/>
    <w:rsid w:val="5CE70651"/>
    <w:rsid w:val="5CF56A39"/>
    <w:rsid w:val="5D5B41FF"/>
    <w:rsid w:val="5D7F0889"/>
    <w:rsid w:val="5D944335"/>
    <w:rsid w:val="5DBF01BE"/>
    <w:rsid w:val="5DD950B2"/>
    <w:rsid w:val="5DEE5043"/>
    <w:rsid w:val="5DFF2431"/>
    <w:rsid w:val="5E117222"/>
    <w:rsid w:val="5E4775F9"/>
    <w:rsid w:val="5E5674C7"/>
    <w:rsid w:val="5E67480F"/>
    <w:rsid w:val="5EA17159"/>
    <w:rsid w:val="5EEB267A"/>
    <w:rsid w:val="5F8748DA"/>
    <w:rsid w:val="5FBE7D8F"/>
    <w:rsid w:val="5FDE1234"/>
    <w:rsid w:val="60086116"/>
    <w:rsid w:val="60566219"/>
    <w:rsid w:val="607E12CC"/>
    <w:rsid w:val="60C21E5F"/>
    <w:rsid w:val="60E00BE1"/>
    <w:rsid w:val="6171498D"/>
    <w:rsid w:val="61E6537B"/>
    <w:rsid w:val="62001A0A"/>
    <w:rsid w:val="621E2D67"/>
    <w:rsid w:val="628030DA"/>
    <w:rsid w:val="62AA45FB"/>
    <w:rsid w:val="62D33A10"/>
    <w:rsid w:val="62E775FD"/>
    <w:rsid w:val="63604C33"/>
    <w:rsid w:val="63653CAD"/>
    <w:rsid w:val="63B429E0"/>
    <w:rsid w:val="63F7532D"/>
    <w:rsid w:val="643407A7"/>
    <w:rsid w:val="64656A2B"/>
    <w:rsid w:val="647B1A55"/>
    <w:rsid w:val="64DB0A9B"/>
    <w:rsid w:val="65561E5B"/>
    <w:rsid w:val="6573295C"/>
    <w:rsid w:val="6582360D"/>
    <w:rsid w:val="65931DA1"/>
    <w:rsid w:val="65B5026D"/>
    <w:rsid w:val="65B50990"/>
    <w:rsid w:val="65C14135"/>
    <w:rsid w:val="65C23A09"/>
    <w:rsid w:val="65D17642"/>
    <w:rsid w:val="660404C6"/>
    <w:rsid w:val="661701F9"/>
    <w:rsid w:val="66292968"/>
    <w:rsid w:val="667761EE"/>
    <w:rsid w:val="667E72FC"/>
    <w:rsid w:val="6681309D"/>
    <w:rsid w:val="669D6869"/>
    <w:rsid w:val="66EB7B2A"/>
    <w:rsid w:val="67201A8D"/>
    <w:rsid w:val="673E0C66"/>
    <w:rsid w:val="675170DC"/>
    <w:rsid w:val="675F33B7"/>
    <w:rsid w:val="67F91775"/>
    <w:rsid w:val="68103152"/>
    <w:rsid w:val="68A13DAA"/>
    <w:rsid w:val="68A25790"/>
    <w:rsid w:val="68CC52CB"/>
    <w:rsid w:val="69643755"/>
    <w:rsid w:val="69DC26B1"/>
    <w:rsid w:val="6A184540"/>
    <w:rsid w:val="6A2151A2"/>
    <w:rsid w:val="6A373075"/>
    <w:rsid w:val="6A5C61DA"/>
    <w:rsid w:val="6A665113"/>
    <w:rsid w:val="6AF74490"/>
    <w:rsid w:val="6B144E28"/>
    <w:rsid w:val="6BFF59B7"/>
    <w:rsid w:val="6C177B6C"/>
    <w:rsid w:val="6C403671"/>
    <w:rsid w:val="6C6B4DFB"/>
    <w:rsid w:val="6C6D4A58"/>
    <w:rsid w:val="6CB00AF9"/>
    <w:rsid w:val="6CCD33BF"/>
    <w:rsid w:val="6D154D66"/>
    <w:rsid w:val="6D1E49F0"/>
    <w:rsid w:val="6D905053"/>
    <w:rsid w:val="6DD469CF"/>
    <w:rsid w:val="6DF00CC4"/>
    <w:rsid w:val="6E542593"/>
    <w:rsid w:val="6E573888"/>
    <w:rsid w:val="6EA43AB0"/>
    <w:rsid w:val="6ECD3B4B"/>
    <w:rsid w:val="6ED8429D"/>
    <w:rsid w:val="6F556684"/>
    <w:rsid w:val="6F870EF5"/>
    <w:rsid w:val="6F9E54E7"/>
    <w:rsid w:val="6FDC1B6B"/>
    <w:rsid w:val="6FE3114C"/>
    <w:rsid w:val="70134ABB"/>
    <w:rsid w:val="70377E36"/>
    <w:rsid w:val="70A703CB"/>
    <w:rsid w:val="70B3479D"/>
    <w:rsid w:val="70F75741"/>
    <w:rsid w:val="712029B9"/>
    <w:rsid w:val="7174432C"/>
    <w:rsid w:val="728C5ACB"/>
    <w:rsid w:val="7298621E"/>
    <w:rsid w:val="72B76A57"/>
    <w:rsid w:val="73565C82"/>
    <w:rsid w:val="73D9089C"/>
    <w:rsid w:val="73D94D40"/>
    <w:rsid w:val="745B5217"/>
    <w:rsid w:val="747B2D8F"/>
    <w:rsid w:val="74C01E69"/>
    <w:rsid w:val="74D067FF"/>
    <w:rsid w:val="74D64461"/>
    <w:rsid w:val="74E9556B"/>
    <w:rsid w:val="755C628B"/>
    <w:rsid w:val="755E58D5"/>
    <w:rsid w:val="755F74C6"/>
    <w:rsid w:val="75995B4F"/>
    <w:rsid w:val="75E9602F"/>
    <w:rsid w:val="76036494"/>
    <w:rsid w:val="761360D7"/>
    <w:rsid w:val="762439FD"/>
    <w:rsid w:val="76277FE4"/>
    <w:rsid w:val="76312C11"/>
    <w:rsid w:val="76375D4D"/>
    <w:rsid w:val="76992E80"/>
    <w:rsid w:val="769E7490"/>
    <w:rsid w:val="76C3048F"/>
    <w:rsid w:val="76DB4984"/>
    <w:rsid w:val="76DE455C"/>
    <w:rsid w:val="77D00208"/>
    <w:rsid w:val="77D5581E"/>
    <w:rsid w:val="77D9530E"/>
    <w:rsid w:val="77F03ED5"/>
    <w:rsid w:val="77FC0FFD"/>
    <w:rsid w:val="78630157"/>
    <w:rsid w:val="78A44248"/>
    <w:rsid w:val="78BF7473"/>
    <w:rsid w:val="78C935D5"/>
    <w:rsid w:val="78C95383"/>
    <w:rsid w:val="794E57F6"/>
    <w:rsid w:val="79972073"/>
    <w:rsid w:val="79BF70EF"/>
    <w:rsid w:val="7A195E96"/>
    <w:rsid w:val="7A3E58FC"/>
    <w:rsid w:val="7A434CC1"/>
    <w:rsid w:val="7A9A058E"/>
    <w:rsid w:val="7AB6266E"/>
    <w:rsid w:val="7ADB139D"/>
    <w:rsid w:val="7B68601A"/>
    <w:rsid w:val="7B713AB0"/>
    <w:rsid w:val="7BAB3527"/>
    <w:rsid w:val="7BC13CD3"/>
    <w:rsid w:val="7BE349AD"/>
    <w:rsid w:val="7C38637B"/>
    <w:rsid w:val="7C451AD7"/>
    <w:rsid w:val="7C4C159F"/>
    <w:rsid w:val="7C857813"/>
    <w:rsid w:val="7CC935D6"/>
    <w:rsid w:val="7CF27D4C"/>
    <w:rsid w:val="7D202ADF"/>
    <w:rsid w:val="7DE25B31"/>
    <w:rsid w:val="7E1F77F3"/>
    <w:rsid w:val="7E920A44"/>
    <w:rsid w:val="7E9D2BEE"/>
    <w:rsid w:val="7F344983"/>
    <w:rsid w:val="7F361298"/>
    <w:rsid w:val="7F4E65E2"/>
    <w:rsid w:val="7F8F6BFA"/>
    <w:rsid w:val="7FA513FD"/>
    <w:rsid w:val="7FA77AA0"/>
    <w:rsid w:val="7FAC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0"/>
    <w:pPr>
      <w:keepNext/>
      <w:numPr>
        <w:ilvl w:val="0"/>
        <w:numId w:val="1"/>
      </w:numPr>
      <w:jc w:val="center"/>
      <w:outlineLvl w:val="0"/>
    </w:pPr>
    <w:rPr>
      <w:rFonts w:eastAsia="黑体"/>
      <w:b/>
      <w:sz w:val="32"/>
      <w:szCs w:val="20"/>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oc 1"/>
    <w:basedOn w:val="3"/>
    <w:next w:val="1"/>
    <w:unhideWhenUsed/>
    <w:qFormat/>
    <w:uiPriority w:val="39"/>
  </w:style>
  <w:style w:type="paragraph" w:styleId="3">
    <w:name w:val="index 1"/>
    <w:basedOn w:val="1"/>
    <w:next w:val="1"/>
    <w:qFormat/>
    <w:uiPriority w:val="0"/>
    <w:pPr>
      <w:spacing w:line="220" w:lineRule="exact"/>
      <w:jc w:val="center"/>
    </w:pPr>
    <w:rPr>
      <w:rFonts w:ascii="仿宋_GB2312" w:eastAsia="仿宋_GB2312"/>
      <w:szCs w:val="21"/>
    </w:rPr>
  </w:style>
  <w:style w:type="paragraph" w:styleId="7">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8">
    <w:name w:val="Body Text"/>
    <w:basedOn w:val="1"/>
    <w:next w:val="1"/>
    <w:qFormat/>
    <w:uiPriority w:val="0"/>
    <w:pPr>
      <w:spacing w:after="120"/>
    </w:pPr>
  </w:style>
  <w:style w:type="paragraph" w:styleId="9">
    <w:name w:val="Body Text Indent"/>
    <w:basedOn w:val="1"/>
    <w:next w:val="1"/>
    <w:qFormat/>
    <w:uiPriority w:val="0"/>
    <w:pPr>
      <w:ind w:left="480" w:hanging="480" w:hangingChars="200"/>
    </w:pPr>
    <w:rPr>
      <w:sz w:val="24"/>
    </w:rPr>
  </w:style>
  <w:style w:type="paragraph" w:styleId="10">
    <w:name w:val="Block Text"/>
    <w:basedOn w:val="1"/>
    <w:qFormat/>
    <w:uiPriority w:val="0"/>
    <w:pPr>
      <w:spacing w:line="520" w:lineRule="exact"/>
      <w:ind w:left="540" w:leftChars="257" w:right="-514"/>
    </w:pPr>
    <w:rPr>
      <w:rFonts w:ascii="宋体" w:hAnsi="宋体"/>
      <w:sz w:val="24"/>
    </w:rPr>
  </w:style>
  <w:style w:type="paragraph" w:styleId="11">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2">
    <w:name w:val="Date"/>
    <w:basedOn w:val="1"/>
    <w:next w:val="1"/>
    <w:qFormat/>
    <w:uiPriority w:val="0"/>
    <w:pPr>
      <w:ind w:left="100" w:leftChars="2500"/>
    </w:pPr>
  </w:style>
  <w:style w:type="paragraph" w:styleId="13">
    <w:name w:val="Balloon Text"/>
    <w:basedOn w:val="1"/>
    <w:link w:val="34"/>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0"/>
    <w:pPr>
      <w:ind w:left="200" w:leftChars="200"/>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8"/>
    <w:next w:val="1"/>
    <w:qFormat/>
    <w:uiPriority w:val="0"/>
    <w:pPr>
      <w:ind w:firstLine="420" w:firstLineChars="100"/>
    </w:pPr>
    <w:rPr>
      <w:b/>
      <w:bCs/>
    </w:rPr>
  </w:style>
  <w:style w:type="paragraph" w:styleId="19">
    <w:name w:val="Body Text First Indent 2"/>
    <w:basedOn w:val="9"/>
    <w:next w:val="1"/>
    <w:qFormat/>
    <w:uiPriority w:val="0"/>
    <w:pPr>
      <w:spacing w:after="120"/>
      <w:ind w:left="420" w:leftChars="200" w:firstLine="420"/>
    </w:pPr>
    <w:rPr>
      <w:rFonts w:cs="宋体"/>
      <w:sz w:val="21"/>
      <w:szCs w:val="21"/>
    </w:rPr>
  </w:style>
  <w:style w:type="table" w:styleId="21">
    <w:name w:val="Table Grid"/>
    <w:basedOn w:val="20"/>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5">
    <w:name w:val="标题 1 字符"/>
    <w:link w:val="4"/>
    <w:qFormat/>
    <w:uiPriority w:val="0"/>
    <w:rPr>
      <w:rFonts w:eastAsia="黑体"/>
      <w:b/>
      <w:sz w:val="32"/>
      <w:szCs w:val="20"/>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保留正文"/>
    <w:basedOn w:val="8"/>
    <w:qFormat/>
    <w:uiPriority w:val="0"/>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Cs w:val="21"/>
      <w:lang w:eastAsia="en-US"/>
    </w:rPr>
  </w:style>
  <w:style w:type="paragraph" w:customStyle="1" w:styleId="30">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 w:type="paragraph" w:customStyle="1" w:styleId="31">
    <w:name w:val="列出段落1"/>
    <w:basedOn w:val="1"/>
    <w:qFormat/>
    <w:uiPriority w:val="0"/>
    <w:pPr>
      <w:ind w:firstLine="420" w:firstLineChars="200"/>
    </w:pPr>
    <w:rPr>
      <w:szCs w:val="21"/>
    </w:rPr>
  </w:style>
  <w:style w:type="paragraph" w:customStyle="1" w:styleId="32">
    <w:name w:val="_Style 101"/>
    <w:basedOn w:val="9"/>
    <w:next w:val="19"/>
    <w:autoRedefine/>
    <w:qFormat/>
    <w:uiPriority w:val="0"/>
    <w:pPr>
      <w:ind w:firstLine="420" w:firstLineChars="200"/>
    </w:pPr>
  </w:style>
  <w:style w:type="character" w:customStyle="1" w:styleId="33">
    <w:name w:val="font01"/>
    <w:basedOn w:val="22"/>
    <w:qFormat/>
    <w:uiPriority w:val="0"/>
    <w:rPr>
      <w:rFonts w:hint="eastAsia" w:ascii="宋体" w:hAnsi="宋体" w:eastAsia="宋体" w:cs="宋体"/>
      <w:color w:val="000000"/>
      <w:sz w:val="24"/>
      <w:szCs w:val="24"/>
      <w:u w:val="none"/>
    </w:rPr>
  </w:style>
  <w:style w:type="character" w:customStyle="1" w:styleId="34">
    <w:name w:val="批注框文本 字符"/>
    <w:basedOn w:val="22"/>
    <w:link w:val="1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738</Words>
  <Characters>828</Characters>
  <Lines>72</Lines>
  <Paragraphs>20</Paragraphs>
  <TotalTime>126</TotalTime>
  <ScaleCrop>false</ScaleCrop>
  <LinksUpToDate>false</LinksUpToDate>
  <CharactersWithSpaces>969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2025-08-15T06:04:00Z</dcterms:created>
  <dc:creator>丶梦里寻她千百度ミ</dc:creator>
  <cp:lastModifiedBy>朱冯</cp:lastModifiedBy>
  <cp:lastPrinted>2025-08-07T02:03:00Z</cp:lastPrinted>
  <dcterms:modified xsi:type="dcterms:W3CDTF">2025-09-10T02:22:28Z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36FFDA6DB7C24AEB956F672CFE5F7C63_13</vt:lpwstr>
  </property>
  <property fmtid="{D5CDD505-2E9C-101B-9397-08002B2CF9AE}" pid="4" name="commondata">
    <vt:lpwstr>eyJoZGlkIjoiMjdiOGY2Yjk4NjAzM2M5OTU2Y2MxNTk1YmNlMjFjYWQifQ==</vt:lpwstr>
  </property>
  <property fmtid="{D5CDD505-2E9C-101B-9397-08002B2CF9AE}" pid="5" name="KSOTemplateDocerSaveRecord">
    <vt:lpwstr>eyJoZGlkIjoiMzQ1NWE4MzgzMzNiMjhmZmMxMDNlZjM0NGE0Mjk3N2MiLCJ1c2VySWQiOiIxNjI5OTU5MzQxIn0=</vt:lpwstr>
  </property>
</Properties>
</file>