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ind w:firstLine="1140" w:firstLineChars="300"/>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val="en-US" w:eastAsia="zh-CN"/>
        </w:rPr>
      </w:pPr>
      <w:r>
        <w:rPr>
          <w:rFonts w:hint="eastAsia" w:ascii="宋体" w:hAnsi="宋体" w:eastAsia="宋体" w:cs="宋体"/>
          <w:b/>
          <w:bCs/>
          <w:spacing w:val="40"/>
          <w:sz w:val="32"/>
          <w:szCs w:val="32"/>
          <w:highlight w:val="none"/>
        </w:rPr>
        <w:t>项目名称：</w:t>
      </w:r>
      <w:r>
        <w:rPr>
          <w:rFonts w:hint="eastAsia" w:ascii="宋体" w:hAnsi="宋体" w:cs="宋体"/>
          <w:b/>
          <w:bCs/>
          <w:spacing w:val="40"/>
          <w:sz w:val="32"/>
          <w:szCs w:val="32"/>
          <w:highlight w:val="none"/>
          <w:lang w:eastAsia="zh-CN"/>
        </w:rPr>
        <w:t>非强检设备计量检测服务</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五</w:t>
      </w:r>
      <w:r>
        <w:rPr>
          <w:rFonts w:hint="eastAsia" w:ascii="新宋体" w:hAnsi="新宋体" w:eastAsia="新宋体"/>
          <w:b/>
          <w:bCs/>
          <w:spacing w:val="40"/>
          <w:sz w:val="32"/>
          <w:szCs w:val="28"/>
          <w:highlight w:val="none"/>
        </w:rPr>
        <w:t>年</w:t>
      </w:r>
      <w:r>
        <w:rPr>
          <w:rFonts w:hint="eastAsia" w:ascii="新宋体" w:hAnsi="新宋体" w:eastAsia="新宋体"/>
          <w:b/>
          <w:bCs/>
          <w:spacing w:val="40"/>
          <w:sz w:val="32"/>
          <w:szCs w:val="28"/>
          <w:highlight w:val="none"/>
          <w:lang w:val="en-US" w:eastAsia="zh-CN"/>
        </w:rPr>
        <w:t>十二</w:t>
      </w:r>
      <w:r>
        <w:rPr>
          <w:rFonts w:hint="eastAsia" w:ascii="新宋体" w:hAnsi="新宋体" w:eastAsia="新宋体"/>
          <w:b/>
          <w:bCs/>
          <w:spacing w:val="40"/>
          <w:sz w:val="32"/>
          <w:szCs w:val="28"/>
          <w:highlight w:val="none"/>
        </w:rPr>
        <w:t>月</w:t>
      </w:r>
    </w:p>
    <w:p w14:paraId="040CEC2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23805B33">
      <w:pPr>
        <w:pStyle w:val="8"/>
        <w:rPr>
          <w:rFonts w:hint="eastAsia" w:ascii="新宋体" w:hAnsi="新宋体" w:eastAsia="新宋体"/>
          <w:spacing w:val="30"/>
          <w:sz w:val="30"/>
          <w:highlight w:val="none"/>
        </w:rPr>
      </w:pPr>
    </w:p>
    <w:p w14:paraId="7C6EA153">
      <w:pPr>
        <w:rPr>
          <w:rFonts w:hint="eastAsia"/>
        </w:rPr>
      </w:pPr>
    </w:p>
    <w:p w14:paraId="4DB5B5CD">
      <w:pPr>
        <w:pStyle w:val="5"/>
        <w:numPr>
          <w:ilvl w:val="0"/>
          <w:numId w:val="0"/>
        </w:numPr>
        <w:ind w:leftChars="0"/>
        <w:jc w:val="center"/>
        <w:rPr>
          <w:rFonts w:hint="eastAsia" w:ascii="宋体" w:hAnsi="宋体" w:eastAsia="宋体" w:cs="宋体"/>
          <w:b/>
          <w:bCs w:val="0"/>
          <w:color w:val="000000"/>
          <w:sz w:val="36"/>
          <w:szCs w:val="21"/>
          <w:highlight w:val="none"/>
          <w:lang w:eastAsia="zh-CN"/>
        </w:rPr>
      </w:pPr>
      <w:r>
        <w:rPr>
          <w:rFonts w:hint="eastAsia" w:ascii="宋体" w:hAnsi="宋体" w:eastAsia="宋体" w:cs="宋体"/>
          <w:b/>
          <w:bCs w:val="0"/>
          <w:color w:val="000000"/>
          <w:sz w:val="36"/>
          <w:szCs w:val="21"/>
          <w:highlight w:val="none"/>
          <w:lang w:eastAsia="zh-CN"/>
        </w:rPr>
        <w:t>第一章</w:t>
      </w:r>
      <w:r>
        <w:rPr>
          <w:rFonts w:hint="eastAsia" w:ascii="宋体" w:hAnsi="宋体" w:eastAsia="宋体" w:cs="宋体"/>
          <w:b/>
          <w:bCs w:val="0"/>
          <w:color w:val="000000"/>
          <w:sz w:val="36"/>
          <w:szCs w:val="21"/>
          <w:highlight w:val="none"/>
          <w:lang w:val="en-US" w:eastAsia="zh-CN"/>
        </w:rPr>
        <w:t xml:space="preserve"> </w:t>
      </w:r>
      <w:r>
        <w:rPr>
          <w:rFonts w:hint="eastAsia" w:ascii="宋体" w:hAnsi="宋体" w:eastAsia="宋体" w:cs="宋体"/>
          <w:b/>
          <w:bCs w:val="0"/>
          <w:color w:val="000000"/>
          <w:sz w:val="36"/>
          <w:szCs w:val="21"/>
          <w:highlight w:val="none"/>
          <w:lang w:eastAsia="zh-CN"/>
        </w:rPr>
        <w:t>招标公告</w:t>
      </w:r>
    </w:p>
    <w:p w14:paraId="5E06E255">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lang w:val="en-US" w:eastAsia="zh-CN"/>
        </w:rPr>
      </w:pPr>
    </w:p>
    <w:p w14:paraId="05905AF2">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现对温州市第七人民医院</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非强检设备计量检测服务</w:t>
      </w:r>
      <w:r>
        <w:rPr>
          <w:rFonts w:hint="eastAsia" w:cs="宋体"/>
          <w:color w:val="000000"/>
          <w:sz w:val="24"/>
          <w:szCs w:val="24"/>
          <w:highlight w:val="none"/>
          <w:u w:val="single"/>
          <w:lang w:val="en-US" w:eastAsia="zh-CN"/>
        </w:rPr>
        <w:t xml:space="preserve">项目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非强检设备计量检测服务</w:t>
      </w:r>
      <w:r>
        <w:rPr>
          <w:rFonts w:hint="eastAsia" w:cs="宋体"/>
          <w:color w:val="000000"/>
          <w:sz w:val="24"/>
          <w:szCs w:val="24"/>
          <w:highlight w:val="none"/>
          <w:u w:val="single"/>
          <w:lang w:val="en-US" w:eastAsia="zh-CN"/>
        </w:rPr>
        <w:t xml:space="preserve">项目  </w:t>
      </w:r>
    </w:p>
    <w:p w14:paraId="56294008">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Theme="majorEastAsia" w:hAnsiTheme="majorEastAsia" w:eastAsiaTheme="majorEastAsia" w:cstheme="majorEastAsia"/>
          <w:sz w:val="24"/>
          <w:szCs w:val="24"/>
          <w:highlight w:val="none"/>
          <w:u w:val="singl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45000</w:t>
      </w:r>
      <w:r>
        <w:rPr>
          <w:rFonts w:hint="eastAsia" w:ascii="宋体" w:hAnsi="宋体" w:eastAsia="宋体" w:cs="宋体"/>
          <w:color w:val="000000"/>
          <w:sz w:val="24"/>
          <w:szCs w:val="24"/>
          <w:highlight w:val="none"/>
          <w:u w:val="single"/>
          <w:lang w:eastAsia="zh-CN"/>
        </w:rPr>
        <w:t>元</w:t>
      </w:r>
      <w:r>
        <w:rPr>
          <w:rFonts w:hint="eastAsia" w:ascii="宋体" w:hAnsi="宋体" w:eastAsia="宋体" w:cs="宋体"/>
          <w:color w:val="000000"/>
          <w:sz w:val="24"/>
          <w:szCs w:val="24"/>
          <w:highlight w:val="none"/>
          <w:u w:val="single"/>
          <w:lang w:val="en-US" w:eastAsia="zh-CN"/>
        </w:rPr>
        <w:t xml:space="preserve">  </w:t>
      </w:r>
    </w:p>
    <w:p w14:paraId="4657398D">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Theme="majorEastAsia" w:hAnsiTheme="majorEastAsia" w:eastAsiaTheme="majorEastAsia" w:cstheme="majorEastAsia"/>
          <w:sz w:val="24"/>
          <w:szCs w:val="24"/>
          <w:highlight w:val="none"/>
          <w:u w:val="single"/>
          <w:lang w:val="en-US" w:eastAsia="zh-CN"/>
        </w:rPr>
      </w:pPr>
      <w:r>
        <w:rPr>
          <w:rFonts w:hint="default" w:asciiTheme="majorEastAsia" w:hAnsiTheme="majorEastAsia" w:eastAsiaTheme="majorEastAsia" w:cstheme="majorEastAsia"/>
          <w:sz w:val="24"/>
          <w:szCs w:val="24"/>
          <w:highlight w:val="none"/>
          <w:u w:val="none"/>
          <w:lang w:val="en-US" w:eastAsia="zh-CN"/>
        </w:rPr>
        <w:t>服务期限：</w:t>
      </w:r>
      <w:r>
        <w:rPr>
          <w:rFonts w:hint="eastAsia" w:asciiTheme="majorEastAsia" w:hAnsiTheme="majorEastAsia" w:eastAsiaTheme="majorEastAsia" w:cstheme="majorEastAsia"/>
          <w:sz w:val="24"/>
          <w:szCs w:val="24"/>
          <w:highlight w:val="none"/>
          <w:u w:val="single"/>
          <w:lang w:val="en-US" w:eastAsia="zh-CN"/>
        </w:rPr>
        <w:t xml:space="preserve">  1</w:t>
      </w:r>
      <w:r>
        <w:rPr>
          <w:rFonts w:hint="default" w:asciiTheme="majorEastAsia" w:hAnsiTheme="majorEastAsia" w:eastAsiaTheme="majorEastAsia" w:cstheme="majorEastAsia"/>
          <w:sz w:val="24"/>
          <w:szCs w:val="24"/>
          <w:highlight w:val="none"/>
          <w:u w:val="single"/>
          <w:lang w:val="en-US" w:eastAsia="zh-CN"/>
        </w:rPr>
        <w:t>年</w:t>
      </w:r>
    </w:p>
    <w:p w14:paraId="6755F16B">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cs="宋体"/>
          <w:color w:val="000000"/>
          <w:sz w:val="24"/>
          <w:szCs w:val="24"/>
          <w:highlight w:val="none"/>
          <w:lang w:eastAsia="zh-CN"/>
        </w:rPr>
        <w:t>第二章</w:t>
      </w:r>
      <w:r>
        <w:rPr>
          <w:rFonts w:hint="eastAsia" w:cs="宋体"/>
          <w:color w:val="000000"/>
          <w:sz w:val="24"/>
          <w:szCs w:val="24"/>
          <w:highlight w:val="none"/>
          <w:lang w:val="en-US" w:eastAsia="zh-CN"/>
        </w:rPr>
        <w:t>《</w:t>
      </w:r>
      <w:r>
        <w:rPr>
          <w:rFonts w:hint="eastAsia" w:cs="宋体"/>
          <w:color w:val="000000"/>
          <w:sz w:val="24"/>
          <w:szCs w:val="24"/>
          <w:highlight w:val="none"/>
          <w:lang w:eastAsia="zh-CN"/>
        </w:rPr>
        <w:t>采购</w:t>
      </w:r>
      <w:r>
        <w:rPr>
          <w:rFonts w:hint="eastAsia" w:ascii="宋体" w:hAnsi="宋体" w:eastAsia="宋体" w:cs="宋体"/>
          <w:color w:val="000000"/>
          <w:sz w:val="24"/>
          <w:szCs w:val="24"/>
          <w:highlight w:val="none"/>
        </w:rPr>
        <w:t>内容及要求</w:t>
      </w:r>
      <w:r>
        <w:rPr>
          <w:rFonts w:hint="eastAsia" w:cs="宋体"/>
          <w:color w:val="000000"/>
          <w:sz w:val="24"/>
          <w:szCs w:val="24"/>
          <w:highlight w:val="none"/>
          <w:lang w:eastAsia="zh-CN"/>
        </w:rPr>
        <w:t>》</w:t>
      </w:r>
    </w:p>
    <w:p w14:paraId="1E34EE5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3"/>
          <w:rFonts w:hint="eastAsia" w:ascii="宋体" w:hAnsi="宋体" w:eastAsia="宋体" w:cs="宋体"/>
          <w:color w:val="000000"/>
          <w:sz w:val="24"/>
          <w:szCs w:val="24"/>
          <w:highlight w:val="none"/>
          <w:shd w:val="clear" w:color="auto" w:fill="FFFFFF"/>
        </w:rPr>
      </w:pPr>
      <w:r>
        <w:rPr>
          <w:rStyle w:val="23"/>
          <w:rFonts w:hint="eastAsia" w:ascii="宋体" w:hAnsi="宋体" w:eastAsia="宋体" w:cs="宋体"/>
          <w:color w:val="000000"/>
          <w:sz w:val="24"/>
          <w:szCs w:val="24"/>
          <w:highlight w:val="none"/>
          <w:shd w:val="clear" w:color="auto" w:fill="FFFFFF"/>
        </w:rPr>
        <w:t>投标人报价不得超过</w:t>
      </w:r>
      <w:r>
        <w:rPr>
          <w:rStyle w:val="23"/>
          <w:rFonts w:hint="eastAsia" w:ascii="宋体" w:hAnsi="宋体" w:eastAsia="宋体" w:cs="宋体"/>
          <w:color w:val="000000"/>
          <w:sz w:val="24"/>
          <w:szCs w:val="24"/>
          <w:highlight w:val="none"/>
          <w:shd w:val="clear" w:color="auto" w:fill="FFFFFF"/>
          <w:lang w:eastAsia="zh-CN"/>
        </w:rPr>
        <w:t>最高限价</w:t>
      </w:r>
      <w:r>
        <w:rPr>
          <w:rStyle w:val="23"/>
          <w:rFonts w:hint="eastAsia" w:ascii="宋体" w:hAnsi="宋体" w:eastAsia="宋体" w:cs="宋体"/>
          <w:color w:val="000000"/>
          <w:sz w:val="24"/>
          <w:szCs w:val="24"/>
          <w:highlight w:val="none"/>
          <w:shd w:val="clear" w:color="auto" w:fill="FFFFFF"/>
        </w:rPr>
        <w:t>金额，否则当无效标处理。</w:t>
      </w:r>
    </w:p>
    <w:p w14:paraId="4E89FF6D">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符合《中华人民共和国政府采购法》第二十二条的规定：</w:t>
      </w:r>
    </w:p>
    <w:p w14:paraId="5929D504">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03260E8">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（2）法定代表人授权书及身份证复印件、投标人代表有效身份证件原件及复印件、企业营业执照复印件（以上均需加盖公章）；</w:t>
      </w:r>
    </w:p>
    <w:p w14:paraId="5A1E170C">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color w:val="000000"/>
          <w:kern w:val="0"/>
          <w:szCs w:val="21"/>
          <w:highlight w:val="none"/>
          <w:lang w:eastAsia="zh-CN"/>
        </w:rPr>
      </w:pPr>
      <w:r>
        <w:rPr>
          <w:rFonts w:hint="eastAsia"/>
          <w:szCs w:val="21"/>
          <w:highlight w:val="none"/>
          <w:lang w:val="en-US" w:eastAsia="zh-CN"/>
        </w:rPr>
        <w:t>2.具有</w:t>
      </w:r>
      <w:r>
        <w:rPr>
          <w:rFonts w:hint="eastAsia"/>
          <w:szCs w:val="21"/>
          <w:highlight w:val="none"/>
        </w:rPr>
        <w:t>有效的</w:t>
      </w:r>
      <w:r>
        <w:rPr>
          <w:rFonts w:hint="eastAsia" w:ascii="宋体" w:hAnsi="宋体" w:cs="宋体"/>
          <w:color w:val="000000"/>
          <w:kern w:val="0"/>
          <w:szCs w:val="21"/>
          <w:highlight w:val="none"/>
        </w:rPr>
        <w:t>检验检测机构资质认定证书</w:t>
      </w:r>
      <w:r>
        <w:rPr>
          <w:rFonts w:hint="eastAsia" w:cs="宋体"/>
          <w:color w:val="000000"/>
          <w:kern w:val="0"/>
          <w:szCs w:val="21"/>
          <w:highlight w:val="none"/>
          <w:lang w:eastAsia="zh-CN"/>
        </w:rPr>
        <w:t>；</w:t>
      </w:r>
    </w:p>
    <w:p w14:paraId="1434DC59">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投标供应商必须是在中华人民共和国境内注册的具有法人资格的机构或其它组织，具有从事本项目的经营范围、资质和能力；</w:t>
      </w:r>
    </w:p>
    <w:p w14:paraId="15DD764B">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rPr>
        <w:t>.本项目不接受联合体投标；</w:t>
      </w:r>
    </w:p>
    <w:p w14:paraId="09D57A7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1．报名时间：202</w:t>
      </w:r>
      <w:r>
        <w:rPr>
          <w:rFonts w:hint="eastAsia" w:cs="宋体"/>
          <w:i w:val="0"/>
          <w:iCs w:val="0"/>
          <w:caps w:val="0"/>
          <w:color w:val="000000"/>
          <w:spacing w:val="0"/>
          <w:sz w:val="24"/>
          <w:szCs w:val="24"/>
          <w:highlight w:val="none"/>
          <w:shd w:val="clear" w:color="auto" w:fill="FFFFFF"/>
          <w:lang w:val="en-US" w:eastAsia="zh-CN"/>
        </w:rPr>
        <w:t>5</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12</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12</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5</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12</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18</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9</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00</w:t>
      </w:r>
      <w:r>
        <w:rPr>
          <w:rFonts w:hint="default" w:ascii="宋体" w:hAnsi="宋体" w:eastAsia="宋体" w:cs="宋体"/>
          <w:i w:val="0"/>
          <w:iCs w:val="0"/>
          <w:caps w:val="0"/>
          <w:color w:val="000000"/>
          <w:spacing w:val="0"/>
          <w:sz w:val="24"/>
          <w:szCs w:val="24"/>
          <w:highlight w:val="none"/>
          <w:shd w:val="clear" w:color="auto" w:fill="FFFFFF"/>
        </w:rPr>
        <w:t>时（上午：8:10-11:40；下午：1:00-4:30、双休日不接收）。</w:t>
      </w:r>
    </w:p>
    <w:p w14:paraId="7D03B432">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2．联系人：</w:t>
      </w:r>
      <w:r>
        <w:rPr>
          <w:rFonts w:hint="eastAsia" w:cs="宋体"/>
          <w:i w:val="0"/>
          <w:iCs w:val="0"/>
          <w:caps w:val="0"/>
          <w:color w:val="000000"/>
          <w:spacing w:val="0"/>
          <w:sz w:val="24"/>
          <w:szCs w:val="24"/>
          <w:highlight w:val="none"/>
          <w:shd w:val="clear" w:color="auto" w:fill="FFFFFF"/>
          <w:lang w:eastAsia="zh-CN"/>
        </w:rPr>
        <w:t>王老师</w:t>
      </w:r>
      <w:r>
        <w:rPr>
          <w:rFonts w:hint="default" w:ascii="宋体" w:hAnsi="宋体" w:eastAsia="宋体" w:cs="宋体"/>
          <w:i w:val="0"/>
          <w:iCs w:val="0"/>
          <w:caps w:val="0"/>
          <w:color w:val="000000"/>
          <w:spacing w:val="0"/>
          <w:sz w:val="24"/>
          <w:szCs w:val="24"/>
          <w:highlight w:val="none"/>
          <w:shd w:val="clear" w:color="auto" w:fill="FFFFFF"/>
        </w:rPr>
        <w:t>      </w:t>
      </w:r>
    </w:p>
    <w:p w14:paraId="34AB2AF6">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686AD37">
      <w:pPr>
        <w:pStyle w:val="18"/>
        <w:shd w:val="clear" w:color="auto" w:fill="FFFFFF"/>
        <w:adjustRightInd w:val="0"/>
        <w:snapToGrid w:val="0"/>
        <w:spacing w:before="0" w:beforeAutospacing="0" w:after="0" w:afterAutospacing="0" w:line="400" w:lineRule="exact"/>
        <w:ind w:firstLine="480" w:firstLineChars="200"/>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cs="宋体"/>
          <w:i w:val="0"/>
          <w:iCs w:val="0"/>
          <w:caps w:val="0"/>
          <w:color w:val="000000"/>
          <w:spacing w:val="0"/>
          <w:sz w:val="24"/>
          <w:szCs w:val="24"/>
          <w:highlight w:val="none"/>
          <w:shd w:val="clear" w:color="auto" w:fill="FFFFFF"/>
          <w:lang w:val="en-US" w:eastAsia="zh-CN"/>
        </w:rPr>
        <w:t>3.</w:t>
      </w:r>
      <w:r>
        <w:rPr>
          <w:color w:val="000000"/>
          <w:shd w:val="clear" w:color="auto" w:fill="FFFFFF"/>
        </w:rPr>
        <w:t>本次比选不适用《招标投标法》和《中华人民共和国政府采购法》，并且</w:t>
      </w:r>
      <w:r>
        <w:rPr>
          <w:rFonts w:hint="eastAsia"/>
          <w:color w:val="000000"/>
          <w:shd w:val="clear" w:color="auto" w:fill="FFFFFF"/>
        </w:rPr>
        <w:t>本单位</w:t>
      </w:r>
      <w:r>
        <w:rPr>
          <w:color w:val="000000"/>
          <w:shd w:val="clear" w:color="auto" w:fill="FFFFFF"/>
        </w:rPr>
        <w:t>保留对本</w:t>
      </w:r>
      <w:r>
        <w:rPr>
          <w:rFonts w:hint="eastAsia"/>
          <w:color w:val="000000"/>
          <w:shd w:val="clear" w:color="auto" w:fill="FFFFFF"/>
        </w:rPr>
        <w:t>公告</w:t>
      </w:r>
      <w:r>
        <w:rPr>
          <w:color w:val="000000"/>
          <w:shd w:val="clear" w:color="auto" w:fill="FFFFFF"/>
        </w:rPr>
        <w:t>及比选文件的解释权。</w:t>
      </w:r>
      <w:r>
        <w:rPr>
          <w:rFonts w:hint="eastAsia"/>
          <w:color w:val="000000"/>
          <w:shd w:val="clear" w:color="auto" w:fill="FFFFFF"/>
        </w:rPr>
        <w:t>本单位</w:t>
      </w:r>
      <w:r>
        <w:rPr>
          <w:color w:val="000000"/>
          <w:shd w:val="clear" w:color="auto" w:fill="FFFFFF"/>
        </w:rPr>
        <w:t>保留撤回/取消本</w:t>
      </w:r>
      <w:r>
        <w:rPr>
          <w:rFonts w:hint="eastAsia"/>
          <w:color w:val="000000"/>
          <w:shd w:val="clear" w:color="auto" w:fill="FFFFFF"/>
        </w:rPr>
        <w:t>公告</w:t>
      </w:r>
      <w:r>
        <w:rPr>
          <w:color w:val="000000"/>
          <w:shd w:val="clear" w:color="auto" w:fill="FFFFFF"/>
        </w:rPr>
        <w:t>及比选文件的权利而无需承担任何责任。请拟参选单位审慎阅读本</w:t>
      </w:r>
      <w:r>
        <w:rPr>
          <w:rFonts w:hint="eastAsia"/>
          <w:color w:val="000000"/>
          <w:shd w:val="clear" w:color="auto" w:fill="FFFFFF"/>
        </w:rPr>
        <w:t>公告</w:t>
      </w:r>
      <w:r>
        <w:rPr>
          <w:color w:val="000000"/>
          <w:shd w:val="clear" w:color="auto" w:fill="FFFFFF"/>
        </w:rPr>
        <w:t>，若有不明之处可联系问询。</w:t>
      </w:r>
    </w:p>
    <w:p w14:paraId="79CADD8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18 </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442E61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递交地点：温州市第七人民医院潘桥院区学士前路158号</w:t>
      </w:r>
    </w:p>
    <w:p w14:paraId="718B7B6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18 </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5174915E">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p>
    <w:p w14:paraId="736BD23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、招标人：温州市第七人民医院</w:t>
      </w:r>
    </w:p>
    <w:p w14:paraId="747A145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王</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3"/>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12</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12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8"/>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8"/>
        <w:numPr>
          <w:ilvl w:val="0"/>
          <w:numId w:val="0"/>
        </w:numPr>
        <w:shd w:val="clear" w:color="auto" w:fill="FFFFFF"/>
        <w:spacing w:line="465" w:lineRule="atLeast"/>
        <w:jc w:val="center"/>
        <w:rPr>
          <w:rFonts w:hint="default" w:ascii="新宋体" w:hAnsi="新宋体" w:eastAsia="新宋体"/>
          <w:b/>
          <w:bCs/>
          <w:color w:val="5A5A5A"/>
          <w:sz w:val="23"/>
          <w:szCs w:val="23"/>
          <w:highlight w:val="none"/>
          <w:lang w:val="en-US" w:eastAsia="zh-CN"/>
        </w:rPr>
      </w:pPr>
      <w:r>
        <w:rPr>
          <w:rFonts w:hint="eastAsia" w:ascii="新宋体" w:hAnsi="新宋体" w:eastAsia="新宋体"/>
          <w:b/>
          <w:bCs/>
          <w:sz w:val="32"/>
          <w:szCs w:val="32"/>
          <w:highlight w:val="none"/>
          <w:lang w:eastAsia="zh-CN"/>
        </w:rPr>
        <w:t>第二章</w:t>
      </w:r>
      <w:r>
        <w:rPr>
          <w:rFonts w:hint="eastAsia" w:ascii="新宋体" w:hAnsi="新宋体" w:eastAsia="新宋体"/>
          <w:b/>
          <w:bCs/>
          <w:sz w:val="32"/>
          <w:szCs w:val="32"/>
          <w:highlight w:val="none"/>
          <w:lang w:val="en-US" w:eastAsia="zh-CN"/>
        </w:rPr>
        <w:t xml:space="preserve"> </w:t>
      </w:r>
      <w:r>
        <w:rPr>
          <w:rFonts w:hint="eastAsia" w:ascii="新宋体" w:hAnsi="新宋体" w:eastAsia="新宋体"/>
          <w:b/>
          <w:bCs/>
          <w:sz w:val="32"/>
          <w:szCs w:val="32"/>
          <w:highlight w:val="none"/>
          <w:lang w:eastAsia="zh-CN"/>
        </w:rPr>
        <w:t>采购</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比选内容</w:t>
      </w:r>
    </w:p>
    <w:p w14:paraId="3AB9D84C">
      <w:pPr>
        <w:spacing w:line="360" w:lineRule="auto"/>
        <w:rPr>
          <w:rFonts w:hint="eastAsia" w:ascii="宋体" w:hAnsi="宋体"/>
          <w:sz w:val="24"/>
          <w:szCs w:val="24"/>
        </w:rPr>
      </w:pPr>
      <w:r>
        <w:rPr>
          <w:rFonts w:hint="eastAsia" w:ascii="宋体" w:hAnsi="宋体"/>
          <w:sz w:val="24"/>
          <w:szCs w:val="24"/>
        </w:rPr>
        <w:t>（一）</w:t>
      </w:r>
      <w:r>
        <w:rPr>
          <w:rFonts w:hint="eastAsia" w:ascii="宋体" w:hAnsi="宋体"/>
          <w:sz w:val="24"/>
          <w:szCs w:val="24"/>
          <w:lang w:eastAsia="zh-CN"/>
        </w:rPr>
        <w:t>比选</w:t>
      </w:r>
      <w:r>
        <w:rPr>
          <w:rFonts w:hint="eastAsia" w:ascii="宋体" w:hAnsi="宋体"/>
          <w:sz w:val="24"/>
          <w:szCs w:val="24"/>
        </w:rPr>
        <w:t>单位：温州市第七人民医院</w:t>
      </w:r>
    </w:p>
    <w:p w14:paraId="04F325ED">
      <w:pPr>
        <w:spacing w:line="360" w:lineRule="auto"/>
        <w:rPr>
          <w:rFonts w:hint="eastAsia" w:ascii="宋体" w:hAnsi="宋体"/>
          <w:sz w:val="24"/>
          <w:szCs w:val="24"/>
          <w:lang w:eastAsia="zh-CN"/>
        </w:rPr>
      </w:pPr>
      <w:r>
        <w:rPr>
          <w:rFonts w:hint="eastAsia" w:ascii="宋体" w:hAnsi="宋体"/>
          <w:sz w:val="24"/>
          <w:szCs w:val="24"/>
        </w:rPr>
        <w:t>（二）项目名称：</w:t>
      </w:r>
      <w:r>
        <w:rPr>
          <w:rFonts w:hint="eastAsia" w:ascii="宋体" w:hAnsi="宋体"/>
          <w:sz w:val="24"/>
          <w:szCs w:val="24"/>
          <w:lang w:eastAsia="zh-CN"/>
        </w:rPr>
        <w:t>非强检设备计量检测服务</w:t>
      </w:r>
    </w:p>
    <w:p w14:paraId="341FDFD5">
      <w:pPr>
        <w:spacing w:line="360" w:lineRule="auto"/>
        <w:rPr>
          <w:rFonts w:hint="eastAsia" w:ascii="宋体" w:hAnsi="宋体"/>
          <w:sz w:val="24"/>
          <w:szCs w:val="24"/>
        </w:rPr>
      </w:pPr>
      <w:r>
        <w:rPr>
          <w:rFonts w:hint="eastAsia" w:ascii="宋体" w:hAnsi="宋体"/>
          <w:sz w:val="24"/>
          <w:szCs w:val="24"/>
        </w:rPr>
        <w:t>（三）预算金额：</w:t>
      </w:r>
      <w:r>
        <w:rPr>
          <w:rFonts w:hint="eastAsia" w:ascii="宋体" w:hAnsi="宋体"/>
          <w:sz w:val="24"/>
          <w:szCs w:val="24"/>
          <w:lang w:val="en-US" w:eastAsia="zh-CN"/>
        </w:rPr>
        <w:t>45000</w:t>
      </w:r>
      <w:r>
        <w:rPr>
          <w:rFonts w:hint="eastAsia" w:ascii="宋体" w:hAnsi="宋体"/>
          <w:sz w:val="24"/>
          <w:szCs w:val="24"/>
        </w:rPr>
        <w:t>元</w:t>
      </w:r>
    </w:p>
    <w:p w14:paraId="79EF5E11">
      <w:pPr>
        <w:spacing w:line="360" w:lineRule="auto"/>
        <w:rPr>
          <w:rFonts w:hint="eastAsia" w:ascii="宋体" w:hAnsi="宋体"/>
          <w:sz w:val="24"/>
          <w:szCs w:val="24"/>
          <w:lang w:eastAsia="zh-CN"/>
        </w:rPr>
      </w:pPr>
      <w:r>
        <w:rPr>
          <w:rFonts w:hint="eastAsia" w:ascii="宋体" w:hAnsi="宋体"/>
          <w:sz w:val="24"/>
          <w:szCs w:val="24"/>
        </w:rPr>
        <w:t>（四）</w:t>
      </w:r>
      <w:r>
        <w:rPr>
          <w:rFonts w:hint="eastAsia" w:ascii="宋体" w:hAnsi="宋体"/>
          <w:sz w:val="24"/>
          <w:szCs w:val="24"/>
          <w:lang w:eastAsia="zh-CN"/>
        </w:rPr>
        <w:t>服务期限</w:t>
      </w:r>
      <w:r>
        <w:rPr>
          <w:rFonts w:hint="eastAsia" w:ascii="宋体" w:hAnsi="宋体"/>
          <w:sz w:val="24"/>
          <w:szCs w:val="24"/>
        </w:rPr>
        <w:t>：</w:t>
      </w:r>
      <w:r>
        <w:rPr>
          <w:rFonts w:hint="eastAsia" w:ascii="宋体" w:hAnsi="宋体"/>
          <w:sz w:val="24"/>
          <w:szCs w:val="24"/>
          <w:lang w:val="en-US" w:eastAsia="zh-CN"/>
        </w:rPr>
        <w:t>1年</w:t>
      </w:r>
    </w:p>
    <w:p w14:paraId="16FF6F68">
      <w:pPr>
        <w:numPr>
          <w:ilvl w:val="0"/>
          <w:numId w:val="0"/>
        </w:numPr>
        <w:spacing w:line="360" w:lineRule="auto"/>
        <w:rPr>
          <w:rFonts w:hint="eastAsia" w:ascii="宋体" w:hAnsi="宋体"/>
          <w:b/>
          <w:bCs/>
          <w:sz w:val="28"/>
          <w:szCs w:val="28"/>
          <w:highlight w:val="none"/>
        </w:rPr>
      </w:pPr>
      <w:r>
        <w:rPr>
          <w:rFonts w:hint="eastAsia" w:ascii="宋体" w:hAnsi="宋体"/>
          <w:b/>
          <w:bCs/>
          <w:sz w:val="28"/>
          <w:szCs w:val="28"/>
          <w:highlight w:val="none"/>
          <w:lang w:eastAsia="zh-CN"/>
        </w:rPr>
        <w:t>二、比选技术要求</w:t>
      </w:r>
    </w:p>
    <w:p w14:paraId="4446E8E7">
      <w:pPr>
        <w:spacing w:line="360" w:lineRule="auto"/>
        <w:rPr>
          <w:rFonts w:hint="eastAsia" w:ascii="宋体" w:hAnsi="宋体" w:cs="宋体"/>
          <w:b/>
          <w:sz w:val="24"/>
          <w:szCs w:val="24"/>
        </w:rPr>
      </w:pPr>
      <w:r>
        <w:rPr>
          <w:rFonts w:ascii="宋体" w:hAnsi="宋体"/>
          <w:sz w:val="24"/>
          <w:szCs w:val="24"/>
        </w:rPr>
        <w:t xml:space="preserve">1. </w:t>
      </w:r>
      <w:r>
        <w:rPr>
          <w:rFonts w:hint="eastAsia" w:ascii="宋体" w:hAnsi="宋体"/>
          <w:sz w:val="24"/>
          <w:szCs w:val="24"/>
        </w:rPr>
        <w:t>检测设备清单（见附表</w:t>
      </w:r>
      <w:r>
        <w:rPr>
          <w:rFonts w:ascii="宋体" w:hAnsi="宋体"/>
          <w:sz w:val="24"/>
          <w:szCs w:val="24"/>
        </w:rPr>
        <w:t>1</w:t>
      </w:r>
      <w:r>
        <w:rPr>
          <w:rFonts w:hint="eastAsia" w:ascii="宋体" w:hAnsi="宋体"/>
          <w:sz w:val="24"/>
          <w:szCs w:val="24"/>
        </w:rPr>
        <w:t>）</w:t>
      </w:r>
    </w:p>
    <w:p w14:paraId="33E0EEE6">
      <w:pPr>
        <w:spacing w:line="360" w:lineRule="auto"/>
        <w:rPr>
          <w:rFonts w:ascii="宋体"/>
          <w:sz w:val="24"/>
          <w:szCs w:val="24"/>
        </w:rPr>
      </w:pPr>
      <w:r>
        <w:rPr>
          <w:rFonts w:ascii="宋体" w:hAnsi="宋体"/>
          <w:sz w:val="24"/>
          <w:szCs w:val="24"/>
        </w:rPr>
        <w:t xml:space="preserve">2. </w:t>
      </w:r>
      <w:r>
        <w:rPr>
          <w:rFonts w:hint="eastAsia" w:ascii="宋体" w:hAnsi="宋体"/>
          <w:sz w:val="24"/>
          <w:szCs w:val="24"/>
        </w:rPr>
        <w:t>具体要求：</w:t>
      </w:r>
    </w:p>
    <w:p w14:paraId="7DD9C2E2">
      <w:pPr>
        <w:spacing w:line="360" w:lineRule="auto"/>
        <w:rPr>
          <w:rFonts w:ascii="宋体" w:hAnsi="宋体"/>
          <w:sz w:val="24"/>
          <w:szCs w:val="24"/>
        </w:rPr>
      </w:pPr>
      <w:r>
        <w:rPr>
          <w:rFonts w:ascii="宋体" w:hAnsi="宋体"/>
          <w:sz w:val="24"/>
          <w:szCs w:val="24"/>
        </w:rPr>
        <w:t>2.1</w:t>
      </w:r>
      <w:r>
        <w:rPr>
          <w:rFonts w:hint="eastAsia" w:ascii="宋体" w:hAnsi="宋体"/>
          <w:sz w:val="24"/>
          <w:szCs w:val="24"/>
        </w:rPr>
        <w:t>服务内容：根据采购方需要检测的项目清单，需满足采购方项目清单中每台设备的列出的所有检定参数（见附表2）</w:t>
      </w:r>
      <w:r>
        <w:rPr>
          <w:rFonts w:hint="eastAsia" w:ascii="宋体" w:hAnsi="宋体"/>
          <w:sz w:val="24"/>
          <w:szCs w:val="24"/>
          <w:lang w:eastAsia="zh-CN"/>
        </w:rPr>
        <w:t>（需提供证明：如出具过的检测报告等有显示参考标准的文件</w:t>
      </w:r>
      <w:r>
        <w:rPr>
          <w:rFonts w:hint="eastAsia" w:ascii="宋体" w:hAnsi="宋体"/>
          <w:sz w:val="24"/>
          <w:szCs w:val="24"/>
          <w:lang w:val="en-US" w:eastAsia="zh-CN"/>
        </w:rPr>
        <w:t>等</w:t>
      </w:r>
      <w:r>
        <w:rPr>
          <w:rFonts w:hint="eastAsia" w:ascii="宋体" w:hAnsi="宋体"/>
          <w:sz w:val="24"/>
          <w:szCs w:val="24"/>
          <w:lang w:eastAsia="zh-CN"/>
        </w:rPr>
        <w:t>）</w:t>
      </w:r>
      <w:r>
        <w:rPr>
          <w:rFonts w:hint="eastAsia" w:ascii="宋体" w:hAnsi="宋体"/>
          <w:sz w:val="24"/>
          <w:szCs w:val="24"/>
        </w:rPr>
        <w:t>。</w:t>
      </w:r>
    </w:p>
    <w:p w14:paraId="2F1DEA3E">
      <w:pPr>
        <w:spacing w:line="360" w:lineRule="auto"/>
        <w:rPr>
          <w:rFonts w:ascii="宋体" w:hAnsi="宋体"/>
          <w:sz w:val="24"/>
          <w:szCs w:val="24"/>
        </w:rPr>
      </w:pPr>
      <w:r>
        <w:rPr>
          <w:rFonts w:ascii="宋体" w:hAnsi="宋体"/>
          <w:sz w:val="24"/>
          <w:szCs w:val="24"/>
        </w:rPr>
        <w:t>2.2</w:t>
      </w:r>
      <w:r>
        <w:rPr>
          <w:rFonts w:hint="eastAsia" w:ascii="宋体" w:hAnsi="宋体"/>
          <w:sz w:val="24"/>
          <w:szCs w:val="24"/>
        </w:rPr>
        <w:t>服务进度：自本合同生效之日起，分批检测服务，具体时间以招标人通知为准，招标人通知后</w:t>
      </w:r>
      <w:r>
        <w:rPr>
          <w:rFonts w:ascii="宋体" w:hAnsi="宋体"/>
          <w:sz w:val="24"/>
          <w:szCs w:val="24"/>
        </w:rPr>
        <w:t>5</w:t>
      </w:r>
      <w:r>
        <w:rPr>
          <w:rFonts w:hint="eastAsia" w:ascii="宋体" w:hAnsi="宋体"/>
          <w:sz w:val="24"/>
          <w:szCs w:val="24"/>
        </w:rPr>
        <w:t>个工作日内开展工作。</w:t>
      </w:r>
      <w:r>
        <w:rPr>
          <w:rFonts w:hint="eastAsia" w:ascii="宋体" w:hAnsi="宋体"/>
          <w:sz w:val="24"/>
          <w:szCs w:val="24"/>
          <w:highlight w:val="none"/>
        </w:rPr>
        <w:t>外包仪器校</w:t>
      </w:r>
      <w:r>
        <w:rPr>
          <w:rFonts w:hint="eastAsia" w:ascii="宋体" w:hAnsi="宋体"/>
          <w:sz w:val="24"/>
          <w:szCs w:val="24"/>
        </w:rPr>
        <w:t>准在招标人通知后</w:t>
      </w:r>
      <w:r>
        <w:rPr>
          <w:rFonts w:hint="eastAsia" w:ascii="宋体"/>
          <w:sz w:val="24"/>
          <w:szCs w:val="24"/>
          <w:u w:val="single"/>
        </w:rPr>
        <w:t>30个工作日</w:t>
      </w:r>
      <w:r>
        <w:rPr>
          <w:rFonts w:hint="eastAsia" w:ascii="宋体"/>
          <w:sz w:val="24"/>
          <w:szCs w:val="24"/>
        </w:rPr>
        <w:t>内</w:t>
      </w:r>
      <w:r>
        <w:rPr>
          <w:rFonts w:hint="eastAsia" w:ascii="宋体" w:hAnsi="宋体"/>
          <w:sz w:val="24"/>
          <w:szCs w:val="24"/>
        </w:rPr>
        <w:t>开展工作。（特殊仪器除外，由双方另行约定；强检除外）。</w:t>
      </w:r>
    </w:p>
    <w:p w14:paraId="4BE17D71">
      <w:pPr>
        <w:spacing w:line="360" w:lineRule="auto"/>
        <w:rPr>
          <w:rFonts w:ascii="宋体" w:hAnsi="宋体"/>
          <w:sz w:val="24"/>
          <w:szCs w:val="24"/>
        </w:rPr>
      </w:pPr>
      <w:r>
        <w:rPr>
          <w:rFonts w:ascii="宋体" w:hAnsi="宋体"/>
          <w:sz w:val="24"/>
          <w:szCs w:val="24"/>
        </w:rPr>
        <w:t>2.3</w:t>
      </w:r>
      <w:r>
        <w:rPr>
          <w:rFonts w:hint="eastAsia" w:ascii="宋体" w:hAnsi="宋体"/>
          <w:sz w:val="24"/>
          <w:szCs w:val="24"/>
        </w:rPr>
        <w:t>服务地点：</w:t>
      </w:r>
      <w:r>
        <w:rPr>
          <w:rFonts w:hint="eastAsia" w:ascii="宋体" w:hAnsi="宋体"/>
          <w:sz w:val="24"/>
          <w:szCs w:val="24"/>
          <w:lang w:eastAsia="zh-CN"/>
        </w:rPr>
        <w:t>温州市</w:t>
      </w:r>
      <w:r>
        <w:rPr>
          <w:rFonts w:hint="eastAsia" w:ascii="宋体" w:hAnsi="宋体"/>
          <w:sz w:val="24"/>
          <w:szCs w:val="24"/>
        </w:rPr>
        <w:t>第七人民医院指定地点。</w:t>
      </w:r>
    </w:p>
    <w:p w14:paraId="2D619671">
      <w:pPr>
        <w:spacing w:line="360" w:lineRule="auto"/>
        <w:rPr>
          <w:rFonts w:hint="eastAsia" w:ascii="宋体" w:hAnsi="宋体"/>
          <w:sz w:val="24"/>
          <w:szCs w:val="24"/>
        </w:rPr>
      </w:pPr>
      <w:r>
        <w:rPr>
          <w:rFonts w:ascii="宋体" w:hAnsi="宋体"/>
          <w:sz w:val="24"/>
          <w:szCs w:val="24"/>
        </w:rPr>
        <w:t>2.4</w:t>
      </w:r>
      <w:r>
        <w:rPr>
          <w:rFonts w:hint="eastAsia" w:ascii="宋体" w:hAnsi="宋体"/>
          <w:sz w:val="24"/>
          <w:szCs w:val="24"/>
        </w:rPr>
        <w:t>项目负责人：投标时提供项目总负责人及联系方式。</w:t>
      </w:r>
    </w:p>
    <w:p w14:paraId="0ED77A9D">
      <w:pPr>
        <w:spacing w:line="360" w:lineRule="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做好计量检测报告的电子化处理和分类提交医院归档工作。</w:t>
      </w:r>
    </w:p>
    <w:p w14:paraId="56A019B5">
      <w:pPr>
        <w:spacing w:line="360" w:lineRule="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根据各类计量设备检测结果，定期向医院提交分析报告或建议，促进医院计量设备的科学化管理。</w:t>
      </w:r>
    </w:p>
    <w:p w14:paraId="66FACE37">
      <w:pPr>
        <w:spacing w:line="360" w:lineRule="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及时向医院提供国家、省、市关于计量、特种设备的管理政策的变化指引，做好对操作人员的每季安全培训及记录、做好月度自查及记录、组织应急演练及总结等工作。</w:t>
      </w:r>
    </w:p>
    <w:p w14:paraId="332F8072">
      <w:pPr>
        <w:spacing w:line="360" w:lineRule="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应指派有相关资质技术人员，协助医院开展上述工作和医院相关人员的其它管理工作。</w:t>
      </w:r>
    </w:p>
    <w:p w14:paraId="50605A1D">
      <w:pPr>
        <w:spacing w:line="360" w:lineRule="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9</w:t>
      </w:r>
      <w:r>
        <w:rPr>
          <w:rFonts w:hint="eastAsia" w:ascii="宋体" w:hAnsi="宋体"/>
          <w:sz w:val="24"/>
          <w:szCs w:val="24"/>
        </w:rPr>
        <w:t>能够根据需要（厂家委托），接受我院新购置设备验收前的计量检测工作。</w:t>
      </w:r>
    </w:p>
    <w:p w14:paraId="421C7567">
      <w:pPr>
        <w:spacing w:line="360" w:lineRule="auto"/>
        <w:rPr>
          <w:rFonts w:hint="eastAsia" w:ascii="宋体" w:hAnsi="宋体"/>
          <w:sz w:val="24"/>
          <w:szCs w:val="24"/>
        </w:rPr>
      </w:pPr>
      <w:r>
        <w:rPr>
          <w:rFonts w:ascii="Times New Roman" w:hAnsi="Times New Roman"/>
          <w:sz w:val="24"/>
          <w:szCs w:val="24"/>
        </w:rPr>
        <w:t>▲</w:t>
      </w:r>
      <w:r>
        <w:rPr>
          <w:rFonts w:hint="eastAsia" w:ascii="宋体" w:hAnsi="宋体"/>
          <w:sz w:val="24"/>
          <w:szCs w:val="24"/>
        </w:rPr>
        <w:t>2.</w:t>
      </w:r>
      <w:r>
        <w:rPr>
          <w:rFonts w:hint="eastAsia" w:ascii="宋体" w:hAnsi="宋体"/>
          <w:sz w:val="24"/>
          <w:szCs w:val="24"/>
          <w:lang w:val="en-US" w:eastAsia="zh-CN"/>
        </w:rPr>
        <w:t>10</w:t>
      </w:r>
      <w:r>
        <w:rPr>
          <w:rFonts w:hint="eastAsia" w:ascii="宋体" w:hAnsi="宋体"/>
          <w:sz w:val="24"/>
          <w:szCs w:val="24"/>
        </w:rPr>
        <w:t>检测不合格的设备不收取费用。维修后再次检</w:t>
      </w:r>
      <w:r>
        <w:rPr>
          <w:rFonts w:hint="eastAsia" w:ascii="宋体" w:hAnsi="宋体"/>
          <w:sz w:val="24"/>
          <w:szCs w:val="24"/>
          <w:lang w:eastAsia="zh-CN"/>
        </w:rPr>
        <w:t>测</w:t>
      </w:r>
      <w:r>
        <w:rPr>
          <w:rFonts w:hint="eastAsia" w:ascii="宋体" w:hAnsi="宋体"/>
          <w:sz w:val="24"/>
          <w:szCs w:val="24"/>
        </w:rPr>
        <w:t>，合格后可结算费用。</w:t>
      </w:r>
    </w:p>
    <w:p w14:paraId="5A426E04">
      <w:pPr>
        <w:spacing w:line="360" w:lineRule="auto"/>
        <w:rPr>
          <w:rFonts w:hint="eastAsia" w:ascii="宋体" w:hAnsi="宋体"/>
          <w:sz w:val="24"/>
          <w:szCs w:val="24"/>
        </w:rPr>
      </w:pPr>
    </w:p>
    <w:p w14:paraId="321AF230">
      <w:pPr>
        <w:spacing w:line="360" w:lineRule="auto"/>
        <w:rPr>
          <w:rFonts w:ascii="宋体" w:hAnsi="宋体" w:cs="宋体"/>
          <w:b/>
          <w:sz w:val="24"/>
          <w:szCs w:val="24"/>
        </w:rPr>
      </w:pPr>
      <w:r>
        <w:rPr>
          <w:rFonts w:hint="eastAsia" w:ascii="宋体" w:hAnsi="宋体" w:cs="宋体"/>
          <w:b/>
          <w:sz w:val="24"/>
          <w:szCs w:val="24"/>
        </w:rPr>
        <w:t>三、商务要求</w:t>
      </w:r>
    </w:p>
    <w:p w14:paraId="4147B1FA">
      <w:pPr>
        <w:adjustRightInd w:val="0"/>
        <w:snapToGrid w:val="0"/>
        <w:spacing w:line="360" w:lineRule="auto"/>
        <w:ind w:firstLine="480" w:firstLineChars="200"/>
        <w:rPr>
          <w:rFonts w:hint="eastAsia" w:ascii="宋体" w:hAnsi="宋体"/>
          <w:color w:val="auto"/>
          <w:sz w:val="24"/>
          <w:szCs w:val="24"/>
          <w:highlight w:val="none"/>
        </w:rPr>
      </w:pPr>
      <w:r>
        <w:rPr>
          <w:rFonts w:ascii="Times New Roman" w:hAnsi="Times New Roman"/>
          <w:sz w:val="24"/>
          <w:szCs w:val="24"/>
        </w:rPr>
        <w:t>▲</w:t>
      </w:r>
      <w:r>
        <w:rPr>
          <w:rFonts w:hint="eastAsia" w:ascii="宋体" w:hAnsi="宋体"/>
          <w:color w:val="auto"/>
          <w:sz w:val="24"/>
          <w:szCs w:val="24"/>
          <w:highlight w:val="none"/>
        </w:rPr>
        <w:t xml:space="preserve">1. </w:t>
      </w:r>
      <w:r>
        <w:rPr>
          <w:rFonts w:hint="eastAsia" w:ascii="宋体" w:hAnsi="宋体"/>
          <w:b/>
          <w:bCs/>
          <w:color w:val="auto"/>
          <w:sz w:val="24"/>
          <w:szCs w:val="24"/>
          <w:highlight w:val="none"/>
        </w:rPr>
        <w:t>报价：报总价，提供单价和分项价格。单价包含项目检测及相关服务的全部内容</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投标人对所投标项内的采购内容必须全部进行投标。</w:t>
      </w:r>
      <w:r>
        <w:rPr>
          <w:rFonts w:hint="eastAsia" w:ascii="宋体" w:hAnsi="宋体"/>
          <w:b/>
          <w:bCs/>
          <w:color w:val="auto"/>
          <w:sz w:val="24"/>
          <w:szCs w:val="24"/>
          <w:highlight w:val="none"/>
          <w:lang w:eastAsia="zh-CN"/>
        </w:rPr>
        <w:t>分包的设备</w:t>
      </w:r>
      <w:r>
        <w:rPr>
          <w:rFonts w:hint="eastAsia" w:ascii="宋体" w:hAnsi="宋体"/>
          <w:b/>
          <w:bCs/>
          <w:color w:val="auto"/>
          <w:sz w:val="24"/>
          <w:szCs w:val="24"/>
          <w:highlight w:val="none"/>
        </w:rPr>
        <w:t>应当在投标文件载明分包的具体情况，</w:t>
      </w:r>
      <w:r>
        <w:rPr>
          <w:rFonts w:hint="eastAsia" w:ascii="宋体" w:hAnsi="宋体"/>
          <w:b/>
          <w:bCs/>
          <w:color w:val="auto"/>
          <w:sz w:val="24"/>
          <w:szCs w:val="24"/>
          <w:highlight w:val="none"/>
          <w:lang w:eastAsia="zh-CN"/>
        </w:rPr>
        <w:t>包括</w:t>
      </w:r>
      <w:r>
        <w:rPr>
          <w:rFonts w:hint="eastAsia" w:ascii="宋体" w:hAnsi="宋体"/>
          <w:b/>
          <w:bCs/>
          <w:color w:val="auto"/>
          <w:sz w:val="24"/>
          <w:szCs w:val="24"/>
          <w:highlight w:val="none"/>
        </w:rPr>
        <w:t>分包内容、分包金额和接受分包的第三</w:t>
      </w:r>
      <w:r>
        <w:rPr>
          <w:rFonts w:hint="eastAsia" w:ascii="宋体" w:hAnsi="宋体"/>
          <w:b/>
          <w:bCs/>
          <w:color w:val="auto"/>
          <w:sz w:val="24"/>
          <w:szCs w:val="24"/>
          <w:highlight w:val="none"/>
          <w:lang w:eastAsia="zh-CN"/>
        </w:rPr>
        <w:t>方</w:t>
      </w:r>
      <w:r>
        <w:rPr>
          <w:rFonts w:hint="eastAsia" w:ascii="宋体" w:hAnsi="宋体"/>
          <w:b/>
          <w:bCs/>
          <w:color w:val="auto"/>
          <w:sz w:val="24"/>
          <w:szCs w:val="24"/>
          <w:highlight w:val="none"/>
        </w:rPr>
        <w:t>资质要求等限制条件。</w:t>
      </w:r>
    </w:p>
    <w:p w14:paraId="3D430022">
      <w:pPr>
        <w:spacing w:line="360" w:lineRule="auto"/>
        <w:rPr>
          <w:rFonts w:hint="eastAsia" w:ascii="宋体" w:hAnsi="宋体" w:eastAsia="宋体"/>
          <w:color w:val="auto"/>
          <w:sz w:val="24"/>
          <w:szCs w:val="24"/>
          <w:highlight w:val="none"/>
          <w:lang w:eastAsia="zh-CN"/>
        </w:rPr>
      </w:pPr>
      <w:r>
        <w:rPr>
          <w:rFonts w:ascii="宋体" w:hAnsi="宋体"/>
          <w:color w:val="auto"/>
          <w:sz w:val="24"/>
          <w:szCs w:val="24"/>
          <w:highlight w:val="none"/>
        </w:rPr>
        <w:t xml:space="preserve">2. </w:t>
      </w:r>
      <w:r>
        <w:rPr>
          <w:rFonts w:hint="eastAsia" w:ascii="宋体" w:hAnsi="宋体"/>
          <w:color w:val="auto"/>
          <w:sz w:val="24"/>
          <w:szCs w:val="24"/>
          <w:highlight w:val="none"/>
        </w:rPr>
        <w:t>服务期：</w:t>
      </w:r>
      <w:r>
        <w:rPr>
          <w:rFonts w:hint="eastAsia" w:ascii="新宋体" w:hAnsi="新宋体" w:eastAsia="新宋体" w:cs="新宋体"/>
          <w:color w:val="auto"/>
          <w:sz w:val="24"/>
          <w:szCs w:val="24"/>
          <w:highlight w:val="none"/>
        </w:rPr>
        <w:t>本项目合同期为合同签订后一年，或合同期内该项目</w:t>
      </w:r>
      <w:r>
        <w:rPr>
          <w:rFonts w:hint="eastAsia" w:ascii="新宋体" w:hAnsi="新宋体" w:eastAsia="新宋体" w:cs="新宋体"/>
          <w:color w:val="auto"/>
          <w:sz w:val="24"/>
          <w:szCs w:val="24"/>
          <w:highlight w:val="none"/>
          <w:lang w:eastAsia="zh-CN"/>
        </w:rPr>
        <w:t>计量费用</w:t>
      </w:r>
      <w:r>
        <w:rPr>
          <w:rFonts w:hint="eastAsia" w:ascii="新宋体" w:hAnsi="新宋体" w:eastAsia="新宋体" w:cs="新宋体"/>
          <w:color w:val="auto"/>
          <w:sz w:val="24"/>
          <w:szCs w:val="24"/>
          <w:highlight w:val="none"/>
        </w:rPr>
        <w:t>金额达</w:t>
      </w:r>
      <w:r>
        <w:rPr>
          <w:rFonts w:hint="eastAsia" w:ascii="新宋体" w:hAnsi="新宋体" w:eastAsia="新宋体" w:cs="新宋体"/>
          <w:color w:val="auto"/>
          <w:sz w:val="24"/>
          <w:szCs w:val="24"/>
          <w:highlight w:val="none"/>
          <w:lang w:eastAsia="zh-CN"/>
        </w:rPr>
        <w:t>预算</w:t>
      </w:r>
      <w:r>
        <w:rPr>
          <w:rFonts w:hint="eastAsia" w:ascii="新宋体" w:hAnsi="新宋体" w:eastAsia="新宋体" w:cs="新宋体"/>
          <w:color w:val="auto"/>
          <w:sz w:val="24"/>
          <w:szCs w:val="24"/>
          <w:highlight w:val="none"/>
          <w:lang w:val="en-US" w:eastAsia="zh-CN"/>
        </w:rPr>
        <w:t>金额</w:t>
      </w:r>
      <w:r>
        <w:rPr>
          <w:rFonts w:hint="eastAsia" w:ascii="新宋体" w:hAnsi="新宋体" w:eastAsia="新宋体" w:cs="新宋体"/>
          <w:color w:val="auto"/>
          <w:sz w:val="24"/>
          <w:szCs w:val="24"/>
          <w:highlight w:val="none"/>
        </w:rPr>
        <w:t>也视为合同期结束。合同期间如遇政策性原因导致合同无法履行，则合同自行终止。</w:t>
      </w:r>
    </w:p>
    <w:p w14:paraId="23721D19">
      <w:pPr>
        <w:spacing w:line="360" w:lineRule="auto"/>
        <w:rPr>
          <w:rFonts w:hint="eastAsia" w:ascii="宋体" w:hAnsi="宋体"/>
          <w:sz w:val="24"/>
          <w:szCs w:val="24"/>
          <w:highlight w:val="none"/>
        </w:rPr>
      </w:pPr>
      <w:r>
        <w:rPr>
          <w:rFonts w:hint="eastAsia"/>
          <w:kern w:val="0"/>
          <w:sz w:val="24"/>
          <w:szCs w:val="24"/>
          <w:highlight w:val="none"/>
          <w:lang w:val="en-US" w:eastAsia="zh-CN"/>
        </w:rPr>
        <w:t>3.</w:t>
      </w:r>
      <w:r>
        <w:rPr>
          <w:rFonts w:hint="eastAsia"/>
          <w:kern w:val="0"/>
          <w:sz w:val="24"/>
          <w:szCs w:val="24"/>
          <w:highlight w:val="none"/>
        </w:rPr>
        <w:t>检测设备清单（见附表1）内，经采购人允许，可对不超过检测设备总项目数量10%的设备进行分包。</w:t>
      </w:r>
    </w:p>
    <w:p w14:paraId="54623BF2">
      <w:pPr>
        <w:spacing w:line="360" w:lineRule="auto"/>
        <w:rPr>
          <w:rFonts w:ascii="宋体" w:hAnsi="宋体"/>
          <w:sz w:val="24"/>
          <w:szCs w:val="24"/>
        </w:rPr>
      </w:pPr>
      <w:r>
        <w:rPr>
          <w:rFonts w:hint="eastAsia" w:ascii="宋体" w:hAnsi="宋体"/>
          <w:sz w:val="24"/>
          <w:szCs w:val="24"/>
          <w:lang w:val="en-US" w:eastAsia="zh-CN"/>
        </w:rPr>
        <w:t>4</w:t>
      </w:r>
      <w:r>
        <w:rPr>
          <w:rFonts w:ascii="宋体" w:hAnsi="宋体"/>
          <w:sz w:val="24"/>
          <w:szCs w:val="24"/>
        </w:rPr>
        <w:t xml:space="preserve">. </w:t>
      </w:r>
      <w:r>
        <w:rPr>
          <w:rFonts w:hint="eastAsia" w:ascii="宋体" w:hAnsi="宋体"/>
          <w:sz w:val="24"/>
          <w:szCs w:val="24"/>
        </w:rPr>
        <w:t>结算与支付：</w:t>
      </w:r>
    </w:p>
    <w:p w14:paraId="5A560F44">
      <w:pPr>
        <w:spacing w:line="360" w:lineRule="auto"/>
        <w:rPr>
          <w:rFonts w:ascii="宋体" w:hAnsi="宋体"/>
          <w:sz w:val="24"/>
          <w:szCs w:val="24"/>
        </w:rPr>
      </w:pPr>
      <w:r>
        <w:rPr>
          <w:rFonts w:hint="eastAsia" w:ascii="宋体" w:hAnsi="宋体"/>
          <w:sz w:val="24"/>
          <w:szCs w:val="24"/>
          <w:lang w:val="en-US" w:eastAsia="zh-CN"/>
        </w:rPr>
        <w:t>4</w:t>
      </w:r>
      <w:r>
        <w:rPr>
          <w:rFonts w:ascii="宋体" w:hAnsi="宋体"/>
          <w:sz w:val="24"/>
          <w:szCs w:val="24"/>
        </w:rPr>
        <w:t>.1</w:t>
      </w:r>
      <w:r>
        <w:rPr>
          <w:rFonts w:hint="eastAsia" w:ascii="宋体" w:hAnsi="宋体"/>
          <w:sz w:val="24"/>
          <w:szCs w:val="24"/>
        </w:rPr>
        <w:t>结算</w:t>
      </w:r>
      <w:r>
        <w:rPr>
          <w:rFonts w:hint="eastAsia" w:ascii="宋体" w:hAnsi="宋体"/>
          <w:sz w:val="24"/>
          <w:szCs w:val="24"/>
          <w:lang w:eastAsia="zh-CN"/>
        </w:rPr>
        <w:t>以</w:t>
      </w:r>
      <w:r>
        <w:rPr>
          <w:rFonts w:hint="eastAsia" w:ascii="宋体" w:hAnsi="宋体"/>
          <w:sz w:val="24"/>
          <w:szCs w:val="24"/>
        </w:rPr>
        <w:t>实际检测数量为准，结算价格</w:t>
      </w:r>
      <w:r>
        <w:rPr>
          <w:rFonts w:ascii="宋体" w:hAnsi="宋体"/>
          <w:sz w:val="24"/>
          <w:szCs w:val="24"/>
        </w:rPr>
        <w:t>=</w:t>
      </w:r>
      <w:r>
        <w:rPr>
          <w:rFonts w:hint="eastAsia" w:ascii="宋体" w:hAnsi="宋体"/>
          <w:sz w:val="24"/>
          <w:szCs w:val="24"/>
        </w:rPr>
        <w:t>中标单价</w:t>
      </w:r>
      <w:r>
        <w:rPr>
          <w:rFonts w:ascii="宋体" w:hAnsi="宋体"/>
          <w:sz w:val="24"/>
          <w:szCs w:val="24"/>
        </w:rPr>
        <w:t>*</w:t>
      </w:r>
      <w:r>
        <w:rPr>
          <w:rFonts w:hint="eastAsia" w:ascii="宋体" w:hAnsi="宋体"/>
          <w:sz w:val="24"/>
          <w:szCs w:val="24"/>
        </w:rPr>
        <w:t>实际检测数量。</w:t>
      </w:r>
    </w:p>
    <w:p w14:paraId="1C2140A3">
      <w:pPr>
        <w:spacing w:line="360" w:lineRule="auto"/>
        <w:rPr>
          <w:rFonts w:ascii="宋体" w:hAnsi="宋体"/>
          <w:sz w:val="24"/>
          <w:szCs w:val="24"/>
        </w:rPr>
      </w:pPr>
      <w:r>
        <w:rPr>
          <w:rFonts w:hint="eastAsia" w:ascii="宋体" w:hAnsi="宋体"/>
          <w:sz w:val="24"/>
          <w:szCs w:val="24"/>
          <w:lang w:val="en-US" w:eastAsia="zh-CN"/>
        </w:rPr>
        <w:t>4</w:t>
      </w:r>
      <w:r>
        <w:rPr>
          <w:rFonts w:ascii="宋体" w:hAnsi="宋体"/>
          <w:sz w:val="24"/>
          <w:szCs w:val="24"/>
        </w:rPr>
        <w:t>.2</w:t>
      </w:r>
      <w:bookmarkStart w:id="0" w:name="OLE_LINK6"/>
      <w:bookmarkStart w:id="1" w:name="OLE_LINK5"/>
      <w:r>
        <w:rPr>
          <w:rFonts w:hint="eastAsia" w:ascii="宋体" w:hAnsi="宋体"/>
          <w:sz w:val="24"/>
          <w:szCs w:val="24"/>
        </w:rPr>
        <w:t>支付方式</w:t>
      </w:r>
      <w:bookmarkEnd w:id="0"/>
      <w:bookmarkEnd w:id="1"/>
      <w:r>
        <w:rPr>
          <w:rFonts w:hint="eastAsia" w:ascii="宋体" w:hAnsi="宋体"/>
          <w:sz w:val="24"/>
          <w:szCs w:val="24"/>
        </w:rPr>
        <w:t>为：</w:t>
      </w:r>
      <w:r>
        <w:rPr>
          <w:rFonts w:hint="eastAsia" w:ascii="宋体" w:hAnsi="宋体"/>
          <w:sz w:val="24"/>
          <w:szCs w:val="24"/>
          <w:lang w:eastAsia="zh-CN"/>
        </w:rPr>
        <w:t>每个季度结算并支付一次。</w:t>
      </w:r>
    </w:p>
    <w:p w14:paraId="130488E4">
      <w:pPr>
        <w:numPr>
          <w:ilvl w:val="0"/>
          <w:numId w:val="3"/>
        </w:numPr>
        <w:spacing w:line="360" w:lineRule="auto"/>
        <w:rPr>
          <w:rFonts w:hint="eastAsia" w:ascii="宋体" w:hAnsi="宋体"/>
          <w:sz w:val="24"/>
          <w:szCs w:val="24"/>
        </w:rPr>
      </w:pPr>
      <w:r>
        <w:rPr>
          <w:rFonts w:hint="eastAsia" w:ascii="宋体" w:hAnsi="宋体"/>
          <w:sz w:val="24"/>
          <w:szCs w:val="24"/>
        </w:rPr>
        <w:t>违约责任：除法定不可抗力外，中标人不按期提供服务，则视做违约，招标人有权终止部分甚至全部合同，中标人须向招标人赔偿合同金额10%的违约款。若因中标人服务不符合招标要求，招标人有权终止本合同，招标人不支付任何货款，招标人保留向中标人索赔的权利。中标人若提供虚假服务或未经招标人同意转包第三方，将视为严重违约，中标人须按合同总价的100%赔偿招标人所有损失，招标人有权终止全部合同。中标人未能履行合同规定的约定义务，且在发生后30天内未能纠正的，招标人权终有权部分甚至全部合同。</w:t>
      </w:r>
    </w:p>
    <w:p w14:paraId="0F896451">
      <w:pPr>
        <w:numPr>
          <w:ilvl w:val="0"/>
          <w:numId w:val="4"/>
        </w:numPr>
        <w:spacing w:line="360" w:lineRule="auto"/>
        <w:rPr>
          <w:rFonts w:hint="eastAsia" w:ascii="宋体" w:hAnsi="宋体"/>
          <w:b/>
          <w:bCs/>
          <w:sz w:val="24"/>
          <w:szCs w:val="24"/>
          <w:lang w:eastAsia="zh-CN"/>
        </w:rPr>
      </w:pPr>
      <w:r>
        <w:rPr>
          <w:rFonts w:hint="eastAsia"/>
          <w:b/>
          <w:bCs/>
          <w:sz w:val="24"/>
          <w:szCs w:val="24"/>
          <w:lang w:eastAsia="zh-CN"/>
        </w:rPr>
        <w:t>其他要求</w:t>
      </w:r>
    </w:p>
    <w:p w14:paraId="3EC0824B">
      <w:pPr>
        <w:numPr>
          <w:ilvl w:val="0"/>
          <w:numId w:val="0"/>
        </w:numPr>
        <w:spacing w:line="360" w:lineRule="auto"/>
        <w:ind w:firstLine="482" w:firstLineChars="200"/>
        <w:rPr>
          <w:rFonts w:hint="eastAsia" w:eastAsia="宋体"/>
          <w:b/>
          <w:bCs/>
          <w:sz w:val="24"/>
          <w:szCs w:val="24"/>
          <w:lang w:eastAsia="zh-CN"/>
        </w:rPr>
      </w:pPr>
      <w:r>
        <w:rPr>
          <w:rFonts w:ascii="Times New Roman" w:hAnsi="Times New Roman"/>
          <w:b/>
          <w:bCs/>
          <w:sz w:val="24"/>
          <w:szCs w:val="24"/>
        </w:rPr>
        <w:t>请投标人仔细阅读本采购文件，其中带“▲”标记的条款为实质性内容，投标人须对带“▲”标记的条款作出实质性</w:t>
      </w:r>
      <w:r>
        <w:rPr>
          <w:rFonts w:hint="eastAsia" w:ascii="宋体" w:hAnsi="宋体"/>
          <w:b/>
          <w:bCs/>
          <w:sz w:val="24"/>
          <w:szCs w:val="24"/>
        </w:rPr>
        <w:t>响应</w:t>
      </w:r>
      <w:r>
        <w:rPr>
          <w:rFonts w:hint="eastAsia" w:ascii="宋体" w:hAnsi="宋体"/>
          <w:b/>
          <w:bCs/>
          <w:sz w:val="24"/>
          <w:szCs w:val="24"/>
          <w:lang w:eastAsia="zh-CN"/>
        </w:rPr>
        <w:t>。</w:t>
      </w:r>
    </w:p>
    <w:p w14:paraId="37DC2FAC">
      <w:pPr>
        <w:pStyle w:val="18"/>
        <w:spacing w:before="0" w:beforeAutospacing="0" w:after="0" w:afterAutospacing="0" w:line="360" w:lineRule="auto"/>
        <w:rPr>
          <w:rFonts w:hint="eastAsia"/>
          <w:b/>
          <w:bCs/>
          <w:sz w:val="21"/>
          <w:szCs w:val="21"/>
        </w:rPr>
      </w:pPr>
      <w:r>
        <w:rPr>
          <w:rFonts w:hint="eastAsia"/>
          <w:b/>
          <w:bCs/>
          <w:sz w:val="21"/>
          <w:szCs w:val="21"/>
        </w:rPr>
        <w:t>附表</w:t>
      </w:r>
      <w:r>
        <w:rPr>
          <w:b/>
          <w:bCs/>
          <w:sz w:val="21"/>
          <w:szCs w:val="21"/>
        </w:rPr>
        <w:t>1</w:t>
      </w:r>
      <w:r>
        <w:rPr>
          <w:rFonts w:hint="eastAsia"/>
          <w:b/>
          <w:bCs/>
          <w:sz w:val="21"/>
          <w:szCs w:val="21"/>
        </w:rPr>
        <w:t>：检测设备清单</w:t>
      </w:r>
    </w:p>
    <w:tbl>
      <w:tblPr>
        <w:tblStyle w:val="20"/>
        <w:tblW w:w="88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905"/>
        <w:gridCol w:w="1590"/>
        <w:gridCol w:w="2040"/>
        <w:gridCol w:w="1305"/>
        <w:gridCol w:w="1260"/>
      </w:tblGrid>
      <w:tr w14:paraId="63A4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B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7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5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A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F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4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检测周期</w:t>
            </w:r>
          </w:p>
        </w:tc>
      </w:tr>
      <w:tr w14:paraId="7E4F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2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DC14">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除颤仪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A8E7">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FB2B">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D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83E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3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86BC">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微量注射泵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B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佳士比、比扬</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60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佳士比F6、BYZ-810T</w:t>
            </w:r>
          </w:p>
          <w:p w14:paraId="4455F0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ascii="Helvetica" w:hAnsi="Helvetica" w:eastAsia="Helvetica" w:cs="Helvetica"/>
                <w:b w:val="0"/>
                <w:bCs w:val="0"/>
                <w:i w:val="0"/>
                <w:iCs w:val="0"/>
                <w:caps w:val="0"/>
                <w:color w:val="666666"/>
                <w:spacing w:val="0"/>
                <w:sz w:val="21"/>
                <w:szCs w:val="21"/>
                <w:shd w:val="clear" w:fill="FFFFFF"/>
              </w:rPr>
              <w:t>BeneFusion SP3D Ex</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CA8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E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8FE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D6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B914">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输液泵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34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佳士比、比扬</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FC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佳士比</w:t>
            </w:r>
            <w:r>
              <w:rPr>
                <w:rFonts w:ascii="Helvetica" w:hAnsi="Helvetica" w:eastAsia="Helvetica" w:cs="Helvetica"/>
                <w:i w:val="0"/>
                <w:iCs w:val="0"/>
                <w:color w:val="666666"/>
                <w:kern w:val="0"/>
                <w:sz w:val="21"/>
                <w:szCs w:val="21"/>
                <w:highlight w:val="none"/>
                <w:u w:val="none"/>
                <w:lang w:val="en-US" w:eastAsia="zh-CN" w:bidi="ar"/>
              </w:rPr>
              <w:t>1200</w:t>
            </w:r>
            <w:r>
              <w:rPr>
                <w:rFonts w:hint="eastAsia" w:ascii="宋体" w:hAnsi="宋体" w:eastAsia="宋体" w:cs="宋体"/>
                <w:i w:val="0"/>
                <w:iCs w:val="0"/>
                <w:color w:val="666666"/>
                <w:kern w:val="0"/>
                <w:sz w:val="21"/>
                <w:szCs w:val="21"/>
                <w:highlight w:val="none"/>
                <w:u w:val="none"/>
                <w:lang w:val="en-US" w:eastAsia="zh-CN" w:bidi="ar"/>
              </w:rPr>
              <w:t>、</w:t>
            </w:r>
            <w:r>
              <w:rPr>
                <w:rFonts w:ascii="Helvetica" w:hAnsi="Helvetica" w:eastAsia="Helvetica" w:cs="Helvetica"/>
                <w:i w:val="0"/>
                <w:iCs w:val="0"/>
                <w:color w:val="666666"/>
                <w:kern w:val="0"/>
                <w:sz w:val="21"/>
                <w:szCs w:val="21"/>
                <w:highlight w:val="none"/>
                <w:u w:val="none"/>
                <w:lang w:val="en-US" w:eastAsia="zh-CN" w:bidi="ar"/>
              </w:rPr>
              <w:t>BYS-820S</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9F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AA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1年</w:t>
            </w:r>
          </w:p>
        </w:tc>
      </w:tr>
      <w:tr w14:paraId="3A257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14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470E">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心电工作站</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81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理邦</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5C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SE-1010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60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E2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1年</w:t>
            </w:r>
          </w:p>
        </w:tc>
      </w:tr>
      <w:tr w14:paraId="26F1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6DB488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6DBAAFEB">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CT设备性能及场所放射卫生检测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BD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GE</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B6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OPTIMA CT 540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96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F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1年</w:t>
            </w:r>
          </w:p>
        </w:tc>
      </w:tr>
      <w:tr w14:paraId="0199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19F2AE03">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22109AA2">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4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联影</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C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UCT 710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3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2FB7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3ACE9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387334A4">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DR设备性能及场所放射卫生检测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A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联影移动DR</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0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uDR 370i</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0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5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2CB6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562E0733">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22C6ED74">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3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DigitalDiagnost C50 65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4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5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744C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3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5360">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磁共振</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F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联影</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3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uMR 586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B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7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35FD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3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4B62">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负压表、空气表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027B">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F381">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77A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5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半年</w:t>
            </w:r>
          </w:p>
        </w:tc>
      </w:tr>
      <w:tr w14:paraId="4E88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2E866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19C5E816">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B超</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B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7499">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HI VISION Preirus</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7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9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3185D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vMerge w:val="continue"/>
            <w:tcBorders>
              <w:left w:val="single" w:color="000000" w:sz="4" w:space="0"/>
              <w:right w:val="single" w:color="000000" w:sz="4" w:space="0"/>
            </w:tcBorders>
            <w:shd w:val="clear" w:color="auto" w:fill="auto"/>
            <w:noWrap/>
            <w:vAlign w:val="center"/>
          </w:tcPr>
          <w:p w14:paraId="5AC98813">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right w:val="single" w:color="000000" w:sz="4" w:space="0"/>
            </w:tcBorders>
            <w:shd w:val="clear" w:color="auto" w:fill="auto"/>
            <w:noWrap/>
            <w:vAlign w:val="center"/>
          </w:tcPr>
          <w:p w14:paraId="46136067">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2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GE</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AC45">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LOGIQ</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E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1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4C6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3DDD0083">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7003C107">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6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0070">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EPIQ5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5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F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659E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B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AD10">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便携B超</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A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索诺声</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4D64">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M-Turbo</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B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6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59A5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4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631D">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瓶口移液器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59B1">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182E">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10-100ml</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E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7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324A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4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FE08">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电子计价秤</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F7E7">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01A1">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F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1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0AE1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72210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2E8EA5E5">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呼吸机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C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德尔格</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4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Savina 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4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9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7E9A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726" w:type="dxa"/>
            <w:vMerge w:val="continue"/>
            <w:tcBorders>
              <w:left w:val="single" w:color="000000" w:sz="4" w:space="0"/>
              <w:right w:val="single" w:color="000000" w:sz="4" w:space="0"/>
            </w:tcBorders>
            <w:shd w:val="clear" w:color="auto" w:fill="auto"/>
            <w:noWrap/>
            <w:vAlign w:val="center"/>
          </w:tcPr>
          <w:p w14:paraId="5D0D017E">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right w:val="single" w:color="000000" w:sz="4" w:space="0"/>
            </w:tcBorders>
            <w:shd w:val="clear" w:color="auto" w:fill="auto"/>
            <w:noWrap/>
            <w:vAlign w:val="center"/>
          </w:tcPr>
          <w:p w14:paraId="04AA00A9">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A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5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V60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5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9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0E6E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6" w:type="dxa"/>
            <w:vMerge w:val="continue"/>
            <w:tcBorders>
              <w:left w:val="single" w:color="000000" w:sz="4" w:space="0"/>
              <w:right w:val="single" w:color="000000" w:sz="4" w:space="0"/>
            </w:tcBorders>
            <w:shd w:val="clear" w:color="auto" w:fill="auto"/>
            <w:noWrap/>
            <w:vAlign w:val="center"/>
          </w:tcPr>
          <w:p w14:paraId="57FFC7B8">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right w:val="single" w:color="000000" w:sz="4" w:space="0"/>
            </w:tcBorders>
            <w:shd w:val="clear" w:color="auto" w:fill="auto"/>
            <w:noWrap/>
            <w:vAlign w:val="center"/>
          </w:tcPr>
          <w:p w14:paraId="705B4873">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8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德尔格</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B866">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Evita V300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1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2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56B4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6E0A43F0">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32C4503D">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B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谊安</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42B0">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Shangrila520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E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3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C11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65D6F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13A493D2">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转运呼吸机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B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谊安</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7563">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Shangrila510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6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9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5703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5542D1A2">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7BCC7697">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B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德尔格</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4F28">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OXYLOG1000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8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8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D5D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vMerge w:val="restart"/>
            <w:tcBorders>
              <w:top w:val="single" w:color="000000" w:sz="4" w:space="0"/>
              <w:left w:val="single" w:color="000000" w:sz="4" w:space="0"/>
              <w:right w:val="single" w:color="000000" w:sz="4" w:space="0"/>
            </w:tcBorders>
            <w:shd w:val="clear" w:color="auto" w:fill="auto"/>
            <w:noWrap/>
            <w:vAlign w:val="center"/>
          </w:tcPr>
          <w:p w14:paraId="223D5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35E6FBC3">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麻醉机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6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谊安</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3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Aeon7400A</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5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6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06F4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6" w:type="dxa"/>
            <w:vMerge w:val="continue"/>
            <w:tcBorders>
              <w:left w:val="single" w:color="000000" w:sz="4" w:space="0"/>
              <w:right w:val="single" w:color="000000" w:sz="4" w:space="0"/>
            </w:tcBorders>
            <w:shd w:val="clear" w:color="auto" w:fill="auto"/>
            <w:noWrap/>
            <w:vAlign w:val="center"/>
          </w:tcPr>
          <w:p w14:paraId="109F61A5">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right w:val="single" w:color="000000" w:sz="4" w:space="0"/>
            </w:tcBorders>
            <w:shd w:val="clear" w:color="auto" w:fill="auto"/>
            <w:noWrap/>
            <w:vAlign w:val="center"/>
          </w:tcPr>
          <w:p w14:paraId="6354553B">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E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德尔格</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E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Fabius Tiro</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7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C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3548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6" w:type="dxa"/>
            <w:vMerge w:val="continue"/>
            <w:tcBorders>
              <w:left w:val="single" w:color="000000" w:sz="4" w:space="0"/>
              <w:bottom w:val="single" w:color="000000" w:sz="4" w:space="0"/>
              <w:right w:val="single" w:color="000000" w:sz="4" w:space="0"/>
            </w:tcBorders>
            <w:shd w:val="clear" w:color="auto" w:fill="auto"/>
            <w:noWrap/>
            <w:vAlign w:val="center"/>
          </w:tcPr>
          <w:p w14:paraId="29DEB6B8">
            <w:pPr>
              <w:jc w:val="left"/>
              <w:rPr>
                <w:rFonts w:hint="eastAsia" w:ascii="宋体" w:hAnsi="宋体" w:eastAsia="宋体" w:cs="宋体"/>
                <w:i w:val="0"/>
                <w:iCs w:val="0"/>
                <w:color w:val="000000"/>
                <w:sz w:val="22"/>
                <w:szCs w:val="22"/>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600EA6C9">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C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舒普思达</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C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S6500A 南京</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0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C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7BA6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7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0578">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双能骨密度场所放射卫生检测</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962C">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BFA1">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B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B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7272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2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5FF2">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离心机</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DAD8">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7268">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9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5537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3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A780">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高压灭菌锅</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8B62">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527D">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9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2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07F2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9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5FBB">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生物安全柜</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0DE3">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8E4E">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C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B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94A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5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4DA0">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显微镜</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F64A">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66D5">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1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D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633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B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F00">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移液器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3438">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92BD">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589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A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7464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6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05C1">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水平摇床</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6EFB">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9DFB">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3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3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226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3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6B2B">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旋涡振荡器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114A">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6C76">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B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3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1EBA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6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C375">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玻璃器具</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0810">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637D">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A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1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r>
      <w:tr w14:paraId="2273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D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31CB">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水浴箱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27D0">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0F42">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A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1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08E8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4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ECB6">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体重秤</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B3DD">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DA6F">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C4D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7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62A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4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6D2F">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温湿度计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2622">
            <w:pPr>
              <w:jc w:val="left"/>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40D7">
            <w:pPr>
              <w:jc w:val="left"/>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540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70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2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C27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E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2DF9">
            <w:pPr>
              <w:keepNext w:val="0"/>
              <w:keepLines w:val="0"/>
              <w:widowControl/>
              <w:suppressLineNumbers w:val="0"/>
              <w:jc w:val="left"/>
              <w:textAlignment w:val="center"/>
              <w:rPr>
                <w:rFonts w:hint="default" w:ascii="等线" w:hAnsi="等线" w:eastAsia="等线" w:cs="等线"/>
                <w:i w:val="0"/>
                <w:iCs w:val="0"/>
                <w:color w:val="000000"/>
                <w:kern w:val="0"/>
                <w:sz w:val="24"/>
                <w:szCs w:val="24"/>
                <w:u w:val="none"/>
                <w:lang w:val="en-US" w:eastAsia="zh-CN" w:bidi="ar"/>
              </w:rPr>
            </w:pPr>
            <w:r>
              <w:rPr>
                <w:rFonts w:hint="default" w:ascii="等线" w:hAnsi="等线" w:eastAsia="等线" w:cs="等线"/>
                <w:i w:val="0"/>
                <w:iCs w:val="0"/>
                <w:color w:val="000000"/>
                <w:kern w:val="0"/>
                <w:sz w:val="24"/>
                <w:szCs w:val="24"/>
                <w:u w:val="none"/>
                <w:lang w:val="en-US" w:eastAsia="zh-CN" w:bidi="ar"/>
              </w:rPr>
              <w:t>全自动生化分析仪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6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贝克曼库尔特</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D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AU680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B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3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2365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B64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29</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AB63">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全自动干式生化分析仪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1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富士</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EF7A">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FDC-70000IC2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7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3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14:paraId="4C2E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7AE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C5A0">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全自动血液体液分析仪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B1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希森美康</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72EA">
            <w:pPr>
              <w:keepNext w:val="0"/>
              <w:keepLines w:val="0"/>
              <w:widowControl/>
              <w:suppressLineNumbers w:val="0"/>
              <w:jc w:val="left"/>
              <w:textAlignment w:val="center"/>
              <w:rPr>
                <w:rFonts w:hint="default" w:ascii="Helvetica" w:hAnsi="Helvetica" w:eastAsia="Helvetica" w:cs="Helvetica"/>
                <w:i w:val="0"/>
                <w:iCs w:val="0"/>
                <w:color w:val="666666"/>
                <w:kern w:val="0"/>
                <w:sz w:val="21"/>
                <w:szCs w:val="21"/>
                <w:u w:val="none"/>
                <w:lang w:val="en-US" w:eastAsia="zh-CN" w:bidi="ar"/>
              </w:rPr>
            </w:pPr>
            <w:r>
              <w:rPr>
                <w:rFonts w:hint="eastAsia" w:ascii="Helvetica" w:hAnsi="Helvetica" w:eastAsia="Helvetica" w:cs="Helvetica"/>
                <w:i w:val="0"/>
                <w:iCs w:val="0"/>
                <w:color w:val="666666"/>
                <w:kern w:val="0"/>
                <w:sz w:val="21"/>
                <w:szCs w:val="21"/>
                <w:u w:val="none"/>
                <w:lang w:val="en-US" w:eastAsia="zh-CN" w:bidi="ar"/>
              </w:rPr>
              <w:t>XN-10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F7D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EB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1年</w:t>
            </w:r>
          </w:p>
        </w:tc>
      </w:tr>
      <w:tr w14:paraId="14E6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58D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3557">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全自动血液体液分析仪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3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希森美康</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8072">
            <w:pPr>
              <w:keepNext w:val="0"/>
              <w:keepLines w:val="0"/>
              <w:widowControl/>
              <w:suppressLineNumbers w:val="0"/>
              <w:jc w:val="left"/>
              <w:textAlignment w:val="center"/>
              <w:rPr>
                <w:rFonts w:hint="default" w:ascii="Helvetica" w:hAnsi="Helvetica" w:eastAsia="Helvetica" w:cs="Helvetica"/>
                <w:i w:val="0"/>
                <w:iCs w:val="0"/>
                <w:color w:val="666666"/>
                <w:sz w:val="21"/>
                <w:szCs w:val="21"/>
                <w:u w:val="none"/>
              </w:rPr>
            </w:pPr>
            <w:r>
              <w:rPr>
                <w:rFonts w:hint="default" w:ascii="Helvetica" w:hAnsi="Helvetica" w:eastAsia="Helvetica" w:cs="Helvetica"/>
                <w:i w:val="0"/>
                <w:iCs w:val="0"/>
                <w:color w:val="666666"/>
                <w:kern w:val="0"/>
                <w:sz w:val="21"/>
                <w:szCs w:val="21"/>
                <w:u w:val="none"/>
                <w:lang w:val="en-US" w:eastAsia="zh-CN" w:bidi="ar"/>
              </w:rPr>
              <w:t>XN-530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A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4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年</w:t>
            </w:r>
          </w:p>
        </w:tc>
      </w:tr>
      <w:tr w14:paraId="3136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9F56">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31</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A700">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全自动血沉仪</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6E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Vital Diagnostics</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304B">
            <w:pPr>
              <w:keepNext w:val="0"/>
              <w:keepLines w:val="0"/>
              <w:widowControl/>
              <w:suppressLineNumbers w:val="0"/>
              <w:jc w:val="left"/>
              <w:textAlignment w:val="center"/>
              <w:rPr>
                <w:rFonts w:hint="default" w:ascii="Helvetica" w:hAnsi="Helvetica" w:eastAsia="Helvetica" w:cs="Helvetica"/>
                <w:i w:val="0"/>
                <w:iCs w:val="0"/>
                <w:color w:val="666666"/>
                <w:kern w:val="0"/>
                <w:sz w:val="21"/>
                <w:szCs w:val="21"/>
                <w:u w:val="none"/>
                <w:lang w:val="en-US" w:eastAsia="zh-CN" w:bidi="ar"/>
              </w:rPr>
            </w:pPr>
            <w:r>
              <w:rPr>
                <w:rFonts w:ascii="Helvetica" w:hAnsi="Helvetica" w:eastAsia="Helvetica" w:cs="Helvetica"/>
                <w:b w:val="0"/>
                <w:bCs w:val="0"/>
                <w:i w:val="0"/>
                <w:iCs w:val="0"/>
                <w:caps w:val="0"/>
                <w:color w:val="666666"/>
                <w:spacing w:val="0"/>
                <w:sz w:val="21"/>
                <w:szCs w:val="21"/>
              </w:rPr>
              <w:t>Monitor-20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DF7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1CF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1年</w:t>
            </w:r>
          </w:p>
        </w:tc>
      </w:tr>
      <w:tr w14:paraId="0527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4F6C">
            <w:pPr>
              <w:keepNext w:val="0"/>
              <w:keepLines w:val="0"/>
              <w:widowControl/>
              <w:suppressLineNumbers w:val="0"/>
              <w:jc w:val="left"/>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8201">
            <w:pPr>
              <w:keepNext w:val="0"/>
              <w:keepLines w:val="0"/>
              <w:widowControl/>
              <w:suppressLineNumbers w:val="0"/>
              <w:jc w:val="left"/>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医用冰箱</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16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BFEA">
            <w:pPr>
              <w:keepNext w:val="0"/>
              <w:keepLines w:val="0"/>
              <w:widowControl/>
              <w:suppressLineNumbers w:val="0"/>
              <w:jc w:val="left"/>
              <w:textAlignment w:val="center"/>
              <w:rPr>
                <w:rFonts w:ascii="Helvetica" w:hAnsi="Helvetica" w:eastAsia="Helvetica" w:cs="Helvetica"/>
                <w:b w:val="0"/>
                <w:bCs w:val="0"/>
                <w:i w:val="0"/>
                <w:iCs w:val="0"/>
                <w:caps w:val="0"/>
                <w:color w:val="666666"/>
                <w:spacing w:val="0"/>
                <w:sz w:val="21"/>
                <w:szCs w:val="21"/>
              </w:rPr>
            </w:pPr>
            <w:r>
              <w:rPr>
                <w:rFonts w:ascii="Helvetica" w:hAnsi="Helvetica" w:eastAsia="Helvetica" w:cs="Helvetica"/>
                <w:b w:val="0"/>
                <w:bCs w:val="0"/>
                <w:i w:val="0"/>
                <w:iCs w:val="0"/>
                <w:caps w:val="0"/>
                <w:color w:val="666666"/>
                <w:spacing w:val="0"/>
                <w:sz w:val="21"/>
                <w:szCs w:val="21"/>
              </w:rPr>
              <w:t>HYC-360</w:t>
            </w:r>
          </w:p>
          <w:p w14:paraId="7E257E42">
            <w:pPr>
              <w:keepNext w:val="0"/>
              <w:keepLines w:val="0"/>
              <w:widowControl/>
              <w:suppressLineNumbers w:val="0"/>
              <w:jc w:val="left"/>
              <w:textAlignment w:val="center"/>
              <w:rPr>
                <w:rFonts w:hint="eastAsia" w:ascii="Helvetica" w:hAnsi="Helvetica" w:eastAsia="宋体" w:cs="Helvetica"/>
                <w:b w:val="0"/>
                <w:bCs w:val="0"/>
                <w:i w:val="0"/>
                <w:iCs w:val="0"/>
                <w:caps w:val="0"/>
                <w:color w:val="666666"/>
                <w:spacing w:val="0"/>
                <w:sz w:val="21"/>
                <w:szCs w:val="21"/>
                <w:lang w:eastAsia="zh-CN"/>
              </w:rPr>
            </w:pPr>
            <w:r>
              <w:rPr>
                <w:rFonts w:ascii="Helvetica" w:hAnsi="Helvetica" w:eastAsia="Helvetica" w:cs="Helvetica"/>
                <w:b w:val="0"/>
                <w:bCs w:val="0"/>
                <w:i w:val="0"/>
                <w:iCs w:val="0"/>
                <w:caps w:val="0"/>
                <w:color w:val="666666"/>
                <w:spacing w:val="0"/>
                <w:sz w:val="21"/>
                <w:szCs w:val="21"/>
              </w:rPr>
              <w:t>HYC-940</w:t>
            </w:r>
            <w:r>
              <w:rPr>
                <w:rFonts w:hint="eastAsia" w:ascii="Helvetica" w:hAnsi="Helvetica" w:eastAsia="宋体" w:cs="Helvetica"/>
                <w:b w:val="0"/>
                <w:bCs w:val="0"/>
                <w:i w:val="0"/>
                <w:iCs w:val="0"/>
                <w:caps w:val="0"/>
                <w:color w:val="666666"/>
                <w:spacing w:val="0"/>
                <w:sz w:val="21"/>
                <w:szCs w:val="21"/>
                <w:lang w:eastAsia="zh-CN"/>
              </w:rPr>
              <w:t>等</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2C2C">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3FBF">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1年</w:t>
            </w:r>
          </w:p>
        </w:tc>
      </w:tr>
    </w:tbl>
    <w:p w14:paraId="30E50C1D">
      <w:pPr>
        <w:pStyle w:val="18"/>
        <w:spacing w:before="0" w:beforeAutospacing="0" w:after="0" w:afterAutospacing="0" w:line="360" w:lineRule="auto"/>
        <w:rPr>
          <w:rFonts w:cs="Verdana"/>
          <w:sz w:val="21"/>
          <w:szCs w:val="21"/>
        </w:rPr>
      </w:pPr>
      <w:r>
        <w:rPr>
          <w:rFonts w:hint="eastAsia" w:cs="宋体"/>
          <w:color w:val="000000"/>
          <w:sz w:val="22"/>
          <w:szCs w:val="22"/>
        </w:rPr>
        <w:t>备注：具体数量以实际检测为准</w:t>
      </w:r>
    </w:p>
    <w:p w14:paraId="29B32E82"/>
    <w:p w14:paraId="44EDEAAE">
      <w:pPr>
        <w:rPr>
          <w:rFonts w:hint="eastAsia" w:ascii="宋体" w:hAnsi="宋体" w:cs="宋体"/>
          <w:color w:val="000000"/>
          <w:szCs w:val="21"/>
        </w:rPr>
      </w:pPr>
      <w:r>
        <w:rPr>
          <w:rFonts w:hint="eastAsia"/>
          <w:szCs w:val="21"/>
        </w:rPr>
        <w:t>附表2：检测设备</w:t>
      </w:r>
      <w:r>
        <w:rPr>
          <w:rFonts w:hint="eastAsia" w:ascii="宋体" w:hAnsi="宋体" w:cs="宋体"/>
          <w:color w:val="000000"/>
          <w:szCs w:val="21"/>
        </w:rPr>
        <w:t>的检定参数（如规范有更新，可依据最新规范）</w:t>
      </w:r>
    </w:p>
    <w:tbl>
      <w:tblPr>
        <w:tblStyle w:val="20"/>
        <w:tblW w:w="882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1185"/>
        <w:gridCol w:w="2475"/>
        <w:gridCol w:w="1635"/>
        <w:gridCol w:w="1545"/>
        <w:gridCol w:w="1275"/>
      </w:tblGrid>
      <w:tr w14:paraId="526F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1" w:type="dxa"/>
            <w:vMerge w:val="restart"/>
            <w:tcBorders>
              <w:tl2br w:val="nil"/>
              <w:tr2bl w:val="nil"/>
            </w:tcBorders>
            <w:noWrap/>
            <w:vAlign w:val="center"/>
          </w:tcPr>
          <w:p w14:paraId="32812E7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序号</w:t>
            </w:r>
          </w:p>
        </w:tc>
        <w:tc>
          <w:tcPr>
            <w:tcW w:w="1185" w:type="dxa"/>
            <w:vMerge w:val="restart"/>
            <w:tcBorders>
              <w:tl2br w:val="nil"/>
              <w:tr2bl w:val="nil"/>
            </w:tcBorders>
            <w:noWrap/>
            <w:vAlign w:val="center"/>
          </w:tcPr>
          <w:p w14:paraId="6F5E023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设备名称</w:t>
            </w:r>
          </w:p>
        </w:tc>
        <w:tc>
          <w:tcPr>
            <w:tcW w:w="2475" w:type="dxa"/>
            <w:vMerge w:val="restart"/>
            <w:tcBorders>
              <w:tl2br w:val="nil"/>
              <w:tr2bl w:val="nil"/>
            </w:tcBorders>
            <w:noWrap/>
            <w:vAlign w:val="center"/>
          </w:tcPr>
          <w:p w14:paraId="2129B83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校准规范</w:t>
            </w:r>
          </w:p>
        </w:tc>
        <w:tc>
          <w:tcPr>
            <w:tcW w:w="4455" w:type="dxa"/>
            <w:gridSpan w:val="3"/>
            <w:tcBorders>
              <w:tl2br w:val="nil"/>
              <w:tr2bl w:val="nil"/>
            </w:tcBorders>
            <w:noWrap/>
            <w:vAlign w:val="center"/>
          </w:tcPr>
          <w:p w14:paraId="4CDA37F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计量校准内容</w:t>
            </w:r>
          </w:p>
        </w:tc>
      </w:tr>
      <w:tr w14:paraId="01A2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2FFF3AC3">
            <w:pPr>
              <w:jc w:val="center"/>
              <w:rPr>
                <w:rFonts w:hint="eastAsia" w:ascii="宋体" w:hAnsi="宋体" w:cs="宋体"/>
                <w:color w:val="auto"/>
                <w:sz w:val="22"/>
                <w:szCs w:val="22"/>
              </w:rPr>
            </w:pPr>
          </w:p>
        </w:tc>
        <w:tc>
          <w:tcPr>
            <w:tcW w:w="1185" w:type="dxa"/>
            <w:vMerge w:val="continue"/>
            <w:tcBorders>
              <w:tl2br w:val="nil"/>
              <w:tr2bl w:val="nil"/>
            </w:tcBorders>
            <w:noWrap/>
            <w:vAlign w:val="center"/>
          </w:tcPr>
          <w:p w14:paraId="401A0D8A">
            <w:pPr>
              <w:jc w:val="center"/>
              <w:rPr>
                <w:rFonts w:hint="eastAsia" w:ascii="宋体" w:hAnsi="宋体" w:cs="宋体"/>
                <w:color w:val="auto"/>
                <w:sz w:val="22"/>
                <w:szCs w:val="22"/>
              </w:rPr>
            </w:pPr>
          </w:p>
        </w:tc>
        <w:tc>
          <w:tcPr>
            <w:tcW w:w="2475" w:type="dxa"/>
            <w:vMerge w:val="continue"/>
            <w:tcBorders>
              <w:tl2br w:val="nil"/>
              <w:tr2bl w:val="nil"/>
            </w:tcBorders>
            <w:noWrap/>
            <w:vAlign w:val="center"/>
          </w:tcPr>
          <w:p w14:paraId="5E5B3D00">
            <w:pPr>
              <w:jc w:val="center"/>
              <w:rPr>
                <w:rFonts w:hint="eastAsia" w:ascii="宋体" w:hAnsi="宋体" w:cs="宋体"/>
                <w:color w:val="auto"/>
                <w:sz w:val="22"/>
                <w:szCs w:val="22"/>
              </w:rPr>
            </w:pPr>
          </w:p>
        </w:tc>
        <w:tc>
          <w:tcPr>
            <w:tcW w:w="1635" w:type="dxa"/>
            <w:tcBorders>
              <w:tl2br w:val="nil"/>
              <w:tr2bl w:val="nil"/>
            </w:tcBorders>
            <w:noWrap/>
            <w:vAlign w:val="center"/>
          </w:tcPr>
          <w:p w14:paraId="5A97E3A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校准参量</w:t>
            </w:r>
          </w:p>
        </w:tc>
        <w:tc>
          <w:tcPr>
            <w:tcW w:w="1545" w:type="dxa"/>
            <w:tcBorders>
              <w:tl2br w:val="nil"/>
              <w:tr2bl w:val="nil"/>
            </w:tcBorders>
            <w:noWrap/>
            <w:vAlign w:val="center"/>
          </w:tcPr>
          <w:p w14:paraId="68B938E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测量范围</w:t>
            </w:r>
          </w:p>
        </w:tc>
        <w:tc>
          <w:tcPr>
            <w:tcW w:w="1275" w:type="dxa"/>
            <w:tcBorders>
              <w:tl2br w:val="nil"/>
              <w:tr2bl w:val="nil"/>
            </w:tcBorders>
            <w:noWrap/>
            <w:vAlign w:val="center"/>
          </w:tcPr>
          <w:p w14:paraId="2C45E15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不确定度</w:t>
            </w:r>
          </w:p>
        </w:tc>
      </w:tr>
      <w:tr w14:paraId="4956A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67580D8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w:t>
            </w:r>
          </w:p>
        </w:tc>
        <w:tc>
          <w:tcPr>
            <w:tcW w:w="1185" w:type="dxa"/>
            <w:vMerge w:val="restart"/>
            <w:tcBorders>
              <w:tl2br w:val="nil"/>
              <w:tr2bl w:val="nil"/>
            </w:tcBorders>
            <w:vAlign w:val="center"/>
          </w:tcPr>
          <w:p w14:paraId="3BB9671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除颤仪</w:t>
            </w:r>
          </w:p>
        </w:tc>
        <w:tc>
          <w:tcPr>
            <w:tcW w:w="2475" w:type="dxa"/>
            <w:vMerge w:val="restart"/>
            <w:tcBorders>
              <w:tl2br w:val="nil"/>
              <w:tr2bl w:val="nil"/>
            </w:tcBorders>
            <w:vAlign w:val="center"/>
          </w:tcPr>
          <w:p w14:paraId="7C022DF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心脏除颤器校准规范 JJF 1149-2014</w:t>
            </w:r>
          </w:p>
        </w:tc>
        <w:tc>
          <w:tcPr>
            <w:tcW w:w="1635" w:type="dxa"/>
            <w:tcBorders>
              <w:tl2br w:val="nil"/>
              <w:tr2bl w:val="nil"/>
            </w:tcBorders>
            <w:noWrap/>
            <w:vAlign w:val="center"/>
          </w:tcPr>
          <w:p w14:paraId="42FF48B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能量</w:t>
            </w:r>
          </w:p>
        </w:tc>
        <w:tc>
          <w:tcPr>
            <w:tcW w:w="1545" w:type="dxa"/>
            <w:tcBorders>
              <w:tl2br w:val="nil"/>
              <w:tr2bl w:val="nil"/>
            </w:tcBorders>
            <w:noWrap/>
            <w:vAlign w:val="center"/>
          </w:tcPr>
          <w:p w14:paraId="132A785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（0～360）J</w:t>
            </w:r>
          </w:p>
        </w:tc>
        <w:tc>
          <w:tcPr>
            <w:tcW w:w="1275" w:type="dxa"/>
            <w:tcBorders>
              <w:tl2br w:val="nil"/>
              <w:tr2bl w:val="nil"/>
            </w:tcBorders>
            <w:noWrap/>
            <w:vAlign w:val="center"/>
          </w:tcPr>
          <w:p w14:paraId="19C102C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=6%</w:t>
            </w:r>
          </w:p>
        </w:tc>
      </w:tr>
      <w:tr w14:paraId="519A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1E0C827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884D8CC">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13CD1F15">
            <w:pPr>
              <w:jc w:val="center"/>
              <w:rPr>
                <w:rFonts w:hint="eastAsia" w:ascii="宋体" w:hAnsi="宋体" w:cs="宋体"/>
                <w:color w:val="auto"/>
                <w:sz w:val="22"/>
                <w:szCs w:val="22"/>
              </w:rPr>
            </w:pPr>
          </w:p>
        </w:tc>
        <w:tc>
          <w:tcPr>
            <w:tcW w:w="1635" w:type="dxa"/>
            <w:tcBorders>
              <w:tl2br w:val="nil"/>
              <w:tr2bl w:val="nil"/>
            </w:tcBorders>
            <w:noWrap/>
            <w:vAlign w:val="center"/>
          </w:tcPr>
          <w:p w14:paraId="63D87E9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心率</w:t>
            </w:r>
          </w:p>
        </w:tc>
        <w:tc>
          <w:tcPr>
            <w:tcW w:w="1545" w:type="dxa"/>
            <w:tcBorders>
              <w:tl2br w:val="nil"/>
              <w:tr2bl w:val="nil"/>
            </w:tcBorders>
            <w:noWrap/>
            <w:vAlign w:val="center"/>
          </w:tcPr>
          <w:p w14:paraId="26A3332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（30～200）次/分</w:t>
            </w:r>
          </w:p>
        </w:tc>
        <w:tc>
          <w:tcPr>
            <w:tcW w:w="1275" w:type="dxa"/>
            <w:tcBorders>
              <w:tl2br w:val="nil"/>
              <w:tr2bl w:val="nil"/>
            </w:tcBorders>
            <w:noWrap/>
            <w:vAlign w:val="center"/>
          </w:tcPr>
          <w:p w14:paraId="3BEE27A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=3.7%</w:t>
            </w:r>
          </w:p>
        </w:tc>
      </w:tr>
      <w:tr w14:paraId="5B4F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15E210B9">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7B0833C">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76F343D7">
            <w:pPr>
              <w:jc w:val="center"/>
              <w:rPr>
                <w:rFonts w:hint="eastAsia" w:ascii="宋体" w:hAnsi="宋体" w:cs="宋体"/>
                <w:color w:val="auto"/>
                <w:sz w:val="22"/>
                <w:szCs w:val="22"/>
              </w:rPr>
            </w:pPr>
          </w:p>
        </w:tc>
        <w:tc>
          <w:tcPr>
            <w:tcW w:w="1635" w:type="dxa"/>
            <w:tcBorders>
              <w:tl2br w:val="nil"/>
              <w:tr2bl w:val="nil"/>
            </w:tcBorders>
            <w:noWrap/>
            <w:vAlign w:val="center"/>
          </w:tcPr>
          <w:p w14:paraId="2A39557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电压</w:t>
            </w:r>
          </w:p>
        </w:tc>
        <w:tc>
          <w:tcPr>
            <w:tcW w:w="1545" w:type="dxa"/>
            <w:tcBorders>
              <w:tl2br w:val="nil"/>
              <w:tr2bl w:val="nil"/>
            </w:tcBorders>
            <w:noWrap/>
            <w:vAlign w:val="center"/>
          </w:tcPr>
          <w:p w14:paraId="5830B8E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（0.5～2）mV</w:t>
            </w:r>
          </w:p>
        </w:tc>
        <w:tc>
          <w:tcPr>
            <w:tcW w:w="1275" w:type="dxa"/>
            <w:tcBorders>
              <w:tl2br w:val="nil"/>
              <w:tr2bl w:val="nil"/>
            </w:tcBorders>
            <w:noWrap/>
            <w:vAlign w:val="center"/>
          </w:tcPr>
          <w:p w14:paraId="21B21FFF">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=1.8%</w:t>
            </w:r>
          </w:p>
        </w:tc>
      </w:tr>
      <w:tr w14:paraId="320B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4B8624A6">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50FF6D2">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7C10E67">
            <w:pPr>
              <w:jc w:val="center"/>
              <w:rPr>
                <w:rFonts w:hint="eastAsia" w:ascii="宋体" w:hAnsi="宋体" w:cs="宋体"/>
                <w:color w:val="auto"/>
                <w:sz w:val="22"/>
                <w:szCs w:val="22"/>
              </w:rPr>
            </w:pPr>
          </w:p>
        </w:tc>
        <w:tc>
          <w:tcPr>
            <w:tcW w:w="1635" w:type="dxa"/>
            <w:tcBorders>
              <w:tl2br w:val="nil"/>
              <w:tr2bl w:val="nil"/>
            </w:tcBorders>
            <w:noWrap/>
            <w:vAlign w:val="center"/>
          </w:tcPr>
          <w:p w14:paraId="54C3484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扫描速度</w:t>
            </w:r>
          </w:p>
        </w:tc>
        <w:tc>
          <w:tcPr>
            <w:tcW w:w="1545" w:type="dxa"/>
            <w:tcBorders>
              <w:tl2br w:val="nil"/>
              <w:tr2bl w:val="nil"/>
            </w:tcBorders>
            <w:noWrap/>
            <w:vAlign w:val="center"/>
          </w:tcPr>
          <w:p w14:paraId="2F2DF96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25mm/s</w:t>
            </w:r>
          </w:p>
        </w:tc>
        <w:tc>
          <w:tcPr>
            <w:tcW w:w="1275" w:type="dxa"/>
            <w:tcBorders>
              <w:tl2br w:val="nil"/>
              <w:tr2bl w:val="nil"/>
            </w:tcBorders>
            <w:noWrap/>
            <w:vAlign w:val="center"/>
          </w:tcPr>
          <w:p w14:paraId="11CC0E84">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=1.8%</w:t>
            </w:r>
          </w:p>
        </w:tc>
      </w:tr>
      <w:tr w14:paraId="56D4E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3A14C79A">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11E769EC">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B25FAE4">
            <w:pPr>
              <w:jc w:val="center"/>
              <w:rPr>
                <w:rFonts w:hint="eastAsia" w:ascii="宋体" w:hAnsi="宋体" w:cs="宋体"/>
                <w:color w:val="auto"/>
                <w:sz w:val="22"/>
                <w:szCs w:val="22"/>
              </w:rPr>
            </w:pPr>
          </w:p>
        </w:tc>
        <w:tc>
          <w:tcPr>
            <w:tcW w:w="1635" w:type="dxa"/>
            <w:tcBorders>
              <w:tl2br w:val="nil"/>
              <w:tr2bl w:val="nil"/>
            </w:tcBorders>
            <w:noWrap/>
            <w:vAlign w:val="center"/>
          </w:tcPr>
          <w:p w14:paraId="22EF477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幅频特性</w:t>
            </w:r>
          </w:p>
        </w:tc>
        <w:tc>
          <w:tcPr>
            <w:tcW w:w="1545" w:type="dxa"/>
            <w:tcBorders>
              <w:tl2br w:val="nil"/>
              <w:tr2bl w:val="nil"/>
            </w:tcBorders>
            <w:noWrap/>
            <w:vAlign w:val="center"/>
          </w:tcPr>
          <w:p w14:paraId="63F3B97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(7～11）mm，(1～25）Hz</w:t>
            </w:r>
          </w:p>
        </w:tc>
        <w:tc>
          <w:tcPr>
            <w:tcW w:w="1275" w:type="dxa"/>
            <w:tcBorders>
              <w:tl2br w:val="nil"/>
              <w:tr2bl w:val="nil"/>
            </w:tcBorders>
            <w:noWrap/>
            <w:vAlign w:val="center"/>
          </w:tcPr>
          <w:p w14:paraId="3D7CED73">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=2.2%</w:t>
            </w:r>
          </w:p>
        </w:tc>
      </w:tr>
      <w:tr w14:paraId="6483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3C79D31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w:t>
            </w:r>
          </w:p>
        </w:tc>
        <w:tc>
          <w:tcPr>
            <w:tcW w:w="1185" w:type="dxa"/>
            <w:vMerge w:val="restart"/>
            <w:tcBorders>
              <w:tl2br w:val="nil"/>
              <w:tr2bl w:val="nil"/>
            </w:tcBorders>
            <w:vAlign w:val="center"/>
          </w:tcPr>
          <w:p w14:paraId="076A5AF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微量注射泵、输液泵</w:t>
            </w:r>
          </w:p>
        </w:tc>
        <w:tc>
          <w:tcPr>
            <w:tcW w:w="2475" w:type="dxa"/>
            <w:vMerge w:val="restart"/>
            <w:tcBorders>
              <w:tl2br w:val="nil"/>
              <w:tr2bl w:val="nil"/>
            </w:tcBorders>
            <w:vAlign w:val="center"/>
          </w:tcPr>
          <w:p w14:paraId="3315A20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医用注射泵和输液泵校准规范 JJF 1259-2018 </w:t>
            </w:r>
          </w:p>
        </w:tc>
        <w:tc>
          <w:tcPr>
            <w:tcW w:w="1635" w:type="dxa"/>
            <w:tcBorders>
              <w:tl2br w:val="nil"/>
              <w:tr2bl w:val="nil"/>
            </w:tcBorders>
            <w:noWrap/>
            <w:vAlign w:val="center"/>
          </w:tcPr>
          <w:p w14:paraId="5F7405A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流量</w:t>
            </w:r>
          </w:p>
        </w:tc>
        <w:tc>
          <w:tcPr>
            <w:tcW w:w="1545" w:type="dxa"/>
            <w:tcBorders>
              <w:tl2br w:val="nil"/>
              <w:tr2bl w:val="nil"/>
            </w:tcBorders>
            <w:noWrap/>
            <w:vAlign w:val="center"/>
          </w:tcPr>
          <w:p w14:paraId="15FBDF3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（5～1000） mL/h</w:t>
            </w:r>
          </w:p>
        </w:tc>
        <w:tc>
          <w:tcPr>
            <w:tcW w:w="1275" w:type="dxa"/>
            <w:tcBorders>
              <w:tl2br w:val="nil"/>
              <w:tr2bl w:val="nil"/>
            </w:tcBorders>
            <w:noWrap/>
            <w:vAlign w:val="center"/>
          </w:tcPr>
          <w:p w14:paraId="115B5349">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=2.3%</w:t>
            </w:r>
          </w:p>
        </w:tc>
      </w:tr>
      <w:tr w14:paraId="3383A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C6F7FA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43598BD">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5FF0DB27">
            <w:pPr>
              <w:jc w:val="center"/>
              <w:rPr>
                <w:rFonts w:hint="eastAsia" w:ascii="宋体" w:hAnsi="宋体" w:cs="宋体"/>
                <w:color w:val="auto"/>
                <w:sz w:val="22"/>
                <w:szCs w:val="22"/>
              </w:rPr>
            </w:pPr>
          </w:p>
        </w:tc>
        <w:tc>
          <w:tcPr>
            <w:tcW w:w="1635" w:type="dxa"/>
            <w:tcBorders>
              <w:tl2br w:val="nil"/>
              <w:tr2bl w:val="nil"/>
            </w:tcBorders>
            <w:noWrap/>
            <w:vAlign w:val="center"/>
          </w:tcPr>
          <w:p w14:paraId="2D4CECC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压力</w:t>
            </w:r>
          </w:p>
        </w:tc>
        <w:tc>
          <w:tcPr>
            <w:tcW w:w="1545" w:type="dxa"/>
            <w:tcBorders>
              <w:tl2br w:val="nil"/>
              <w:tr2bl w:val="nil"/>
            </w:tcBorders>
            <w:noWrap/>
            <w:vAlign w:val="center"/>
          </w:tcPr>
          <w:p w14:paraId="19E3B96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（0～200）kPa</w:t>
            </w:r>
          </w:p>
        </w:tc>
        <w:tc>
          <w:tcPr>
            <w:tcW w:w="1275" w:type="dxa"/>
            <w:tcBorders>
              <w:tl2br w:val="nil"/>
              <w:tr2bl w:val="nil"/>
            </w:tcBorders>
            <w:noWrap/>
            <w:vAlign w:val="center"/>
          </w:tcPr>
          <w:p w14:paraId="34EE3E64">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=2.5kPa</w:t>
            </w:r>
          </w:p>
        </w:tc>
      </w:tr>
      <w:tr w14:paraId="4D8F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29B4739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w:t>
            </w:r>
          </w:p>
        </w:tc>
        <w:tc>
          <w:tcPr>
            <w:tcW w:w="1185" w:type="dxa"/>
            <w:vMerge w:val="restart"/>
            <w:tcBorders>
              <w:tl2br w:val="nil"/>
              <w:tr2bl w:val="nil"/>
            </w:tcBorders>
            <w:vAlign w:val="center"/>
          </w:tcPr>
          <w:p w14:paraId="616EE2E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磁共振</w:t>
            </w:r>
          </w:p>
        </w:tc>
        <w:tc>
          <w:tcPr>
            <w:tcW w:w="2475" w:type="dxa"/>
            <w:vMerge w:val="restart"/>
            <w:tcBorders>
              <w:tl2br w:val="nil"/>
              <w:tr2bl w:val="nil"/>
            </w:tcBorders>
            <w:vAlign w:val="center"/>
          </w:tcPr>
          <w:p w14:paraId="4A205AD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医用磁共振成像系统校准规范 JJF(浙) 1157-2019 </w:t>
            </w:r>
          </w:p>
        </w:tc>
        <w:tc>
          <w:tcPr>
            <w:tcW w:w="1635" w:type="dxa"/>
            <w:tcBorders>
              <w:tl2br w:val="nil"/>
              <w:tr2bl w:val="nil"/>
            </w:tcBorders>
            <w:noWrap/>
            <w:vAlign w:val="center"/>
          </w:tcPr>
          <w:p w14:paraId="4F004FD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磁场强度</w:t>
            </w:r>
          </w:p>
        </w:tc>
        <w:tc>
          <w:tcPr>
            <w:tcW w:w="1545" w:type="dxa"/>
            <w:tcBorders>
              <w:tl2br w:val="nil"/>
              <w:tr2bl w:val="nil"/>
            </w:tcBorders>
            <w:noWrap/>
            <w:vAlign w:val="center"/>
          </w:tcPr>
          <w:p w14:paraId="272D9CB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（0.1～3.0)T</w:t>
            </w:r>
          </w:p>
        </w:tc>
        <w:tc>
          <w:tcPr>
            <w:tcW w:w="1275" w:type="dxa"/>
            <w:tcBorders>
              <w:tl2br w:val="nil"/>
              <w:tr2bl w:val="nil"/>
            </w:tcBorders>
            <w:noWrap/>
            <w:vAlign w:val="center"/>
          </w:tcPr>
          <w:p w14:paraId="4760DA1B">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=1.2%</w:t>
            </w:r>
          </w:p>
        </w:tc>
      </w:tr>
      <w:tr w14:paraId="5AEFB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081924F0">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81A1BA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6B9ADE9">
            <w:pPr>
              <w:jc w:val="center"/>
              <w:rPr>
                <w:rFonts w:hint="eastAsia" w:ascii="宋体" w:hAnsi="宋体" w:cs="宋体"/>
                <w:color w:val="auto"/>
                <w:sz w:val="22"/>
                <w:szCs w:val="22"/>
              </w:rPr>
            </w:pPr>
          </w:p>
        </w:tc>
        <w:tc>
          <w:tcPr>
            <w:tcW w:w="1635" w:type="dxa"/>
            <w:tcBorders>
              <w:tl2br w:val="nil"/>
              <w:tr2bl w:val="nil"/>
            </w:tcBorders>
            <w:noWrap/>
            <w:vAlign w:val="center"/>
          </w:tcPr>
          <w:p w14:paraId="0DCFB55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空间线性</w:t>
            </w:r>
          </w:p>
        </w:tc>
        <w:tc>
          <w:tcPr>
            <w:tcW w:w="1545" w:type="dxa"/>
            <w:tcBorders>
              <w:tl2br w:val="nil"/>
              <w:tr2bl w:val="nil"/>
            </w:tcBorders>
            <w:noWrap/>
            <w:vAlign w:val="center"/>
          </w:tcPr>
          <w:p w14:paraId="3ADC145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（2～8）mm</w:t>
            </w:r>
          </w:p>
        </w:tc>
        <w:tc>
          <w:tcPr>
            <w:tcW w:w="1275" w:type="dxa"/>
            <w:tcBorders>
              <w:tl2br w:val="nil"/>
              <w:tr2bl w:val="nil"/>
            </w:tcBorders>
            <w:noWrap/>
            <w:vAlign w:val="center"/>
          </w:tcPr>
          <w:p w14:paraId="56B34826">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=7.5%</w:t>
            </w:r>
          </w:p>
        </w:tc>
      </w:tr>
      <w:tr w14:paraId="5987C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0AA222E9">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91FCB61">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DF5C215">
            <w:pPr>
              <w:jc w:val="center"/>
              <w:rPr>
                <w:rFonts w:hint="eastAsia" w:ascii="宋体" w:hAnsi="宋体" w:cs="宋体"/>
                <w:color w:val="auto"/>
                <w:sz w:val="22"/>
                <w:szCs w:val="22"/>
              </w:rPr>
            </w:pPr>
          </w:p>
        </w:tc>
        <w:tc>
          <w:tcPr>
            <w:tcW w:w="1635" w:type="dxa"/>
            <w:tcBorders>
              <w:tl2br w:val="nil"/>
              <w:tr2bl w:val="nil"/>
            </w:tcBorders>
            <w:noWrap/>
            <w:vAlign w:val="center"/>
          </w:tcPr>
          <w:p w14:paraId="46E2935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层厚</w:t>
            </w:r>
          </w:p>
        </w:tc>
        <w:tc>
          <w:tcPr>
            <w:tcW w:w="1545" w:type="dxa"/>
            <w:tcBorders>
              <w:tl2br w:val="nil"/>
              <w:tr2bl w:val="nil"/>
            </w:tcBorders>
            <w:noWrap/>
            <w:vAlign w:val="center"/>
          </w:tcPr>
          <w:p w14:paraId="73223F9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（2～20）mm</w:t>
            </w:r>
          </w:p>
        </w:tc>
        <w:tc>
          <w:tcPr>
            <w:tcW w:w="1275" w:type="dxa"/>
            <w:tcBorders>
              <w:tl2br w:val="nil"/>
              <w:tr2bl w:val="nil"/>
            </w:tcBorders>
            <w:noWrap/>
            <w:vAlign w:val="center"/>
          </w:tcPr>
          <w:p w14:paraId="4E201E5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=3.8%</w:t>
            </w:r>
          </w:p>
        </w:tc>
      </w:tr>
      <w:tr w14:paraId="1CED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31FCF444">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30C9D1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DD60C3A">
            <w:pPr>
              <w:jc w:val="center"/>
              <w:rPr>
                <w:rFonts w:hint="eastAsia" w:ascii="宋体" w:hAnsi="宋体" w:cs="宋体"/>
                <w:color w:val="auto"/>
                <w:sz w:val="22"/>
                <w:szCs w:val="22"/>
              </w:rPr>
            </w:pPr>
          </w:p>
        </w:tc>
        <w:tc>
          <w:tcPr>
            <w:tcW w:w="1635" w:type="dxa"/>
            <w:tcBorders>
              <w:tl2br w:val="nil"/>
              <w:tr2bl w:val="nil"/>
            </w:tcBorders>
            <w:noWrap/>
            <w:vAlign w:val="center"/>
          </w:tcPr>
          <w:p w14:paraId="5C47A34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空间分辨力</w:t>
            </w:r>
          </w:p>
        </w:tc>
        <w:tc>
          <w:tcPr>
            <w:tcW w:w="1545" w:type="dxa"/>
            <w:tcBorders>
              <w:tl2br w:val="nil"/>
              <w:tr2bl w:val="nil"/>
            </w:tcBorders>
            <w:noWrap/>
            <w:vAlign w:val="center"/>
          </w:tcPr>
          <w:p w14:paraId="043CF26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（1～11）Lp/cm</w:t>
            </w:r>
          </w:p>
        </w:tc>
        <w:tc>
          <w:tcPr>
            <w:tcW w:w="1275" w:type="dxa"/>
            <w:tcBorders>
              <w:tl2br w:val="nil"/>
              <w:tr2bl w:val="nil"/>
            </w:tcBorders>
            <w:noWrap/>
            <w:vAlign w:val="center"/>
          </w:tcPr>
          <w:p w14:paraId="58D186F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=26%</w:t>
            </w:r>
          </w:p>
        </w:tc>
      </w:tr>
      <w:tr w14:paraId="390C2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11" w:type="dxa"/>
            <w:tcBorders>
              <w:tl2br w:val="nil"/>
              <w:tr2bl w:val="nil"/>
            </w:tcBorders>
            <w:noWrap/>
            <w:vAlign w:val="center"/>
          </w:tcPr>
          <w:p w14:paraId="35BE32D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w:t>
            </w:r>
          </w:p>
        </w:tc>
        <w:tc>
          <w:tcPr>
            <w:tcW w:w="1185" w:type="dxa"/>
            <w:tcBorders>
              <w:tl2br w:val="nil"/>
              <w:tr2bl w:val="nil"/>
            </w:tcBorders>
            <w:vAlign w:val="center"/>
          </w:tcPr>
          <w:p w14:paraId="064F388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负压表、空气表</w:t>
            </w:r>
          </w:p>
        </w:tc>
        <w:tc>
          <w:tcPr>
            <w:tcW w:w="2475" w:type="dxa"/>
            <w:tcBorders>
              <w:tl2br w:val="nil"/>
              <w:tr2bl w:val="nil"/>
            </w:tcBorders>
            <w:vAlign w:val="center"/>
          </w:tcPr>
          <w:p w14:paraId="7BD19FB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弹性元件式一般压力表、压力真空表和真空表检定规程 JJG 52-2013</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空盒气压表和空盒气压计检定规程 JJG 272等</w:t>
            </w:r>
          </w:p>
        </w:tc>
        <w:tc>
          <w:tcPr>
            <w:tcW w:w="1635" w:type="dxa"/>
            <w:tcBorders>
              <w:tl2br w:val="nil"/>
              <w:tr2bl w:val="nil"/>
            </w:tcBorders>
            <w:noWrap/>
            <w:vAlign w:val="center"/>
          </w:tcPr>
          <w:p w14:paraId="402DFCD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压力</w:t>
            </w:r>
          </w:p>
        </w:tc>
        <w:tc>
          <w:tcPr>
            <w:tcW w:w="1545" w:type="dxa"/>
            <w:tcBorders>
              <w:tl2br w:val="nil"/>
              <w:tr2bl w:val="nil"/>
            </w:tcBorders>
            <w:noWrap/>
            <w:vAlign w:val="center"/>
          </w:tcPr>
          <w:p w14:paraId="591EA7A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highlight w:val="none"/>
                <w:lang w:bidi="ar"/>
              </w:rPr>
              <w:t>（-0.1～</w:t>
            </w:r>
            <w:r>
              <w:rPr>
                <w:rFonts w:hint="eastAsia" w:ascii="宋体" w:hAnsi="宋体" w:cs="宋体"/>
                <w:color w:val="auto"/>
                <w:kern w:val="0"/>
                <w:sz w:val="22"/>
                <w:szCs w:val="22"/>
                <w:highlight w:val="none"/>
                <w:lang w:val="en-US" w:eastAsia="zh-CN" w:bidi="ar"/>
              </w:rPr>
              <w:t>25</w:t>
            </w:r>
            <w:r>
              <w:rPr>
                <w:rFonts w:hint="eastAsia" w:ascii="宋体" w:hAnsi="宋体" w:cs="宋体"/>
                <w:color w:val="auto"/>
                <w:kern w:val="0"/>
                <w:sz w:val="22"/>
                <w:szCs w:val="22"/>
                <w:highlight w:val="none"/>
                <w:lang w:bidi="ar"/>
              </w:rPr>
              <w:t>）MPa</w:t>
            </w:r>
          </w:p>
        </w:tc>
        <w:tc>
          <w:tcPr>
            <w:tcW w:w="1275" w:type="dxa"/>
            <w:tcBorders>
              <w:tl2br w:val="nil"/>
              <w:tr2bl w:val="nil"/>
            </w:tcBorders>
            <w:noWrap/>
            <w:vAlign w:val="center"/>
          </w:tcPr>
          <w:p w14:paraId="5AB16C7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=0.9%FS</w:t>
            </w:r>
          </w:p>
        </w:tc>
      </w:tr>
      <w:tr w14:paraId="3B21B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3D8FB7A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w:t>
            </w:r>
          </w:p>
        </w:tc>
        <w:tc>
          <w:tcPr>
            <w:tcW w:w="1185" w:type="dxa"/>
            <w:vMerge w:val="restart"/>
            <w:tcBorders>
              <w:tl2br w:val="nil"/>
              <w:tr2bl w:val="nil"/>
            </w:tcBorders>
            <w:vAlign w:val="center"/>
          </w:tcPr>
          <w:p w14:paraId="4C2F46E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B超、便携B超</w:t>
            </w:r>
          </w:p>
        </w:tc>
        <w:tc>
          <w:tcPr>
            <w:tcW w:w="2475" w:type="dxa"/>
            <w:vMerge w:val="restart"/>
            <w:tcBorders>
              <w:tl2br w:val="nil"/>
              <w:tr2bl w:val="nil"/>
            </w:tcBorders>
            <w:vAlign w:val="center"/>
          </w:tcPr>
          <w:p w14:paraId="44FFF9C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医用超声诊断仪超声源检定规程 JJG 639-1998</w:t>
            </w:r>
          </w:p>
        </w:tc>
        <w:tc>
          <w:tcPr>
            <w:tcW w:w="1635" w:type="dxa"/>
            <w:tcBorders>
              <w:tl2br w:val="nil"/>
              <w:tr2bl w:val="nil"/>
            </w:tcBorders>
            <w:vAlign w:val="center"/>
          </w:tcPr>
          <w:p w14:paraId="738769A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输出声强</w:t>
            </w:r>
          </w:p>
        </w:tc>
        <w:tc>
          <w:tcPr>
            <w:tcW w:w="1545" w:type="dxa"/>
            <w:tcBorders>
              <w:tl2br w:val="nil"/>
              <w:tr2bl w:val="nil"/>
            </w:tcBorders>
            <w:vAlign w:val="center"/>
          </w:tcPr>
          <w:p w14:paraId="559C215A">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30</w:t>
            </w:r>
            <w:r>
              <w:rPr>
                <w:rFonts w:hint="eastAsia" w:ascii="宋体" w:hAnsi="宋体" w:cs="宋体"/>
                <w:color w:val="auto"/>
                <w:kern w:val="0"/>
                <w:sz w:val="22"/>
                <w:szCs w:val="22"/>
                <w:lang w:eastAsia="zh-CN" w:bidi="ar"/>
              </w:rPr>
              <w:t>）</w:t>
            </w:r>
            <w:r>
              <w:rPr>
                <w:rFonts w:hint="eastAsia" w:ascii="宋体" w:hAnsi="宋体" w:cs="宋体"/>
                <w:color w:val="auto"/>
                <w:kern w:val="0"/>
                <w:sz w:val="22"/>
                <w:szCs w:val="22"/>
                <w:lang w:val="en-US" w:eastAsia="zh-CN" w:bidi="ar"/>
              </w:rPr>
              <w:t>W</w:t>
            </w:r>
          </w:p>
        </w:tc>
        <w:tc>
          <w:tcPr>
            <w:tcW w:w="1275" w:type="dxa"/>
            <w:tcBorders>
              <w:tl2br w:val="nil"/>
              <w:tr2bl w:val="nil"/>
            </w:tcBorders>
            <w:vAlign w:val="center"/>
          </w:tcPr>
          <w:p w14:paraId="31EDDD83">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=15%</w:t>
            </w:r>
          </w:p>
        </w:tc>
      </w:tr>
      <w:tr w14:paraId="79F6A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7D10157A">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CA794CB">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6AADC95">
            <w:pPr>
              <w:jc w:val="center"/>
              <w:rPr>
                <w:rFonts w:hint="eastAsia" w:ascii="宋体" w:hAnsi="宋体" w:cs="宋体"/>
                <w:color w:val="auto"/>
                <w:sz w:val="22"/>
                <w:szCs w:val="22"/>
              </w:rPr>
            </w:pPr>
          </w:p>
        </w:tc>
        <w:tc>
          <w:tcPr>
            <w:tcW w:w="1635" w:type="dxa"/>
            <w:tcBorders>
              <w:tl2br w:val="nil"/>
              <w:tr2bl w:val="nil"/>
            </w:tcBorders>
            <w:vAlign w:val="center"/>
          </w:tcPr>
          <w:p w14:paraId="78F50B3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几何位置</w:t>
            </w:r>
          </w:p>
        </w:tc>
        <w:tc>
          <w:tcPr>
            <w:tcW w:w="1545" w:type="dxa"/>
            <w:tcBorders>
              <w:tl2br w:val="nil"/>
              <w:tr2bl w:val="nil"/>
            </w:tcBorders>
            <w:vAlign w:val="center"/>
          </w:tcPr>
          <w:p w14:paraId="1E18C72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(0～250)mm</w:t>
            </w:r>
          </w:p>
        </w:tc>
        <w:tc>
          <w:tcPr>
            <w:tcW w:w="1275" w:type="dxa"/>
            <w:tcBorders>
              <w:tl2br w:val="nil"/>
              <w:tr2bl w:val="nil"/>
            </w:tcBorders>
            <w:vAlign w:val="center"/>
          </w:tcPr>
          <w:p w14:paraId="6173D73B">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=0.5 mm</w:t>
            </w:r>
          </w:p>
        </w:tc>
      </w:tr>
      <w:tr w14:paraId="4B8E4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47FFBA6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76BF394">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5B44C704">
            <w:pPr>
              <w:jc w:val="center"/>
              <w:rPr>
                <w:rFonts w:hint="eastAsia" w:ascii="宋体" w:hAnsi="宋体" w:cs="宋体"/>
                <w:color w:val="auto"/>
                <w:sz w:val="22"/>
                <w:szCs w:val="22"/>
              </w:rPr>
            </w:pPr>
          </w:p>
        </w:tc>
        <w:tc>
          <w:tcPr>
            <w:tcW w:w="1635" w:type="dxa"/>
            <w:tcBorders>
              <w:tl2br w:val="nil"/>
              <w:tr2bl w:val="nil"/>
            </w:tcBorders>
            <w:vAlign w:val="center"/>
          </w:tcPr>
          <w:p w14:paraId="604D43F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囊性病灶</w:t>
            </w:r>
          </w:p>
        </w:tc>
        <w:tc>
          <w:tcPr>
            <w:tcW w:w="1545" w:type="dxa"/>
            <w:tcBorders>
              <w:tl2br w:val="nil"/>
              <w:tr2bl w:val="nil"/>
            </w:tcBorders>
            <w:vAlign w:val="center"/>
          </w:tcPr>
          <w:p w14:paraId="6BD5DFC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(0～10)mm</w:t>
            </w:r>
          </w:p>
        </w:tc>
        <w:tc>
          <w:tcPr>
            <w:tcW w:w="1275" w:type="dxa"/>
            <w:tcBorders>
              <w:tl2br w:val="nil"/>
              <w:tr2bl w:val="nil"/>
            </w:tcBorders>
            <w:vAlign w:val="center"/>
          </w:tcPr>
          <w:p w14:paraId="765105F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=0.5 mm</w:t>
            </w:r>
          </w:p>
        </w:tc>
      </w:tr>
      <w:tr w14:paraId="731E2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0E4B9F0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6</w:t>
            </w:r>
          </w:p>
        </w:tc>
        <w:tc>
          <w:tcPr>
            <w:tcW w:w="1185" w:type="dxa"/>
            <w:vMerge w:val="restart"/>
            <w:tcBorders>
              <w:tl2br w:val="nil"/>
              <w:tr2bl w:val="nil"/>
            </w:tcBorders>
            <w:vAlign w:val="center"/>
          </w:tcPr>
          <w:p w14:paraId="6803772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移液器、瓶口移液器</w:t>
            </w:r>
          </w:p>
        </w:tc>
        <w:tc>
          <w:tcPr>
            <w:tcW w:w="2475" w:type="dxa"/>
            <w:vMerge w:val="restart"/>
            <w:tcBorders>
              <w:tl2br w:val="nil"/>
              <w:tr2bl w:val="nil"/>
            </w:tcBorders>
            <w:vAlign w:val="center"/>
          </w:tcPr>
          <w:p w14:paraId="0469334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移液器检定规程 JJG 646-2006 </w:t>
            </w:r>
          </w:p>
        </w:tc>
        <w:tc>
          <w:tcPr>
            <w:tcW w:w="1635" w:type="dxa"/>
            <w:vMerge w:val="restart"/>
            <w:tcBorders>
              <w:tl2br w:val="nil"/>
              <w:tr2bl w:val="nil"/>
            </w:tcBorders>
            <w:vAlign w:val="center"/>
          </w:tcPr>
          <w:p w14:paraId="4276813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容量</w:t>
            </w:r>
          </w:p>
        </w:tc>
        <w:tc>
          <w:tcPr>
            <w:tcW w:w="1545" w:type="dxa"/>
            <w:tcBorders>
              <w:tl2br w:val="nil"/>
              <w:tr2bl w:val="nil"/>
            </w:tcBorders>
            <w:vAlign w:val="center"/>
          </w:tcPr>
          <w:p w14:paraId="6012655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（10～20）μL</w:t>
            </w:r>
          </w:p>
        </w:tc>
        <w:tc>
          <w:tcPr>
            <w:tcW w:w="1275" w:type="dxa"/>
            <w:tcBorders>
              <w:tl2br w:val="nil"/>
              <w:tr2bl w:val="nil"/>
            </w:tcBorders>
            <w:vAlign w:val="center"/>
          </w:tcPr>
          <w:p w14:paraId="42E7CAB6">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=0.1μL</w:t>
            </w:r>
          </w:p>
        </w:tc>
      </w:tr>
      <w:tr w14:paraId="21C48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C4614E8">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C34182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FA3596E">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14581E49">
            <w:pPr>
              <w:jc w:val="center"/>
              <w:rPr>
                <w:rFonts w:hint="eastAsia" w:ascii="宋体" w:hAnsi="宋体" w:cs="宋体"/>
                <w:color w:val="auto"/>
                <w:sz w:val="22"/>
                <w:szCs w:val="22"/>
              </w:rPr>
            </w:pPr>
          </w:p>
        </w:tc>
        <w:tc>
          <w:tcPr>
            <w:tcW w:w="1545" w:type="dxa"/>
            <w:tcBorders>
              <w:tl2br w:val="nil"/>
              <w:tr2bl w:val="nil"/>
            </w:tcBorders>
            <w:vAlign w:val="center"/>
          </w:tcPr>
          <w:p w14:paraId="3816AD2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（＞20～200）μL</w:t>
            </w:r>
          </w:p>
        </w:tc>
        <w:tc>
          <w:tcPr>
            <w:tcW w:w="1275" w:type="dxa"/>
            <w:tcBorders>
              <w:tl2br w:val="nil"/>
              <w:tr2bl w:val="nil"/>
            </w:tcBorders>
            <w:vAlign w:val="center"/>
          </w:tcPr>
          <w:p w14:paraId="0C01D317">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=0.2μL</w:t>
            </w:r>
          </w:p>
        </w:tc>
      </w:tr>
      <w:tr w14:paraId="3D907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42A0656C">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299E30BF">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D3FDC45">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7838D366">
            <w:pPr>
              <w:jc w:val="center"/>
              <w:rPr>
                <w:rFonts w:hint="eastAsia" w:ascii="宋体" w:hAnsi="宋体" w:cs="宋体"/>
                <w:color w:val="auto"/>
                <w:sz w:val="22"/>
                <w:szCs w:val="22"/>
              </w:rPr>
            </w:pPr>
          </w:p>
        </w:tc>
        <w:tc>
          <w:tcPr>
            <w:tcW w:w="1545" w:type="dxa"/>
            <w:tcBorders>
              <w:tl2br w:val="nil"/>
              <w:tr2bl w:val="nil"/>
            </w:tcBorders>
            <w:vAlign w:val="center"/>
          </w:tcPr>
          <w:p w14:paraId="1F676D6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200～1000）μL</w:t>
            </w:r>
          </w:p>
        </w:tc>
        <w:tc>
          <w:tcPr>
            <w:tcW w:w="1275" w:type="dxa"/>
            <w:tcBorders>
              <w:tl2br w:val="nil"/>
              <w:tr2bl w:val="nil"/>
            </w:tcBorders>
            <w:vAlign w:val="center"/>
          </w:tcPr>
          <w:p w14:paraId="5D0FD653">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=1.3μL</w:t>
            </w:r>
          </w:p>
        </w:tc>
      </w:tr>
      <w:tr w14:paraId="5BD85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49879E53">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18CFC596">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203AB35">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2B7A72FE">
            <w:pPr>
              <w:jc w:val="center"/>
              <w:rPr>
                <w:rFonts w:hint="eastAsia" w:ascii="宋体" w:hAnsi="宋体" w:cs="宋体"/>
                <w:color w:val="auto"/>
                <w:sz w:val="22"/>
                <w:szCs w:val="22"/>
              </w:rPr>
            </w:pPr>
          </w:p>
        </w:tc>
        <w:tc>
          <w:tcPr>
            <w:tcW w:w="1545" w:type="dxa"/>
            <w:tcBorders>
              <w:tl2br w:val="nil"/>
              <w:tr2bl w:val="nil"/>
            </w:tcBorders>
            <w:vAlign w:val="center"/>
          </w:tcPr>
          <w:p w14:paraId="1EF8194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1000～10000)μL</w:t>
            </w:r>
          </w:p>
        </w:tc>
        <w:tc>
          <w:tcPr>
            <w:tcW w:w="1275" w:type="dxa"/>
            <w:tcBorders>
              <w:tl2br w:val="nil"/>
              <w:tr2bl w:val="nil"/>
            </w:tcBorders>
            <w:vAlign w:val="center"/>
          </w:tcPr>
          <w:p w14:paraId="0D4CAAE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=3.2μL</w:t>
            </w:r>
          </w:p>
        </w:tc>
      </w:tr>
      <w:tr w14:paraId="3B28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00FBDED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7</w:t>
            </w:r>
          </w:p>
        </w:tc>
        <w:tc>
          <w:tcPr>
            <w:tcW w:w="1185" w:type="dxa"/>
            <w:vMerge w:val="restart"/>
            <w:tcBorders>
              <w:tl2br w:val="nil"/>
              <w:tr2bl w:val="nil"/>
            </w:tcBorders>
            <w:vAlign w:val="center"/>
          </w:tcPr>
          <w:p w14:paraId="40DBC0D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电子计价秤、体重秤</w:t>
            </w:r>
          </w:p>
        </w:tc>
        <w:tc>
          <w:tcPr>
            <w:tcW w:w="2475" w:type="dxa"/>
            <w:vMerge w:val="restart"/>
            <w:tcBorders>
              <w:tl2br w:val="nil"/>
              <w:tr2bl w:val="nil"/>
            </w:tcBorders>
            <w:vAlign w:val="center"/>
          </w:tcPr>
          <w:p w14:paraId="467FE4E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数字指示秤检定规程 JJG 539-2016 </w:t>
            </w:r>
          </w:p>
        </w:tc>
        <w:tc>
          <w:tcPr>
            <w:tcW w:w="1635" w:type="dxa"/>
            <w:vMerge w:val="restart"/>
            <w:tcBorders>
              <w:tl2br w:val="nil"/>
              <w:tr2bl w:val="nil"/>
            </w:tcBorders>
            <w:vAlign w:val="center"/>
          </w:tcPr>
          <w:p w14:paraId="1570C0A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质量</w:t>
            </w:r>
          </w:p>
        </w:tc>
        <w:tc>
          <w:tcPr>
            <w:tcW w:w="1545" w:type="dxa"/>
            <w:tcBorders>
              <w:tl2br w:val="nil"/>
              <w:tr2bl w:val="nil"/>
            </w:tcBorders>
            <w:vAlign w:val="center"/>
          </w:tcPr>
          <w:p w14:paraId="10A3A12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（0～5）kg</w:t>
            </w:r>
          </w:p>
        </w:tc>
        <w:tc>
          <w:tcPr>
            <w:tcW w:w="1275" w:type="dxa"/>
            <w:tcBorders>
              <w:tl2br w:val="nil"/>
              <w:tr2bl w:val="nil"/>
            </w:tcBorders>
            <w:vAlign w:val="center"/>
          </w:tcPr>
          <w:p w14:paraId="0B3BCE54">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=0.7g</w:t>
            </w:r>
          </w:p>
        </w:tc>
      </w:tr>
      <w:tr w14:paraId="79099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769F334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CA7BC5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F7331C6">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5DCFA4A8">
            <w:pPr>
              <w:jc w:val="center"/>
              <w:rPr>
                <w:rFonts w:hint="eastAsia" w:ascii="宋体" w:hAnsi="宋体" w:cs="宋体"/>
                <w:color w:val="auto"/>
                <w:sz w:val="22"/>
                <w:szCs w:val="22"/>
              </w:rPr>
            </w:pPr>
          </w:p>
        </w:tc>
        <w:tc>
          <w:tcPr>
            <w:tcW w:w="1545" w:type="dxa"/>
            <w:tcBorders>
              <w:tl2br w:val="nil"/>
              <w:tr2bl w:val="nil"/>
            </w:tcBorders>
            <w:vAlign w:val="center"/>
          </w:tcPr>
          <w:p w14:paraId="2805708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（＞5～20）kg</w:t>
            </w:r>
          </w:p>
        </w:tc>
        <w:tc>
          <w:tcPr>
            <w:tcW w:w="1275" w:type="dxa"/>
            <w:tcBorders>
              <w:tl2br w:val="nil"/>
              <w:tr2bl w:val="nil"/>
            </w:tcBorders>
            <w:vAlign w:val="center"/>
          </w:tcPr>
          <w:p w14:paraId="0945311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=1.4g</w:t>
            </w:r>
          </w:p>
        </w:tc>
      </w:tr>
      <w:tr w14:paraId="3C77D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3EBF421">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595741B">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12955213">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08AC8E51">
            <w:pPr>
              <w:jc w:val="center"/>
              <w:rPr>
                <w:rFonts w:hint="eastAsia" w:ascii="宋体" w:hAnsi="宋体" w:cs="宋体"/>
                <w:color w:val="auto"/>
                <w:sz w:val="22"/>
                <w:szCs w:val="22"/>
              </w:rPr>
            </w:pPr>
          </w:p>
        </w:tc>
        <w:tc>
          <w:tcPr>
            <w:tcW w:w="1545" w:type="dxa"/>
            <w:tcBorders>
              <w:tl2br w:val="nil"/>
              <w:tr2bl w:val="nil"/>
            </w:tcBorders>
            <w:vAlign w:val="center"/>
          </w:tcPr>
          <w:p w14:paraId="4796AFA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（＞20～150）kg</w:t>
            </w:r>
          </w:p>
        </w:tc>
        <w:tc>
          <w:tcPr>
            <w:tcW w:w="1275" w:type="dxa"/>
            <w:tcBorders>
              <w:tl2br w:val="nil"/>
              <w:tr2bl w:val="nil"/>
            </w:tcBorders>
            <w:vAlign w:val="center"/>
          </w:tcPr>
          <w:p w14:paraId="098DB43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=10g</w:t>
            </w:r>
          </w:p>
        </w:tc>
      </w:tr>
      <w:tr w14:paraId="2E2FE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16259897">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F28ADA1">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77F1258B">
            <w:pPr>
              <w:jc w:val="center"/>
              <w:rPr>
                <w:rFonts w:hint="eastAsia" w:ascii="宋体" w:hAnsi="宋体" w:cs="宋体"/>
                <w:color w:val="auto"/>
                <w:sz w:val="22"/>
                <w:szCs w:val="22"/>
              </w:rPr>
            </w:pPr>
          </w:p>
        </w:tc>
        <w:tc>
          <w:tcPr>
            <w:tcW w:w="1635" w:type="dxa"/>
            <w:vMerge w:val="continue"/>
            <w:tcBorders>
              <w:tl2br w:val="nil"/>
              <w:tr2bl w:val="nil"/>
            </w:tcBorders>
            <w:vAlign w:val="center"/>
          </w:tcPr>
          <w:p w14:paraId="40049D6B">
            <w:pPr>
              <w:jc w:val="center"/>
              <w:rPr>
                <w:rFonts w:hint="eastAsia" w:ascii="宋体" w:hAnsi="宋体" w:cs="宋体"/>
                <w:color w:val="auto"/>
                <w:sz w:val="22"/>
                <w:szCs w:val="22"/>
              </w:rPr>
            </w:pPr>
          </w:p>
        </w:tc>
        <w:tc>
          <w:tcPr>
            <w:tcW w:w="1545" w:type="dxa"/>
            <w:tcBorders>
              <w:tl2br w:val="nil"/>
              <w:tr2bl w:val="nil"/>
            </w:tcBorders>
            <w:vAlign w:val="center"/>
          </w:tcPr>
          <w:p w14:paraId="53B54F9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（＞150～300）kg</w:t>
            </w:r>
          </w:p>
        </w:tc>
        <w:tc>
          <w:tcPr>
            <w:tcW w:w="1275" w:type="dxa"/>
            <w:tcBorders>
              <w:tl2br w:val="nil"/>
              <w:tr2bl w:val="nil"/>
            </w:tcBorders>
            <w:vAlign w:val="center"/>
          </w:tcPr>
          <w:p w14:paraId="00D6D14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=19g</w:t>
            </w:r>
          </w:p>
        </w:tc>
      </w:tr>
      <w:tr w14:paraId="3336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74122FA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8</w:t>
            </w:r>
          </w:p>
        </w:tc>
        <w:tc>
          <w:tcPr>
            <w:tcW w:w="1185" w:type="dxa"/>
            <w:vMerge w:val="restart"/>
            <w:tcBorders>
              <w:tl2br w:val="nil"/>
              <w:tr2bl w:val="nil"/>
            </w:tcBorders>
            <w:vAlign w:val="center"/>
          </w:tcPr>
          <w:p w14:paraId="01B7691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呼吸机、转运呼吸机</w:t>
            </w:r>
          </w:p>
        </w:tc>
        <w:tc>
          <w:tcPr>
            <w:tcW w:w="2475" w:type="dxa"/>
            <w:vMerge w:val="restart"/>
            <w:tcBorders>
              <w:tl2br w:val="nil"/>
              <w:tr2bl w:val="nil"/>
            </w:tcBorders>
            <w:vAlign w:val="center"/>
          </w:tcPr>
          <w:p w14:paraId="1D78F2F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呼吸机校准规范 JJF 1234-2018 </w:t>
            </w:r>
          </w:p>
        </w:tc>
        <w:tc>
          <w:tcPr>
            <w:tcW w:w="1635" w:type="dxa"/>
            <w:tcBorders>
              <w:tl2br w:val="nil"/>
              <w:tr2bl w:val="nil"/>
            </w:tcBorders>
            <w:vAlign w:val="center"/>
          </w:tcPr>
          <w:p w14:paraId="0814E44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潮气量</w:t>
            </w:r>
          </w:p>
        </w:tc>
        <w:tc>
          <w:tcPr>
            <w:tcW w:w="1545" w:type="dxa"/>
            <w:tcBorders>
              <w:tl2br w:val="nil"/>
              <w:tr2bl w:val="nil"/>
            </w:tcBorders>
            <w:vAlign w:val="center"/>
          </w:tcPr>
          <w:p w14:paraId="217B0F6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8</w:t>
            </w:r>
            <w:r>
              <w:rPr>
                <w:rFonts w:hint="eastAsia" w:ascii="宋体" w:hAnsi="宋体" w:cs="宋体"/>
                <w:color w:val="auto"/>
                <w:kern w:val="0"/>
                <w:sz w:val="22"/>
                <w:szCs w:val="22"/>
                <w:lang w:bidi="ar"/>
              </w:rPr>
              <w:t>00）mL</w:t>
            </w:r>
          </w:p>
        </w:tc>
        <w:tc>
          <w:tcPr>
            <w:tcW w:w="1275" w:type="dxa"/>
            <w:tcBorders>
              <w:tl2br w:val="nil"/>
              <w:tr2bl w:val="nil"/>
            </w:tcBorders>
            <w:vAlign w:val="center"/>
          </w:tcPr>
          <w:p w14:paraId="47C46A29">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=5%</w:t>
            </w:r>
          </w:p>
        </w:tc>
      </w:tr>
      <w:tr w14:paraId="0E624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75161CC">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34ED6FD6">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6E45B04">
            <w:pPr>
              <w:jc w:val="center"/>
              <w:rPr>
                <w:rFonts w:hint="eastAsia" w:ascii="宋体" w:hAnsi="宋体" w:cs="宋体"/>
                <w:color w:val="auto"/>
                <w:sz w:val="22"/>
                <w:szCs w:val="22"/>
              </w:rPr>
            </w:pPr>
          </w:p>
        </w:tc>
        <w:tc>
          <w:tcPr>
            <w:tcW w:w="1635" w:type="dxa"/>
            <w:tcBorders>
              <w:tl2br w:val="nil"/>
              <w:tr2bl w:val="nil"/>
            </w:tcBorders>
            <w:vAlign w:val="center"/>
          </w:tcPr>
          <w:p w14:paraId="1875EA3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气道峰压</w:t>
            </w:r>
          </w:p>
        </w:tc>
        <w:tc>
          <w:tcPr>
            <w:tcW w:w="1545" w:type="dxa"/>
            <w:tcBorders>
              <w:tl2br w:val="nil"/>
              <w:tr2bl w:val="nil"/>
            </w:tcBorders>
            <w:vAlign w:val="center"/>
          </w:tcPr>
          <w:p w14:paraId="7751DC8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（0～30）kPa</w:t>
            </w:r>
          </w:p>
        </w:tc>
        <w:tc>
          <w:tcPr>
            <w:tcW w:w="1275" w:type="dxa"/>
            <w:tcBorders>
              <w:tl2br w:val="nil"/>
              <w:tr2bl w:val="nil"/>
            </w:tcBorders>
            <w:vAlign w:val="center"/>
          </w:tcPr>
          <w:p w14:paraId="33DAEDC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=0.13kPa</w:t>
            </w:r>
          </w:p>
        </w:tc>
      </w:tr>
      <w:tr w14:paraId="09E2E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6B4CE7F9">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CAC218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3B89750">
            <w:pPr>
              <w:jc w:val="center"/>
              <w:rPr>
                <w:rFonts w:hint="eastAsia" w:ascii="宋体" w:hAnsi="宋体" w:cs="宋体"/>
                <w:color w:val="auto"/>
                <w:sz w:val="22"/>
                <w:szCs w:val="22"/>
              </w:rPr>
            </w:pPr>
          </w:p>
        </w:tc>
        <w:tc>
          <w:tcPr>
            <w:tcW w:w="1635" w:type="dxa"/>
            <w:tcBorders>
              <w:tl2br w:val="nil"/>
              <w:tr2bl w:val="nil"/>
            </w:tcBorders>
            <w:vAlign w:val="center"/>
          </w:tcPr>
          <w:p w14:paraId="65A00A4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呼气末正压</w:t>
            </w:r>
          </w:p>
        </w:tc>
        <w:tc>
          <w:tcPr>
            <w:tcW w:w="1545" w:type="dxa"/>
            <w:tcBorders>
              <w:tl2br w:val="nil"/>
              <w:tr2bl w:val="nil"/>
            </w:tcBorders>
            <w:vAlign w:val="center"/>
          </w:tcPr>
          <w:p w14:paraId="0543099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（0～30）kPa</w:t>
            </w:r>
          </w:p>
        </w:tc>
        <w:tc>
          <w:tcPr>
            <w:tcW w:w="1275" w:type="dxa"/>
            <w:tcBorders>
              <w:tl2br w:val="nil"/>
              <w:tr2bl w:val="nil"/>
            </w:tcBorders>
            <w:vAlign w:val="center"/>
          </w:tcPr>
          <w:p w14:paraId="00BEE47F">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=0.13kPa</w:t>
            </w:r>
          </w:p>
        </w:tc>
      </w:tr>
      <w:tr w14:paraId="0BC02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26E8D805">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37A94995">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4429ACC">
            <w:pPr>
              <w:jc w:val="center"/>
              <w:rPr>
                <w:rFonts w:hint="eastAsia" w:ascii="宋体" w:hAnsi="宋体" w:cs="宋体"/>
                <w:color w:val="auto"/>
                <w:sz w:val="22"/>
                <w:szCs w:val="22"/>
              </w:rPr>
            </w:pPr>
          </w:p>
        </w:tc>
        <w:tc>
          <w:tcPr>
            <w:tcW w:w="1635" w:type="dxa"/>
            <w:tcBorders>
              <w:tl2br w:val="nil"/>
              <w:tr2bl w:val="nil"/>
            </w:tcBorders>
            <w:vAlign w:val="center"/>
          </w:tcPr>
          <w:p w14:paraId="400522C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呼吸频率</w:t>
            </w:r>
          </w:p>
        </w:tc>
        <w:tc>
          <w:tcPr>
            <w:tcW w:w="1545" w:type="dxa"/>
            <w:tcBorders>
              <w:tl2br w:val="nil"/>
              <w:tr2bl w:val="nil"/>
            </w:tcBorders>
            <w:vAlign w:val="center"/>
          </w:tcPr>
          <w:p w14:paraId="5578255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（10～40）次/分</w:t>
            </w:r>
          </w:p>
        </w:tc>
        <w:tc>
          <w:tcPr>
            <w:tcW w:w="1275" w:type="dxa"/>
            <w:tcBorders>
              <w:tl2br w:val="nil"/>
              <w:tr2bl w:val="nil"/>
            </w:tcBorders>
            <w:vAlign w:val="center"/>
          </w:tcPr>
          <w:p w14:paraId="55BF4616">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=7%</w:t>
            </w:r>
          </w:p>
        </w:tc>
      </w:tr>
      <w:tr w14:paraId="04CF9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5A667EE5">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95061AF">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2DC7789">
            <w:pPr>
              <w:jc w:val="center"/>
              <w:rPr>
                <w:rFonts w:hint="eastAsia" w:ascii="宋体" w:hAnsi="宋体" w:cs="宋体"/>
                <w:color w:val="auto"/>
                <w:sz w:val="22"/>
                <w:szCs w:val="22"/>
              </w:rPr>
            </w:pPr>
          </w:p>
        </w:tc>
        <w:tc>
          <w:tcPr>
            <w:tcW w:w="1635" w:type="dxa"/>
            <w:tcBorders>
              <w:tl2br w:val="nil"/>
              <w:tr2bl w:val="nil"/>
            </w:tcBorders>
            <w:vAlign w:val="center"/>
          </w:tcPr>
          <w:p w14:paraId="0F43817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氧浓度</w:t>
            </w:r>
          </w:p>
        </w:tc>
        <w:tc>
          <w:tcPr>
            <w:tcW w:w="1545" w:type="dxa"/>
            <w:tcBorders>
              <w:tl2br w:val="nil"/>
              <w:tr2bl w:val="nil"/>
            </w:tcBorders>
            <w:vAlign w:val="center"/>
          </w:tcPr>
          <w:p w14:paraId="7AAF509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21%～100%</w:t>
            </w:r>
          </w:p>
        </w:tc>
        <w:tc>
          <w:tcPr>
            <w:tcW w:w="1275" w:type="dxa"/>
            <w:tcBorders>
              <w:tl2br w:val="nil"/>
              <w:tr2bl w:val="nil"/>
            </w:tcBorders>
            <w:vAlign w:val="center"/>
          </w:tcPr>
          <w:p w14:paraId="1AA08EB4">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=2.4%</w:t>
            </w:r>
          </w:p>
        </w:tc>
      </w:tr>
      <w:tr w14:paraId="25DCB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54AFA75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9</w:t>
            </w:r>
          </w:p>
        </w:tc>
        <w:tc>
          <w:tcPr>
            <w:tcW w:w="1185" w:type="dxa"/>
            <w:vMerge w:val="restart"/>
            <w:tcBorders>
              <w:tl2br w:val="nil"/>
              <w:tr2bl w:val="nil"/>
            </w:tcBorders>
            <w:vAlign w:val="center"/>
          </w:tcPr>
          <w:p w14:paraId="3759047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麻醉机</w:t>
            </w:r>
          </w:p>
        </w:tc>
        <w:tc>
          <w:tcPr>
            <w:tcW w:w="2475" w:type="dxa"/>
            <w:vMerge w:val="restart"/>
            <w:tcBorders>
              <w:tl2br w:val="nil"/>
              <w:tr2bl w:val="nil"/>
            </w:tcBorders>
            <w:vAlign w:val="center"/>
          </w:tcPr>
          <w:p w14:paraId="5D0A0B0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JJF(黔) 30-2018 麻醉机校准规范</w:t>
            </w:r>
          </w:p>
        </w:tc>
        <w:tc>
          <w:tcPr>
            <w:tcW w:w="1635" w:type="dxa"/>
            <w:tcBorders>
              <w:tl2br w:val="nil"/>
              <w:tr2bl w:val="nil"/>
            </w:tcBorders>
            <w:noWrap/>
            <w:vAlign w:val="center"/>
          </w:tcPr>
          <w:p w14:paraId="0852351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潮气量</w:t>
            </w:r>
          </w:p>
        </w:tc>
        <w:tc>
          <w:tcPr>
            <w:tcW w:w="1545" w:type="dxa"/>
            <w:tcBorders>
              <w:tl2br w:val="nil"/>
              <w:tr2bl w:val="nil"/>
            </w:tcBorders>
            <w:vAlign w:val="center"/>
          </w:tcPr>
          <w:p w14:paraId="06D1E79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（400～1000）mL</w:t>
            </w:r>
          </w:p>
        </w:tc>
        <w:tc>
          <w:tcPr>
            <w:tcW w:w="1275" w:type="dxa"/>
            <w:tcBorders>
              <w:tl2br w:val="nil"/>
              <w:tr2bl w:val="nil"/>
            </w:tcBorders>
            <w:vAlign w:val="center"/>
          </w:tcPr>
          <w:p w14:paraId="29B6B822">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=5%</w:t>
            </w:r>
          </w:p>
        </w:tc>
      </w:tr>
      <w:tr w14:paraId="7E5FD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2571C51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0065B7D">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2AA8637">
            <w:pPr>
              <w:jc w:val="center"/>
              <w:rPr>
                <w:rFonts w:hint="eastAsia" w:ascii="宋体" w:hAnsi="宋体" w:cs="宋体"/>
                <w:color w:val="auto"/>
                <w:sz w:val="22"/>
                <w:szCs w:val="22"/>
              </w:rPr>
            </w:pPr>
          </w:p>
        </w:tc>
        <w:tc>
          <w:tcPr>
            <w:tcW w:w="1635" w:type="dxa"/>
            <w:tcBorders>
              <w:tl2br w:val="nil"/>
              <w:tr2bl w:val="nil"/>
            </w:tcBorders>
            <w:noWrap/>
            <w:vAlign w:val="center"/>
          </w:tcPr>
          <w:p w14:paraId="35FA872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气道峰压</w:t>
            </w:r>
          </w:p>
        </w:tc>
        <w:tc>
          <w:tcPr>
            <w:tcW w:w="1545" w:type="dxa"/>
            <w:tcBorders>
              <w:tl2br w:val="nil"/>
              <w:tr2bl w:val="nil"/>
            </w:tcBorders>
            <w:vAlign w:val="center"/>
          </w:tcPr>
          <w:p w14:paraId="053867E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（1.0～3.0）kPa</w:t>
            </w:r>
          </w:p>
        </w:tc>
        <w:tc>
          <w:tcPr>
            <w:tcW w:w="1275" w:type="dxa"/>
            <w:tcBorders>
              <w:tl2br w:val="nil"/>
              <w:tr2bl w:val="nil"/>
            </w:tcBorders>
            <w:vAlign w:val="center"/>
          </w:tcPr>
          <w:p w14:paraId="628F95E6">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=0.13kPa</w:t>
            </w:r>
          </w:p>
        </w:tc>
      </w:tr>
      <w:tr w14:paraId="36571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27EB755D">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030903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3D8E8EF">
            <w:pPr>
              <w:jc w:val="center"/>
              <w:rPr>
                <w:rFonts w:hint="eastAsia" w:ascii="宋体" w:hAnsi="宋体" w:cs="宋体"/>
                <w:color w:val="auto"/>
                <w:sz w:val="22"/>
                <w:szCs w:val="22"/>
              </w:rPr>
            </w:pPr>
          </w:p>
        </w:tc>
        <w:tc>
          <w:tcPr>
            <w:tcW w:w="1635" w:type="dxa"/>
            <w:tcBorders>
              <w:tl2br w:val="nil"/>
              <w:tr2bl w:val="nil"/>
            </w:tcBorders>
            <w:vAlign w:val="center"/>
          </w:tcPr>
          <w:p w14:paraId="29500BB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呼气末正压</w:t>
            </w:r>
          </w:p>
        </w:tc>
        <w:tc>
          <w:tcPr>
            <w:tcW w:w="1545" w:type="dxa"/>
            <w:tcBorders>
              <w:tl2br w:val="nil"/>
              <w:tr2bl w:val="nil"/>
            </w:tcBorders>
            <w:vAlign w:val="center"/>
          </w:tcPr>
          <w:p w14:paraId="76A2E45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（0.2～2.0）kPa</w:t>
            </w:r>
          </w:p>
        </w:tc>
        <w:tc>
          <w:tcPr>
            <w:tcW w:w="1275" w:type="dxa"/>
            <w:tcBorders>
              <w:tl2br w:val="nil"/>
              <w:tr2bl w:val="nil"/>
            </w:tcBorders>
            <w:vAlign w:val="center"/>
          </w:tcPr>
          <w:p w14:paraId="149C39C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=0.13kPa</w:t>
            </w:r>
          </w:p>
        </w:tc>
      </w:tr>
      <w:tr w14:paraId="61F4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6DE59F81">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92C73A4">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6461CC1">
            <w:pPr>
              <w:jc w:val="center"/>
              <w:rPr>
                <w:rFonts w:hint="eastAsia" w:ascii="宋体" w:hAnsi="宋体" w:cs="宋体"/>
                <w:color w:val="auto"/>
                <w:sz w:val="22"/>
                <w:szCs w:val="22"/>
              </w:rPr>
            </w:pPr>
          </w:p>
        </w:tc>
        <w:tc>
          <w:tcPr>
            <w:tcW w:w="1635" w:type="dxa"/>
            <w:tcBorders>
              <w:tl2br w:val="nil"/>
              <w:tr2bl w:val="nil"/>
            </w:tcBorders>
            <w:vAlign w:val="center"/>
          </w:tcPr>
          <w:p w14:paraId="379C280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呼吸频率</w:t>
            </w:r>
          </w:p>
        </w:tc>
        <w:tc>
          <w:tcPr>
            <w:tcW w:w="1545" w:type="dxa"/>
            <w:tcBorders>
              <w:tl2br w:val="nil"/>
              <w:tr2bl w:val="nil"/>
            </w:tcBorders>
            <w:vAlign w:val="center"/>
          </w:tcPr>
          <w:p w14:paraId="5A5C490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（10～40）次/分</w:t>
            </w:r>
          </w:p>
        </w:tc>
        <w:tc>
          <w:tcPr>
            <w:tcW w:w="1275" w:type="dxa"/>
            <w:tcBorders>
              <w:tl2br w:val="nil"/>
              <w:tr2bl w:val="nil"/>
            </w:tcBorders>
            <w:vAlign w:val="center"/>
          </w:tcPr>
          <w:p w14:paraId="5361C570">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=7%</w:t>
            </w:r>
          </w:p>
        </w:tc>
      </w:tr>
      <w:tr w14:paraId="5A4D2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18EFC5C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14EE0577">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17E956C8">
            <w:pPr>
              <w:jc w:val="center"/>
              <w:rPr>
                <w:rFonts w:hint="eastAsia" w:ascii="宋体" w:hAnsi="宋体" w:cs="宋体"/>
                <w:color w:val="auto"/>
                <w:sz w:val="22"/>
                <w:szCs w:val="22"/>
              </w:rPr>
            </w:pPr>
          </w:p>
        </w:tc>
        <w:tc>
          <w:tcPr>
            <w:tcW w:w="1635" w:type="dxa"/>
            <w:tcBorders>
              <w:tl2br w:val="nil"/>
              <w:tr2bl w:val="nil"/>
            </w:tcBorders>
            <w:vAlign w:val="center"/>
          </w:tcPr>
          <w:p w14:paraId="5FB4C80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输出氧浓度</w:t>
            </w:r>
          </w:p>
        </w:tc>
        <w:tc>
          <w:tcPr>
            <w:tcW w:w="1545" w:type="dxa"/>
            <w:tcBorders>
              <w:tl2br w:val="nil"/>
              <w:tr2bl w:val="nil"/>
            </w:tcBorders>
            <w:vAlign w:val="center"/>
          </w:tcPr>
          <w:p w14:paraId="7B1B238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21%～100%</w:t>
            </w:r>
          </w:p>
        </w:tc>
        <w:tc>
          <w:tcPr>
            <w:tcW w:w="1275" w:type="dxa"/>
            <w:tcBorders>
              <w:tl2br w:val="nil"/>
              <w:tr2bl w:val="nil"/>
            </w:tcBorders>
            <w:vAlign w:val="center"/>
          </w:tcPr>
          <w:p w14:paraId="47D7066C">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=2.4%</w:t>
            </w:r>
          </w:p>
        </w:tc>
      </w:tr>
      <w:tr w14:paraId="54352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1588632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w:t>
            </w:r>
          </w:p>
        </w:tc>
        <w:tc>
          <w:tcPr>
            <w:tcW w:w="1185" w:type="dxa"/>
            <w:vMerge w:val="restart"/>
            <w:tcBorders>
              <w:tl2br w:val="nil"/>
              <w:tr2bl w:val="nil"/>
            </w:tcBorders>
            <w:vAlign w:val="center"/>
          </w:tcPr>
          <w:p w14:paraId="7DA6D69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离心机</w:t>
            </w:r>
          </w:p>
        </w:tc>
        <w:tc>
          <w:tcPr>
            <w:tcW w:w="2475" w:type="dxa"/>
            <w:vMerge w:val="restart"/>
            <w:tcBorders>
              <w:tl2br w:val="nil"/>
              <w:tr2bl w:val="nil"/>
            </w:tcBorders>
            <w:vAlign w:val="center"/>
          </w:tcPr>
          <w:p w14:paraId="5290A43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JJF 2004-2022 医用离心机校准规范</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或  JJF(浙)1117-2015医用离心机校准规范</w:t>
            </w:r>
          </w:p>
        </w:tc>
        <w:tc>
          <w:tcPr>
            <w:tcW w:w="1635" w:type="dxa"/>
            <w:tcBorders>
              <w:tl2br w:val="nil"/>
              <w:tr2bl w:val="nil"/>
            </w:tcBorders>
            <w:noWrap/>
            <w:vAlign w:val="center"/>
          </w:tcPr>
          <w:p w14:paraId="4E987AA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转速</w:t>
            </w:r>
          </w:p>
        </w:tc>
        <w:tc>
          <w:tcPr>
            <w:tcW w:w="1545" w:type="dxa"/>
            <w:tcBorders>
              <w:tl2br w:val="nil"/>
              <w:tr2bl w:val="nil"/>
            </w:tcBorders>
            <w:noWrap/>
            <w:vAlign w:val="center"/>
          </w:tcPr>
          <w:p w14:paraId="2266716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（100～30000）r/min</w:t>
            </w:r>
          </w:p>
        </w:tc>
        <w:tc>
          <w:tcPr>
            <w:tcW w:w="1275" w:type="dxa"/>
            <w:tcBorders>
              <w:tl2br w:val="nil"/>
              <w:tr2bl w:val="nil"/>
            </w:tcBorders>
            <w:noWrap/>
            <w:vAlign w:val="center"/>
          </w:tcPr>
          <w:p w14:paraId="09E830F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=0.2%</w:t>
            </w:r>
          </w:p>
        </w:tc>
      </w:tr>
      <w:tr w14:paraId="5A51F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2579FD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0516BA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8530C25">
            <w:pPr>
              <w:jc w:val="center"/>
              <w:rPr>
                <w:rFonts w:hint="eastAsia" w:ascii="宋体" w:hAnsi="宋体" w:cs="宋体"/>
                <w:color w:val="auto"/>
                <w:sz w:val="22"/>
                <w:szCs w:val="22"/>
              </w:rPr>
            </w:pPr>
          </w:p>
        </w:tc>
        <w:tc>
          <w:tcPr>
            <w:tcW w:w="1635" w:type="dxa"/>
            <w:tcBorders>
              <w:tl2br w:val="nil"/>
              <w:tr2bl w:val="nil"/>
            </w:tcBorders>
            <w:noWrap/>
            <w:vAlign w:val="center"/>
          </w:tcPr>
          <w:p w14:paraId="392D8E9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温度</w:t>
            </w:r>
          </w:p>
        </w:tc>
        <w:tc>
          <w:tcPr>
            <w:tcW w:w="1545" w:type="dxa"/>
            <w:tcBorders>
              <w:tl2br w:val="nil"/>
              <w:tr2bl w:val="nil"/>
            </w:tcBorders>
            <w:noWrap/>
            <w:vAlign w:val="center"/>
          </w:tcPr>
          <w:p w14:paraId="0EDA251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（20～150）℃</w:t>
            </w:r>
          </w:p>
        </w:tc>
        <w:tc>
          <w:tcPr>
            <w:tcW w:w="1275" w:type="dxa"/>
            <w:tcBorders>
              <w:tl2br w:val="nil"/>
              <w:tr2bl w:val="nil"/>
            </w:tcBorders>
            <w:noWrap/>
            <w:vAlign w:val="center"/>
          </w:tcPr>
          <w:p w14:paraId="5034570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=0.6℃</w:t>
            </w:r>
          </w:p>
        </w:tc>
      </w:tr>
      <w:tr w14:paraId="6D5D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416C2A4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w:t>
            </w:r>
          </w:p>
        </w:tc>
        <w:tc>
          <w:tcPr>
            <w:tcW w:w="1185" w:type="dxa"/>
            <w:vMerge w:val="restart"/>
            <w:tcBorders>
              <w:tl2br w:val="nil"/>
              <w:tr2bl w:val="nil"/>
            </w:tcBorders>
            <w:vAlign w:val="center"/>
          </w:tcPr>
          <w:p w14:paraId="29B6C1B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高压灭菌锅</w:t>
            </w:r>
          </w:p>
        </w:tc>
        <w:tc>
          <w:tcPr>
            <w:tcW w:w="2475" w:type="dxa"/>
            <w:vMerge w:val="restart"/>
            <w:tcBorders>
              <w:tl2br w:val="nil"/>
              <w:tr2bl w:val="nil"/>
            </w:tcBorders>
            <w:vAlign w:val="center"/>
          </w:tcPr>
          <w:p w14:paraId="4FA8619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JJF(浙) 1120-2019 蒸汽灭菌器温度、压力校准规范</w:t>
            </w:r>
          </w:p>
        </w:tc>
        <w:tc>
          <w:tcPr>
            <w:tcW w:w="1635" w:type="dxa"/>
            <w:tcBorders>
              <w:tl2br w:val="nil"/>
              <w:tr2bl w:val="nil"/>
            </w:tcBorders>
            <w:noWrap/>
            <w:vAlign w:val="center"/>
          </w:tcPr>
          <w:p w14:paraId="6BAFE72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温度</w:t>
            </w:r>
          </w:p>
        </w:tc>
        <w:tc>
          <w:tcPr>
            <w:tcW w:w="1545" w:type="dxa"/>
            <w:tcBorders>
              <w:tl2br w:val="nil"/>
              <w:tr2bl w:val="nil"/>
            </w:tcBorders>
            <w:noWrap/>
            <w:vAlign w:val="center"/>
          </w:tcPr>
          <w:p w14:paraId="139CCFA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-30</w:t>
            </w:r>
            <w:r>
              <w:rPr>
                <w:rFonts w:hint="eastAsia" w:ascii="宋体" w:hAnsi="宋体" w:cs="宋体"/>
                <w:color w:val="auto"/>
                <w:kern w:val="0"/>
                <w:sz w:val="22"/>
                <w:szCs w:val="22"/>
                <w:lang w:bidi="ar"/>
              </w:rPr>
              <w:t>～1</w:t>
            </w: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0）℃</w:t>
            </w:r>
          </w:p>
        </w:tc>
        <w:tc>
          <w:tcPr>
            <w:tcW w:w="1275" w:type="dxa"/>
            <w:tcBorders>
              <w:tl2br w:val="nil"/>
              <w:tr2bl w:val="nil"/>
            </w:tcBorders>
            <w:noWrap/>
            <w:vAlign w:val="center"/>
          </w:tcPr>
          <w:p w14:paraId="3F1384C6">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=0.7℃</w:t>
            </w:r>
          </w:p>
        </w:tc>
      </w:tr>
      <w:tr w14:paraId="33CB7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0032113">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DAE3C14">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FCDAC80">
            <w:pPr>
              <w:jc w:val="center"/>
              <w:rPr>
                <w:rFonts w:hint="eastAsia" w:ascii="宋体" w:hAnsi="宋体" w:cs="宋体"/>
                <w:color w:val="auto"/>
                <w:sz w:val="22"/>
                <w:szCs w:val="22"/>
              </w:rPr>
            </w:pPr>
          </w:p>
        </w:tc>
        <w:tc>
          <w:tcPr>
            <w:tcW w:w="1635" w:type="dxa"/>
            <w:tcBorders>
              <w:tl2br w:val="nil"/>
              <w:tr2bl w:val="nil"/>
            </w:tcBorders>
            <w:noWrap/>
            <w:vAlign w:val="center"/>
          </w:tcPr>
          <w:p w14:paraId="531BF55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压力</w:t>
            </w:r>
          </w:p>
        </w:tc>
        <w:tc>
          <w:tcPr>
            <w:tcW w:w="1545" w:type="dxa"/>
            <w:tcBorders>
              <w:tl2br w:val="nil"/>
              <w:tr2bl w:val="nil"/>
            </w:tcBorders>
            <w:noWrap/>
            <w:vAlign w:val="center"/>
          </w:tcPr>
          <w:p w14:paraId="080CB7A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绝压：（0～</w:t>
            </w: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00）kPa</w:t>
            </w:r>
          </w:p>
        </w:tc>
        <w:tc>
          <w:tcPr>
            <w:tcW w:w="1275" w:type="dxa"/>
            <w:tcBorders>
              <w:tl2br w:val="nil"/>
              <w:tr2bl w:val="nil"/>
            </w:tcBorders>
            <w:noWrap/>
            <w:vAlign w:val="center"/>
          </w:tcPr>
          <w:p w14:paraId="5F4476E0">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=1.4 kPa</w:t>
            </w:r>
          </w:p>
        </w:tc>
      </w:tr>
      <w:tr w14:paraId="1E43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7AE2E5C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12</w:t>
            </w:r>
          </w:p>
        </w:tc>
        <w:tc>
          <w:tcPr>
            <w:tcW w:w="1185" w:type="dxa"/>
            <w:vMerge w:val="restart"/>
            <w:tcBorders>
              <w:tl2br w:val="nil"/>
              <w:tr2bl w:val="nil"/>
            </w:tcBorders>
            <w:vAlign w:val="center"/>
          </w:tcPr>
          <w:p w14:paraId="27E1A7F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生物安全柜</w:t>
            </w:r>
          </w:p>
        </w:tc>
        <w:tc>
          <w:tcPr>
            <w:tcW w:w="2475" w:type="dxa"/>
            <w:vMerge w:val="restart"/>
            <w:tcBorders>
              <w:tl2br w:val="nil"/>
              <w:tr2bl w:val="nil"/>
            </w:tcBorders>
            <w:vAlign w:val="center"/>
          </w:tcPr>
          <w:p w14:paraId="23D49AB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GB 41918-2022 生物安全柜国家标准 </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或      YY0569-2011</w:t>
            </w:r>
          </w:p>
        </w:tc>
        <w:tc>
          <w:tcPr>
            <w:tcW w:w="1635" w:type="dxa"/>
            <w:tcBorders>
              <w:tl2br w:val="nil"/>
              <w:tr2bl w:val="nil"/>
            </w:tcBorders>
            <w:noWrap/>
            <w:vAlign w:val="center"/>
          </w:tcPr>
          <w:p w14:paraId="15B28EC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振动</w:t>
            </w:r>
          </w:p>
        </w:tc>
        <w:tc>
          <w:tcPr>
            <w:tcW w:w="1545" w:type="dxa"/>
            <w:tcBorders>
              <w:tl2br w:val="nil"/>
              <w:tr2bl w:val="nil"/>
            </w:tcBorders>
            <w:noWrap/>
            <w:vAlign w:val="center"/>
          </w:tcPr>
          <w:p w14:paraId="181E27A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5DE6C8B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1736A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48A4178D">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04DCE67">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831A73D">
            <w:pPr>
              <w:jc w:val="center"/>
              <w:rPr>
                <w:rFonts w:hint="eastAsia" w:ascii="宋体" w:hAnsi="宋体" w:cs="宋体"/>
                <w:color w:val="auto"/>
                <w:sz w:val="22"/>
                <w:szCs w:val="22"/>
              </w:rPr>
            </w:pPr>
          </w:p>
        </w:tc>
        <w:tc>
          <w:tcPr>
            <w:tcW w:w="1635" w:type="dxa"/>
            <w:tcBorders>
              <w:tl2br w:val="nil"/>
              <w:tr2bl w:val="nil"/>
            </w:tcBorders>
            <w:noWrap/>
            <w:vAlign w:val="center"/>
          </w:tcPr>
          <w:p w14:paraId="3D86C22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流入气流流速</w:t>
            </w:r>
          </w:p>
        </w:tc>
        <w:tc>
          <w:tcPr>
            <w:tcW w:w="1545" w:type="dxa"/>
            <w:tcBorders>
              <w:tl2br w:val="nil"/>
              <w:tr2bl w:val="nil"/>
            </w:tcBorders>
            <w:noWrap/>
            <w:vAlign w:val="center"/>
          </w:tcPr>
          <w:p w14:paraId="36C262E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16D5B004">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33D7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659B9A6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FBCBF80">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AE49C65">
            <w:pPr>
              <w:jc w:val="center"/>
              <w:rPr>
                <w:rFonts w:hint="eastAsia" w:ascii="宋体" w:hAnsi="宋体" w:cs="宋体"/>
                <w:color w:val="auto"/>
                <w:sz w:val="22"/>
                <w:szCs w:val="22"/>
              </w:rPr>
            </w:pPr>
          </w:p>
        </w:tc>
        <w:tc>
          <w:tcPr>
            <w:tcW w:w="1635" w:type="dxa"/>
            <w:tcBorders>
              <w:tl2br w:val="nil"/>
              <w:tr2bl w:val="nil"/>
            </w:tcBorders>
            <w:noWrap/>
            <w:vAlign w:val="center"/>
          </w:tcPr>
          <w:p w14:paraId="11B10CD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气流模式</w:t>
            </w:r>
          </w:p>
        </w:tc>
        <w:tc>
          <w:tcPr>
            <w:tcW w:w="1545" w:type="dxa"/>
            <w:tcBorders>
              <w:tl2br w:val="nil"/>
              <w:tr2bl w:val="nil"/>
            </w:tcBorders>
            <w:noWrap/>
            <w:vAlign w:val="center"/>
          </w:tcPr>
          <w:p w14:paraId="23EC810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6E98AAA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4C925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56F8BC52">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C490AE6">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3F0AB768">
            <w:pPr>
              <w:jc w:val="center"/>
              <w:rPr>
                <w:rFonts w:hint="eastAsia" w:ascii="宋体" w:hAnsi="宋体" w:cs="宋体"/>
                <w:color w:val="auto"/>
                <w:sz w:val="22"/>
                <w:szCs w:val="22"/>
              </w:rPr>
            </w:pPr>
          </w:p>
        </w:tc>
        <w:tc>
          <w:tcPr>
            <w:tcW w:w="1635" w:type="dxa"/>
            <w:tcBorders>
              <w:tl2br w:val="nil"/>
              <w:tr2bl w:val="nil"/>
            </w:tcBorders>
            <w:noWrap/>
            <w:vAlign w:val="center"/>
          </w:tcPr>
          <w:p w14:paraId="03EAFFF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噪声</w:t>
            </w:r>
          </w:p>
        </w:tc>
        <w:tc>
          <w:tcPr>
            <w:tcW w:w="1545" w:type="dxa"/>
            <w:tcBorders>
              <w:tl2br w:val="nil"/>
              <w:tr2bl w:val="nil"/>
            </w:tcBorders>
            <w:noWrap/>
            <w:vAlign w:val="center"/>
          </w:tcPr>
          <w:p w14:paraId="1D5B799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4C5832C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2DC52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4881163">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B7679C3">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F42D213">
            <w:pPr>
              <w:jc w:val="center"/>
              <w:rPr>
                <w:rFonts w:hint="eastAsia" w:ascii="宋体" w:hAnsi="宋体" w:cs="宋体"/>
                <w:color w:val="auto"/>
                <w:sz w:val="22"/>
                <w:szCs w:val="22"/>
              </w:rPr>
            </w:pPr>
          </w:p>
        </w:tc>
        <w:tc>
          <w:tcPr>
            <w:tcW w:w="1635" w:type="dxa"/>
            <w:tcBorders>
              <w:tl2br w:val="nil"/>
              <w:tr2bl w:val="nil"/>
            </w:tcBorders>
            <w:noWrap/>
            <w:vAlign w:val="center"/>
          </w:tcPr>
          <w:p w14:paraId="3F806FF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高效空气过滤器完整性</w:t>
            </w:r>
          </w:p>
        </w:tc>
        <w:tc>
          <w:tcPr>
            <w:tcW w:w="1545" w:type="dxa"/>
            <w:tcBorders>
              <w:tl2br w:val="nil"/>
              <w:tr2bl w:val="nil"/>
            </w:tcBorders>
            <w:noWrap/>
            <w:vAlign w:val="center"/>
          </w:tcPr>
          <w:p w14:paraId="7A25616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617072FB">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6A7E7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7B45680D">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5F74E1D">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720B0336">
            <w:pPr>
              <w:jc w:val="center"/>
              <w:rPr>
                <w:rFonts w:hint="eastAsia" w:ascii="宋体" w:hAnsi="宋体" w:cs="宋体"/>
                <w:color w:val="auto"/>
                <w:sz w:val="22"/>
                <w:szCs w:val="22"/>
              </w:rPr>
            </w:pPr>
          </w:p>
        </w:tc>
        <w:tc>
          <w:tcPr>
            <w:tcW w:w="1635" w:type="dxa"/>
            <w:tcBorders>
              <w:tl2br w:val="nil"/>
              <w:tr2bl w:val="nil"/>
            </w:tcBorders>
            <w:noWrap/>
            <w:vAlign w:val="center"/>
          </w:tcPr>
          <w:p w14:paraId="2BA5B16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下降气流流速</w:t>
            </w:r>
          </w:p>
        </w:tc>
        <w:tc>
          <w:tcPr>
            <w:tcW w:w="1545" w:type="dxa"/>
            <w:tcBorders>
              <w:tl2br w:val="nil"/>
              <w:tr2bl w:val="nil"/>
            </w:tcBorders>
            <w:noWrap/>
            <w:vAlign w:val="center"/>
          </w:tcPr>
          <w:p w14:paraId="348FEA4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3FA0018F">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6445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70FF17FF">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F77418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8657D82">
            <w:pPr>
              <w:jc w:val="center"/>
              <w:rPr>
                <w:rFonts w:hint="eastAsia" w:ascii="宋体" w:hAnsi="宋体" w:cs="宋体"/>
                <w:color w:val="auto"/>
                <w:sz w:val="22"/>
                <w:szCs w:val="22"/>
              </w:rPr>
            </w:pPr>
          </w:p>
        </w:tc>
        <w:tc>
          <w:tcPr>
            <w:tcW w:w="1635" w:type="dxa"/>
            <w:tcBorders>
              <w:tl2br w:val="nil"/>
              <w:tr2bl w:val="nil"/>
            </w:tcBorders>
            <w:noWrap/>
            <w:vAlign w:val="center"/>
          </w:tcPr>
          <w:p w14:paraId="4E89015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照度</w:t>
            </w:r>
          </w:p>
        </w:tc>
        <w:tc>
          <w:tcPr>
            <w:tcW w:w="1545" w:type="dxa"/>
            <w:tcBorders>
              <w:tl2br w:val="nil"/>
              <w:tr2bl w:val="nil"/>
            </w:tcBorders>
            <w:noWrap/>
            <w:vAlign w:val="center"/>
          </w:tcPr>
          <w:p w14:paraId="002A517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25762958">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57A44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271AE8B2">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58E1C7C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6DD2EF0B">
            <w:pPr>
              <w:jc w:val="center"/>
              <w:rPr>
                <w:rFonts w:hint="eastAsia" w:ascii="宋体" w:hAnsi="宋体" w:cs="宋体"/>
                <w:color w:val="auto"/>
                <w:sz w:val="22"/>
                <w:szCs w:val="22"/>
              </w:rPr>
            </w:pPr>
          </w:p>
        </w:tc>
        <w:tc>
          <w:tcPr>
            <w:tcW w:w="1635" w:type="dxa"/>
            <w:tcBorders>
              <w:tl2br w:val="nil"/>
              <w:tr2bl w:val="nil"/>
            </w:tcBorders>
            <w:noWrap/>
            <w:vAlign w:val="center"/>
          </w:tcPr>
          <w:p w14:paraId="26CC367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人员保护试验</w:t>
            </w:r>
          </w:p>
        </w:tc>
        <w:tc>
          <w:tcPr>
            <w:tcW w:w="1545" w:type="dxa"/>
            <w:tcBorders>
              <w:tl2br w:val="nil"/>
              <w:tr2bl w:val="nil"/>
            </w:tcBorders>
            <w:noWrap/>
            <w:vAlign w:val="center"/>
          </w:tcPr>
          <w:p w14:paraId="36788A5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c>
          <w:tcPr>
            <w:tcW w:w="1275" w:type="dxa"/>
            <w:tcBorders>
              <w:tl2br w:val="nil"/>
              <w:tr2bl w:val="nil"/>
            </w:tcBorders>
            <w:noWrap/>
            <w:vAlign w:val="center"/>
          </w:tcPr>
          <w:p w14:paraId="5D3197A7">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w:t>
            </w:r>
          </w:p>
        </w:tc>
      </w:tr>
      <w:tr w14:paraId="67A35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07A6605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13</w:t>
            </w:r>
          </w:p>
        </w:tc>
        <w:tc>
          <w:tcPr>
            <w:tcW w:w="1185" w:type="dxa"/>
            <w:vMerge w:val="restart"/>
            <w:tcBorders>
              <w:tl2br w:val="nil"/>
              <w:tr2bl w:val="nil"/>
            </w:tcBorders>
            <w:vAlign w:val="center"/>
          </w:tcPr>
          <w:p w14:paraId="700D3AE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显微镜</w:t>
            </w:r>
          </w:p>
        </w:tc>
        <w:tc>
          <w:tcPr>
            <w:tcW w:w="2475" w:type="dxa"/>
            <w:vMerge w:val="restart"/>
            <w:tcBorders>
              <w:tl2br w:val="nil"/>
              <w:tr2bl w:val="nil"/>
            </w:tcBorders>
            <w:vAlign w:val="center"/>
          </w:tcPr>
          <w:p w14:paraId="4BCC652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JJF 1402-2013 生物显微镜校准规范</w:t>
            </w:r>
          </w:p>
        </w:tc>
        <w:tc>
          <w:tcPr>
            <w:tcW w:w="1635" w:type="dxa"/>
            <w:tcBorders>
              <w:tl2br w:val="nil"/>
              <w:tr2bl w:val="nil"/>
            </w:tcBorders>
            <w:vAlign w:val="center"/>
          </w:tcPr>
          <w:p w14:paraId="15D5ADB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长度</w:t>
            </w:r>
          </w:p>
        </w:tc>
        <w:tc>
          <w:tcPr>
            <w:tcW w:w="1545" w:type="dxa"/>
            <w:tcBorders>
              <w:tl2br w:val="nil"/>
              <w:tr2bl w:val="nil"/>
            </w:tcBorders>
            <w:vAlign w:val="center"/>
          </w:tcPr>
          <w:p w14:paraId="08710FB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（0～10）mm</w:t>
            </w:r>
          </w:p>
        </w:tc>
        <w:tc>
          <w:tcPr>
            <w:tcW w:w="1275" w:type="dxa"/>
            <w:tcBorders>
              <w:tl2br w:val="nil"/>
              <w:tr2bl w:val="nil"/>
            </w:tcBorders>
            <w:vAlign w:val="center"/>
          </w:tcPr>
          <w:p w14:paraId="4DEFFF4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=3μm</w:t>
            </w:r>
          </w:p>
        </w:tc>
      </w:tr>
      <w:tr w14:paraId="7DD4C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34D091C6">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2C5B38B3">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D84A8C3">
            <w:pPr>
              <w:jc w:val="center"/>
              <w:rPr>
                <w:rFonts w:hint="eastAsia" w:ascii="宋体" w:hAnsi="宋体" w:cs="宋体"/>
                <w:color w:val="auto"/>
                <w:sz w:val="22"/>
                <w:szCs w:val="22"/>
              </w:rPr>
            </w:pPr>
          </w:p>
        </w:tc>
        <w:tc>
          <w:tcPr>
            <w:tcW w:w="1635" w:type="dxa"/>
            <w:tcBorders>
              <w:tl2br w:val="nil"/>
              <w:tr2bl w:val="nil"/>
            </w:tcBorders>
            <w:vAlign w:val="center"/>
          </w:tcPr>
          <w:p w14:paraId="28BB519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放大倍数</w:t>
            </w:r>
          </w:p>
        </w:tc>
        <w:tc>
          <w:tcPr>
            <w:tcW w:w="1545" w:type="dxa"/>
            <w:tcBorders>
              <w:tl2br w:val="nil"/>
              <w:tr2bl w:val="nil"/>
            </w:tcBorders>
            <w:vAlign w:val="center"/>
          </w:tcPr>
          <w:p w14:paraId="7EB5D29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～100）×</w:t>
            </w:r>
          </w:p>
        </w:tc>
        <w:tc>
          <w:tcPr>
            <w:tcW w:w="1275" w:type="dxa"/>
            <w:tcBorders>
              <w:tl2br w:val="nil"/>
              <w:tr2bl w:val="nil"/>
            </w:tcBorders>
            <w:vAlign w:val="center"/>
          </w:tcPr>
          <w:p w14:paraId="1B06A31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=1.2 %</w:t>
            </w:r>
          </w:p>
        </w:tc>
      </w:tr>
      <w:tr w14:paraId="3999D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11" w:type="dxa"/>
            <w:tcBorders>
              <w:tl2br w:val="nil"/>
              <w:tr2bl w:val="nil"/>
            </w:tcBorders>
            <w:noWrap/>
            <w:vAlign w:val="center"/>
          </w:tcPr>
          <w:p w14:paraId="6C37465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14</w:t>
            </w:r>
          </w:p>
        </w:tc>
        <w:tc>
          <w:tcPr>
            <w:tcW w:w="1185" w:type="dxa"/>
            <w:tcBorders>
              <w:tl2br w:val="nil"/>
              <w:tr2bl w:val="nil"/>
            </w:tcBorders>
            <w:vAlign w:val="center"/>
          </w:tcPr>
          <w:p w14:paraId="27DC525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水平摇床、旋涡振荡器</w:t>
            </w:r>
          </w:p>
        </w:tc>
        <w:tc>
          <w:tcPr>
            <w:tcW w:w="2475" w:type="dxa"/>
            <w:tcBorders>
              <w:tl2br w:val="nil"/>
              <w:tr2bl w:val="nil"/>
            </w:tcBorders>
            <w:vAlign w:val="center"/>
          </w:tcPr>
          <w:p w14:paraId="0C4A466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医用离心机校准规范 JJF 2004-2022</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或  JJF(浙)1117-2015医用离心机校准规范</w:t>
            </w:r>
          </w:p>
        </w:tc>
        <w:tc>
          <w:tcPr>
            <w:tcW w:w="1635" w:type="dxa"/>
            <w:tcBorders>
              <w:tl2br w:val="nil"/>
              <w:tr2bl w:val="nil"/>
            </w:tcBorders>
            <w:noWrap/>
            <w:vAlign w:val="center"/>
          </w:tcPr>
          <w:p w14:paraId="54B645C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转速</w:t>
            </w:r>
          </w:p>
        </w:tc>
        <w:tc>
          <w:tcPr>
            <w:tcW w:w="1545" w:type="dxa"/>
            <w:tcBorders>
              <w:tl2br w:val="nil"/>
              <w:tr2bl w:val="nil"/>
            </w:tcBorders>
            <w:vAlign w:val="center"/>
          </w:tcPr>
          <w:p w14:paraId="11420C3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(100～30000)r/min</w:t>
            </w:r>
          </w:p>
        </w:tc>
        <w:tc>
          <w:tcPr>
            <w:tcW w:w="1275" w:type="dxa"/>
            <w:tcBorders>
              <w:tl2br w:val="nil"/>
              <w:tr2bl w:val="nil"/>
            </w:tcBorders>
            <w:vAlign w:val="center"/>
          </w:tcPr>
          <w:p w14:paraId="75C4317C">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=0.2%</w:t>
            </w:r>
          </w:p>
        </w:tc>
      </w:tr>
      <w:tr w14:paraId="01E0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1C9FD97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15</w:t>
            </w:r>
          </w:p>
        </w:tc>
        <w:tc>
          <w:tcPr>
            <w:tcW w:w="1185" w:type="dxa"/>
            <w:vMerge w:val="restart"/>
            <w:tcBorders>
              <w:tl2br w:val="nil"/>
              <w:tr2bl w:val="nil"/>
            </w:tcBorders>
            <w:vAlign w:val="center"/>
          </w:tcPr>
          <w:p w14:paraId="5322AA1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玻璃器具</w:t>
            </w:r>
          </w:p>
        </w:tc>
        <w:tc>
          <w:tcPr>
            <w:tcW w:w="2475" w:type="dxa"/>
            <w:vMerge w:val="restart"/>
            <w:tcBorders>
              <w:tl2br w:val="nil"/>
              <w:tr2bl w:val="nil"/>
            </w:tcBorders>
            <w:vAlign w:val="center"/>
          </w:tcPr>
          <w:p w14:paraId="7064FA1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玻璃量器检定规程 JJG 196-2006 </w:t>
            </w:r>
          </w:p>
        </w:tc>
        <w:tc>
          <w:tcPr>
            <w:tcW w:w="1635" w:type="dxa"/>
            <w:vMerge w:val="restart"/>
            <w:tcBorders>
              <w:tl2br w:val="nil"/>
              <w:tr2bl w:val="nil"/>
            </w:tcBorders>
            <w:noWrap/>
            <w:vAlign w:val="center"/>
          </w:tcPr>
          <w:p w14:paraId="693DC0A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容量</w:t>
            </w:r>
          </w:p>
        </w:tc>
        <w:tc>
          <w:tcPr>
            <w:tcW w:w="1545" w:type="dxa"/>
            <w:tcBorders>
              <w:tl2br w:val="nil"/>
              <w:tr2bl w:val="nil"/>
            </w:tcBorders>
            <w:vAlign w:val="center"/>
          </w:tcPr>
          <w:p w14:paraId="18AA33D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（0.1～1）mL</w:t>
            </w:r>
          </w:p>
        </w:tc>
        <w:tc>
          <w:tcPr>
            <w:tcW w:w="1275" w:type="dxa"/>
            <w:tcBorders>
              <w:tl2br w:val="nil"/>
              <w:tr2bl w:val="nil"/>
            </w:tcBorders>
            <w:vAlign w:val="center"/>
          </w:tcPr>
          <w:p w14:paraId="44B142D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=0.001mL</w:t>
            </w:r>
          </w:p>
        </w:tc>
      </w:tr>
      <w:tr w14:paraId="271C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10DA4574">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5335E3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3279D81A">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2B5D49D3">
            <w:pPr>
              <w:jc w:val="center"/>
              <w:rPr>
                <w:rFonts w:hint="eastAsia" w:ascii="宋体" w:hAnsi="宋体" w:cs="宋体"/>
                <w:color w:val="auto"/>
                <w:sz w:val="22"/>
                <w:szCs w:val="22"/>
              </w:rPr>
            </w:pPr>
          </w:p>
        </w:tc>
        <w:tc>
          <w:tcPr>
            <w:tcW w:w="1545" w:type="dxa"/>
            <w:tcBorders>
              <w:tl2br w:val="nil"/>
              <w:tr2bl w:val="nil"/>
            </w:tcBorders>
            <w:vAlign w:val="center"/>
          </w:tcPr>
          <w:p w14:paraId="4E8823D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（＞1～10）mL</w:t>
            </w:r>
          </w:p>
        </w:tc>
        <w:tc>
          <w:tcPr>
            <w:tcW w:w="1275" w:type="dxa"/>
            <w:tcBorders>
              <w:tl2br w:val="nil"/>
              <w:tr2bl w:val="nil"/>
            </w:tcBorders>
            <w:vAlign w:val="center"/>
          </w:tcPr>
          <w:p w14:paraId="0D64CF3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=0.003mL</w:t>
            </w:r>
          </w:p>
        </w:tc>
      </w:tr>
      <w:tr w14:paraId="7EE6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67FAF98">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43E9A8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1D725C89">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2B42000B">
            <w:pPr>
              <w:jc w:val="center"/>
              <w:rPr>
                <w:rFonts w:hint="eastAsia" w:ascii="宋体" w:hAnsi="宋体" w:cs="宋体"/>
                <w:color w:val="auto"/>
                <w:sz w:val="22"/>
                <w:szCs w:val="22"/>
              </w:rPr>
            </w:pPr>
          </w:p>
        </w:tc>
        <w:tc>
          <w:tcPr>
            <w:tcW w:w="1545" w:type="dxa"/>
            <w:tcBorders>
              <w:tl2br w:val="nil"/>
              <w:tr2bl w:val="nil"/>
            </w:tcBorders>
            <w:vAlign w:val="center"/>
          </w:tcPr>
          <w:p w14:paraId="29FCDDA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（＞10～20）mL</w:t>
            </w:r>
          </w:p>
        </w:tc>
        <w:tc>
          <w:tcPr>
            <w:tcW w:w="1275" w:type="dxa"/>
            <w:tcBorders>
              <w:tl2br w:val="nil"/>
              <w:tr2bl w:val="nil"/>
            </w:tcBorders>
            <w:vAlign w:val="center"/>
          </w:tcPr>
          <w:p w14:paraId="3A84AA49">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=0.007mL</w:t>
            </w:r>
          </w:p>
        </w:tc>
      </w:tr>
      <w:tr w14:paraId="66D7D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1C86C0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CE33956">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EF16772">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2F2C619F">
            <w:pPr>
              <w:jc w:val="center"/>
              <w:rPr>
                <w:rFonts w:hint="eastAsia" w:ascii="宋体" w:hAnsi="宋体" w:cs="宋体"/>
                <w:color w:val="auto"/>
                <w:sz w:val="22"/>
                <w:szCs w:val="22"/>
              </w:rPr>
            </w:pPr>
          </w:p>
        </w:tc>
        <w:tc>
          <w:tcPr>
            <w:tcW w:w="1545" w:type="dxa"/>
            <w:tcBorders>
              <w:tl2br w:val="nil"/>
              <w:tr2bl w:val="nil"/>
            </w:tcBorders>
            <w:vAlign w:val="center"/>
          </w:tcPr>
          <w:p w14:paraId="197B485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（＞20～50）mL</w:t>
            </w:r>
          </w:p>
        </w:tc>
        <w:tc>
          <w:tcPr>
            <w:tcW w:w="1275" w:type="dxa"/>
            <w:tcBorders>
              <w:tl2br w:val="nil"/>
              <w:tr2bl w:val="nil"/>
            </w:tcBorders>
            <w:vAlign w:val="center"/>
          </w:tcPr>
          <w:p w14:paraId="2BD527C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=0.010mL</w:t>
            </w:r>
          </w:p>
        </w:tc>
      </w:tr>
      <w:tr w14:paraId="13A0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7E75ACA">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3B8EEA0B">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F3723D1">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206EF9F3">
            <w:pPr>
              <w:jc w:val="center"/>
              <w:rPr>
                <w:rFonts w:hint="eastAsia" w:ascii="宋体" w:hAnsi="宋体" w:cs="宋体"/>
                <w:color w:val="auto"/>
                <w:sz w:val="22"/>
                <w:szCs w:val="22"/>
              </w:rPr>
            </w:pPr>
          </w:p>
        </w:tc>
        <w:tc>
          <w:tcPr>
            <w:tcW w:w="1545" w:type="dxa"/>
            <w:tcBorders>
              <w:tl2br w:val="nil"/>
              <w:tr2bl w:val="nil"/>
            </w:tcBorders>
            <w:vAlign w:val="center"/>
          </w:tcPr>
          <w:p w14:paraId="0490F5A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（＞50～100）mL</w:t>
            </w:r>
          </w:p>
        </w:tc>
        <w:tc>
          <w:tcPr>
            <w:tcW w:w="1275" w:type="dxa"/>
            <w:tcBorders>
              <w:tl2br w:val="nil"/>
              <w:tr2bl w:val="nil"/>
            </w:tcBorders>
            <w:vAlign w:val="center"/>
          </w:tcPr>
          <w:p w14:paraId="21945CF8">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=0.015mL</w:t>
            </w:r>
          </w:p>
        </w:tc>
      </w:tr>
      <w:tr w14:paraId="5BFE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7F6CA7C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843C9D7">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383C8D1E">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643F9F07">
            <w:pPr>
              <w:jc w:val="center"/>
              <w:rPr>
                <w:rFonts w:hint="eastAsia" w:ascii="宋体" w:hAnsi="宋体" w:cs="宋体"/>
                <w:color w:val="auto"/>
                <w:sz w:val="22"/>
                <w:szCs w:val="22"/>
              </w:rPr>
            </w:pPr>
          </w:p>
        </w:tc>
        <w:tc>
          <w:tcPr>
            <w:tcW w:w="1545" w:type="dxa"/>
            <w:tcBorders>
              <w:tl2br w:val="nil"/>
              <w:tr2bl w:val="nil"/>
            </w:tcBorders>
            <w:vAlign w:val="center"/>
          </w:tcPr>
          <w:p w14:paraId="5D2083A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（＞100～500）mL</w:t>
            </w:r>
          </w:p>
        </w:tc>
        <w:tc>
          <w:tcPr>
            <w:tcW w:w="1275" w:type="dxa"/>
            <w:tcBorders>
              <w:tl2br w:val="nil"/>
              <w:tr2bl w:val="nil"/>
            </w:tcBorders>
            <w:vAlign w:val="center"/>
          </w:tcPr>
          <w:p w14:paraId="698A83FB">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=0.04mL</w:t>
            </w:r>
          </w:p>
        </w:tc>
      </w:tr>
      <w:tr w14:paraId="254CE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1A9C6C89">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19B604E1">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1E56B136">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64E77257">
            <w:pPr>
              <w:jc w:val="center"/>
              <w:rPr>
                <w:rFonts w:hint="eastAsia" w:ascii="宋体" w:hAnsi="宋体" w:cs="宋体"/>
                <w:color w:val="auto"/>
                <w:sz w:val="22"/>
                <w:szCs w:val="22"/>
              </w:rPr>
            </w:pPr>
          </w:p>
        </w:tc>
        <w:tc>
          <w:tcPr>
            <w:tcW w:w="1545" w:type="dxa"/>
            <w:tcBorders>
              <w:tl2br w:val="nil"/>
              <w:tr2bl w:val="nil"/>
            </w:tcBorders>
            <w:vAlign w:val="center"/>
          </w:tcPr>
          <w:p w14:paraId="1F61D24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（＞500～1000）mL</w:t>
            </w:r>
          </w:p>
        </w:tc>
        <w:tc>
          <w:tcPr>
            <w:tcW w:w="1275" w:type="dxa"/>
            <w:tcBorders>
              <w:tl2br w:val="nil"/>
              <w:tr2bl w:val="nil"/>
            </w:tcBorders>
            <w:vAlign w:val="center"/>
          </w:tcPr>
          <w:p w14:paraId="58DB9F7D">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=0.12mL</w:t>
            </w:r>
          </w:p>
        </w:tc>
      </w:tr>
      <w:tr w14:paraId="75B8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56EC600">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1360D40F">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7B6BEB9F">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18CD82BD">
            <w:pPr>
              <w:jc w:val="center"/>
              <w:rPr>
                <w:rFonts w:hint="eastAsia" w:ascii="宋体" w:hAnsi="宋体" w:cs="宋体"/>
                <w:color w:val="auto"/>
                <w:sz w:val="22"/>
                <w:szCs w:val="22"/>
              </w:rPr>
            </w:pPr>
          </w:p>
        </w:tc>
        <w:tc>
          <w:tcPr>
            <w:tcW w:w="1545" w:type="dxa"/>
            <w:tcBorders>
              <w:tl2br w:val="nil"/>
              <w:tr2bl w:val="nil"/>
            </w:tcBorders>
            <w:vAlign w:val="center"/>
          </w:tcPr>
          <w:p w14:paraId="51460E7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（＞1000～2000）mL</w:t>
            </w:r>
          </w:p>
        </w:tc>
        <w:tc>
          <w:tcPr>
            <w:tcW w:w="1275" w:type="dxa"/>
            <w:tcBorders>
              <w:tl2br w:val="nil"/>
              <w:tr2bl w:val="nil"/>
            </w:tcBorders>
            <w:vAlign w:val="center"/>
          </w:tcPr>
          <w:p w14:paraId="43D45B68">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=0.16mL</w:t>
            </w:r>
          </w:p>
        </w:tc>
      </w:tr>
      <w:tr w14:paraId="7A96F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15F6938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16</w:t>
            </w:r>
          </w:p>
        </w:tc>
        <w:tc>
          <w:tcPr>
            <w:tcW w:w="1185" w:type="dxa"/>
            <w:vMerge w:val="restart"/>
            <w:tcBorders>
              <w:tl2br w:val="nil"/>
              <w:tr2bl w:val="nil"/>
            </w:tcBorders>
            <w:vAlign w:val="center"/>
          </w:tcPr>
          <w:p w14:paraId="6DC15F9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水浴箱</w:t>
            </w:r>
          </w:p>
        </w:tc>
        <w:tc>
          <w:tcPr>
            <w:tcW w:w="2475" w:type="dxa"/>
            <w:vMerge w:val="restart"/>
            <w:tcBorders>
              <w:tl2br w:val="nil"/>
              <w:tr2bl w:val="nil"/>
            </w:tcBorders>
            <w:vAlign w:val="center"/>
          </w:tcPr>
          <w:p w14:paraId="37846F3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环境试验设备温度、湿度参数校准规范 JJF 1101-2019 </w:t>
            </w:r>
          </w:p>
        </w:tc>
        <w:tc>
          <w:tcPr>
            <w:tcW w:w="1635" w:type="dxa"/>
            <w:tcBorders>
              <w:tl2br w:val="nil"/>
              <w:tr2bl w:val="nil"/>
            </w:tcBorders>
            <w:vAlign w:val="center"/>
          </w:tcPr>
          <w:p w14:paraId="3444580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温度</w:t>
            </w:r>
          </w:p>
        </w:tc>
        <w:tc>
          <w:tcPr>
            <w:tcW w:w="1545" w:type="dxa"/>
            <w:tcBorders>
              <w:tl2br w:val="nil"/>
              <w:tr2bl w:val="nil"/>
            </w:tcBorders>
            <w:vAlign w:val="center"/>
          </w:tcPr>
          <w:p w14:paraId="64309F2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25</w:t>
            </w:r>
            <w:r>
              <w:rPr>
                <w:rFonts w:hint="eastAsia" w:ascii="宋体" w:hAnsi="宋体" w:cs="宋体"/>
                <w:color w:val="auto"/>
                <w:kern w:val="0"/>
                <w:sz w:val="22"/>
                <w:szCs w:val="22"/>
                <w:lang w:bidi="ar"/>
              </w:rPr>
              <w:t>0）℃</w:t>
            </w:r>
          </w:p>
        </w:tc>
        <w:tc>
          <w:tcPr>
            <w:tcW w:w="1275" w:type="dxa"/>
            <w:tcBorders>
              <w:tl2br w:val="nil"/>
              <w:tr2bl w:val="nil"/>
            </w:tcBorders>
            <w:vAlign w:val="center"/>
          </w:tcPr>
          <w:p w14:paraId="501E2AE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=0.6℃</w:t>
            </w:r>
          </w:p>
        </w:tc>
      </w:tr>
      <w:tr w14:paraId="4F71A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18848F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2DA5AB2F">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D586BCA">
            <w:pPr>
              <w:jc w:val="center"/>
              <w:rPr>
                <w:rFonts w:hint="eastAsia" w:ascii="宋体" w:hAnsi="宋体" w:cs="宋体"/>
                <w:color w:val="auto"/>
                <w:sz w:val="22"/>
                <w:szCs w:val="22"/>
              </w:rPr>
            </w:pPr>
          </w:p>
        </w:tc>
        <w:tc>
          <w:tcPr>
            <w:tcW w:w="1635" w:type="dxa"/>
            <w:tcBorders>
              <w:tl2br w:val="nil"/>
              <w:tr2bl w:val="nil"/>
            </w:tcBorders>
            <w:vAlign w:val="center"/>
          </w:tcPr>
          <w:p w14:paraId="49C91AB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相对湿度</w:t>
            </w:r>
          </w:p>
        </w:tc>
        <w:tc>
          <w:tcPr>
            <w:tcW w:w="1545" w:type="dxa"/>
            <w:tcBorders>
              <w:tl2br w:val="nil"/>
              <w:tr2bl w:val="nil"/>
            </w:tcBorders>
            <w:vAlign w:val="center"/>
          </w:tcPr>
          <w:p w14:paraId="0E04A8C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10%～90%</w:t>
            </w:r>
          </w:p>
        </w:tc>
        <w:tc>
          <w:tcPr>
            <w:tcW w:w="1275" w:type="dxa"/>
            <w:tcBorders>
              <w:tl2br w:val="nil"/>
              <w:tr2bl w:val="nil"/>
            </w:tcBorders>
            <w:vAlign w:val="center"/>
          </w:tcPr>
          <w:p w14:paraId="79A81CAF">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=1.9%</w:t>
            </w:r>
          </w:p>
        </w:tc>
      </w:tr>
      <w:tr w14:paraId="6A8F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238A048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17</w:t>
            </w:r>
          </w:p>
        </w:tc>
        <w:tc>
          <w:tcPr>
            <w:tcW w:w="1185" w:type="dxa"/>
            <w:vMerge w:val="restart"/>
            <w:tcBorders>
              <w:tl2br w:val="nil"/>
              <w:tr2bl w:val="nil"/>
            </w:tcBorders>
            <w:vAlign w:val="center"/>
          </w:tcPr>
          <w:p w14:paraId="0E2924F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温湿度计</w:t>
            </w:r>
          </w:p>
        </w:tc>
        <w:tc>
          <w:tcPr>
            <w:tcW w:w="2475" w:type="dxa"/>
            <w:vMerge w:val="restart"/>
            <w:tcBorders>
              <w:tl2br w:val="nil"/>
              <w:tr2bl w:val="nil"/>
            </w:tcBorders>
            <w:vAlign w:val="center"/>
          </w:tcPr>
          <w:p w14:paraId="4760FB8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 数字式温湿度计校准规范 JJF 1076-2020</w:t>
            </w:r>
            <w:r>
              <w:rPr>
                <w:rFonts w:hint="eastAsia" w:ascii="宋体" w:hAnsi="宋体" w:cs="宋体"/>
                <w:color w:val="auto"/>
                <w:kern w:val="0"/>
                <w:sz w:val="22"/>
                <w:szCs w:val="22"/>
                <w:lang w:bidi="ar"/>
              </w:rPr>
              <w:br w:type="textWrapping"/>
            </w:r>
            <w:r>
              <w:rPr>
                <w:rFonts w:hint="eastAsia" w:ascii="宋体" w:hAnsi="宋体" w:cs="宋体"/>
                <w:color w:val="auto"/>
                <w:kern w:val="0"/>
                <w:sz w:val="22"/>
                <w:szCs w:val="22"/>
                <w:lang w:bidi="ar"/>
              </w:rPr>
              <w:t>或   JJG205-2005</w:t>
            </w:r>
          </w:p>
        </w:tc>
        <w:tc>
          <w:tcPr>
            <w:tcW w:w="1635" w:type="dxa"/>
            <w:tcBorders>
              <w:tl2br w:val="nil"/>
              <w:tr2bl w:val="nil"/>
            </w:tcBorders>
            <w:noWrap/>
            <w:vAlign w:val="center"/>
          </w:tcPr>
          <w:p w14:paraId="755CE26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温度</w:t>
            </w:r>
          </w:p>
        </w:tc>
        <w:tc>
          <w:tcPr>
            <w:tcW w:w="1545" w:type="dxa"/>
            <w:tcBorders>
              <w:tl2br w:val="nil"/>
              <w:tr2bl w:val="nil"/>
            </w:tcBorders>
            <w:vAlign w:val="center"/>
          </w:tcPr>
          <w:p w14:paraId="0B453DD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5</w:t>
            </w:r>
            <w:r>
              <w:rPr>
                <w:rFonts w:hint="eastAsia" w:ascii="宋体" w:hAnsi="宋体" w:cs="宋体"/>
                <w:color w:val="auto"/>
                <w:kern w:val="0"/>
                <w:sz w:val="22"/>
                <w:szCs w:val="22"/>
                <w:lang w:bidi="ar"/>
              </w:rPr>
              <w:t>0）℃</w:t>
            </w:r>
          </w:p>
        </w:tc>
        <w:tc>
          <w:tcPr>
            <w:tcW w:w="1275" w:type="dxa"/>
            <w:tcBorders>
              <w:tl2br w:val="nil"/>
              <w:tr2bl w:val="nil"/>
            </w:tcBorders>
            <w:noWrap/>
            <w:vAlign w:val="center"/>
          </w:tcPr>
          <w:p w14:paraId="7C9D173E">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=0.16℃</w:t>
            </w:r>
          </w:p>
        </w:tc>
      </w:tr>
      <w:tr w14:paraId="3FEE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571AB8CC">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2EF0639">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71629C5F">
            <w:pPr>
              <w:jc w:val="center"/>
              <w:rPr>
                <w:rFonts w:hint="eastAsia" w:ascii="宋体" w:hAnsi="宋体" w:cs="宋体"/>
                <w:color w:val="auto"/>
                <w:sz w:val="22"/>
                <w:szCs w:val="22"/>
              </w:rPr>
            </w:pPr>
          </w:p>
        </w:tc>
        <w:tc>
          <w:tcPr>
            <w:tcW w:w="1635" w:type="dxa"/>
            <w:tcBorders>
              <w:tl2br w:val="nil"/>
              <w:tr2bl w:val="nil"/>
            </w:tcBorders>
            <w:noWrap/>
            <w:vAlign w:val="center"/>
          </w:tcPr>
          <w:p w14:paraId="56BA121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相对湿度</w:t>
            </w:r>
          </w:p>
        </w:tc>
        <w:tc>
          <w:tcPr>
            <w:tcW w:w="1545" w:type="dxa"/>
            <w:tcBorders>
              <w:tl2br w:val="nil"/>
              <w:tr2bl w:val="nil"/>
            </w:tcBorders>
            <w:noWrap/>
            <w:vAlign w:val="center"/>
          </w:tcPr>
          <w:p w14:paraId="0FA9540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val="en-US" w:eastAsia="zh-CN" w:bidi="ar"/>
              </w:rPr>
              <w:t>4</w:t>
            </w:r>
            <w:r>
              <w:rPr>
                <w:rFonts w:hint="eastAsia" w:ascii="宋体" w:hAnsi="宋体" w:cs="宋体"/>
                <w:color w:val="auto"/>
                <w:kern w:val="0"/>
                <w:sz w:val="22"/>
                <w:szCs w:val="22"/>
                <w:lang w:bidi="ar"/>
              </w:rPr>
              <w:t>0%～90%</w:t>
            </w:r>
          </w:p>
        </w:tc>
        <w:tc>
          <w:tcPr>
            <w:tcW w:w="1275" w:type="dxa"/>
            <w:tcBorders>
              <w:tl2br w:val="nil"/>
              <w:tr2bl w:val="nil"/>
            </w:tcBorders>
            <w:noWrap/>
            <w:vAlign w:val="center"/>
          </w:tcPr>
          <w:p w14:paraId="10975195">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=1.8%</w:t>
            </w:r>
          </w:p>
        </w:tc>
      </w:tr>
      <w:tr w14:paraId="4EB3E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3D42026C">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18</w:t>
            </w:r>
          </w:p>
        </w:tc>
        <w:tc>
          <w:tcPr>
            <w:tcW w:w="1185" w:type="dxa"/>
            <w:vMerge w:val="restart"/>
            <w:tcBorders>
              <w:tl2br w:val="nil"/>
              <w:tr2bl w:val="nil"/>
            </w:tcBorders>
            <w:vAlign w:val="center"/>
          </w:tcPr>
          <w:p w14:paraId="099C9DE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全自动生化分析仪、全自动干式生化分析仪</w:t>
            </w:r>
          </w:p>
        </w:tc>
        <w:tc>
          <w:tcPr>
            <w:tcW w:w="2475" w:type="dxa"/>
            <w:vMerge w:val="restart"/>
            <w:tcBorders>
              <w:tl2br w:val="nil"/>
              <w:tr2bl w:val="nil"/>
            </w:tcBorders>
            <w:vAlign w:val="center"/>
          </w:tcPr>
          <w:p w14:paraId="0F813B2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全自动生化分析仪校准规范 JJF 1720-2018</w:t>
            </w:r>
          </w:p>
        </w:tc>
        <w:tc>
          <w:tcPr>
            <w:tcW w:w="1635" w:type="dxa"/>
            <w:tcBorders>
              <w:tl2br w:val="nil"/>
              <w:tr2bl w:val="nil"/>
            </w:tcBorders>
            <w:noWrap/>
            <w:vAlign w:val="center"/>
          </w:tcPr>
          <w:p w14:paraId="67AEAA9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吸光度</w:t>
            </w:r>
          </w:p>
        </w:tc>
        <w:tc>
          <w:tcPr>
            <w:tcW w:w="1545" w:type="dxa"/>
            <w:tcBorders>
              <w:tl2br w:val="nil"/>
              <w:tr2bl w:val="nil"/>
            </w:tcBorders>
            <w:vAlign w:val="center"/>
          </w:tcPr>
          <w:p w14:paraId="42400F4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0.1～1.0</w:t>
            </w:r>
          </w:p>
        </w:tc>
        <w:tc>
          <w:tcPr>
            <w:tcW w:w="1275" w:type="dxa"/>
            <w:tcBorders>
              <w:tl2br w:val="nil"/>
              <w:tr2bl w:val="nil"/>
            </w:tcBorders>
            <w:vAlign w:val="center"/>
          </w:tcPr>
          <w:p w14:paraId="32B6940C">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=0.003</w:t>
            </w:r>
          </w:p>
        </w:tc>
      </w:tr>
      <w:tr w14:paraId="4FA7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11" w:type="dxa"/>
            <w:vMerge w:val="continue"/>
            <w:tcBorders>
              <w:tl2br w:val="nil"/>
              <w:tr2bl w:val="nil"/>
            </w:tcBorders>
            <w:noWrap/>
            <w:vAlign w:val="center"/>
          </w:tcPr>
          <w:p w14:paraId="28CBE77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DCE7C28">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E55C543">
            <w:pPr>
              <w:jc w:val="center"/>
              <w:rPr>
                <w:rFonts w:hint="eastAsia" w:ascii="宋体" w:hAnsi="宋体" w:cs="宋体"/>
                <w:color w:val="auto"/>
                <w:sz w:val="22"/>
                <w:szCs w:val="22"/>
              </w:rPr>
            </w:pPr>
          </w:p>
        </w:tc>
        <w:tc>
          <w:tcPr>
            <w:tcW w:w="1635" w:type="dxa"/>
            <w:vMerge w:val="restart"/>
            <w:tcBorders>
              <w:tl2br w:val="nil"/>
              <w:tr2bl w:val="nil"/>
            </w:tcBorders>
            <w:noWrap/>
            <w:vAlign w:val="center"/>
          </w:tcPr>
          <w:p w14:paraId="5FBE995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浓度</w:t>
            </w:r>
          </w:p>
        </w:tc>
        <w:tc>
          <w:tcPr>
            <w:tcW w:w="1545" w:type="dxa"/>
            <w:tcBorders>
              <w:tl2br w:val="nil"/>
              <w:tr2bl w:val="nil"/>
            </w:tcBorders>
            <w:vAlign w:val="center"/>
          </w:tcPr>
          <w:p w14:paraId="2A241F62">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丙氨酸氨基转移酶：(10～110) U/L</w:t>
            </w:r>
          </w:p>
        </w:tc>
        <w:tc>
          <w:tcPr>
            <w:tcW w:w="1275" w:type="dxa"/>
            <w:tcBorders>
              <w:tl2br w:val="nil"/>
              <w:tr2bl w:val="nil"/>
            </w:tcBorders>
            <w:vAlign w:val="center"/>
          </w:tcPr>
          <w:p w14:paraId="376424A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=11%</w:t>
            </w:r>
          </w:p>
        </w:tc>
      </w:tr>
      <w:tr w14:paraId="0CFA2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5258C466">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6D3F73F">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349C8BE">
            <w:pPr>
              <w:jc w:val="center"/>
              <w:rPr>
                <w:rFonts w:hint="eastAsia" w:ascii="宋体" w:hAnsi="宋体" w:cs="宋体"/>
                <w:color w:val="auto"/>
                <w:sz w:val="22"/>
                <w:szCs w:val="22"/>
              </w:rPr>
            </w:pPr>
          </w:p>
        </w:tc>
        <w:tc>
          <w:tcPr>
            <w:tcW w:w="1635" w:type="dxa"/>
            <w:vMerge w:val="continue"/>
            <w:tcBorders>
              <w:tl2br w:val="nil"/>
              <w:tr2bl w:val="nil"/>
            </w:tcBorders>
            <w:noWrap/>
            <w:vAlign w:val="center"/>
          </w:tcPr>
          <w:p w14:paraId="39348C84">
            <w:pPr>
              <w:jc w:val="center"/>
              <w:rPr>
                <w:rFonts w:hint="eastAsia" w:ascii="宋体" w:hAnsi="宋体" w:cs="宋体"/>
                <w:color w:val="auto"/>
                <w:sz w:val="22"/>
                <w:szCs w:val="22"/>
              </w:rPr>
            </w:pPr>
          </w:p>
        </w:tc>
        <w:tc>
          <w:tcPr>
            <w:tcW w:w="1545" w:type="dxa"/>
            <w:tcBorders>
              <w:tl2br w:val="nil"/>
              <w:tr2bl w:val="nil"/>
            </w:tcBorders>
            <w:vAlign w:val="center"/>
          </w:tcPr>
          <w:p w14:paraId="287F4DA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葡萄糖(4～16) mmol/L</w:t>
            </w:r>
          </w:p>
        </w:tc>
        <w:tc>
          <w:tcPr>
            <w:tcW w:w="1275" w:type="dxa"/>
            <w:tcBorders>
              <w:tl2br w:val="nil"/>
              <w:tr2bl w:val="nil"/>
            </w:tcBorders>
            <w:vAlign w:val="center"/>
          </w:tcPr>
          <w:p w14:paraId="1B1750C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=3%</w:t>
            </w:r>
          </w:p>
        </w:tc>
      </w:tr>
      <w:tr w14:paraId="1B86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7694694D">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val="en-US" w:eastAsia="zh-CN" w:bidi="ar"/>
              </w:rPr>
              <w:t>19</w:t>
            </w:r>
          </w:p>
        </w:tc>
        <w:tc>
          <w:tcPr>
            <w:tcW w:w="1185" w:type="dxa"/>
            <w:vMerge w:val="restart"/>
            <w:tcBorders>
              <w:tl2br w:val="nil"/>
              <w:tr2bl w:val="nil"/>
            </w:tcBorders>
            <w:vAlign w:val="center"/>
          </w:tcPr>
          <w:p w14:paraId="1BF6870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全自动血液体液分析仪</w:t>
            </w:r>
          </w:p>
        </w:tc>
        <w:tc>
          <w:tcPr>
            <w:tcW w:w="2475" w:type="dxa"/>
            <w:vMerge w:val="restart"/>
            <w:tcBorders>
              <w:tl2br w:val="nil"/>
              <w:tr2bl w:val="nil"/>
            </w:tcBorders>
            <w:vAlign w:val="center"/>
          </w:tcPr>
          <w:p w14:paraId="2B11B88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血细胞分析仪检定规程 JJG 714-2012 </w:t>
            </w:r>
          </w:p>
        </w:tc>
        <w:tc>
          <w:tcPr>
            <w:tcW w:w="1635" w:type="dxa"/>
            <w:tcBorders>
              <w:tl2br w:val="nil"/>
              <w:tr2bl w:val="nil"/>
            </w:tcBorders>
            <w:noWrap/>
            <w:vAlign w:val="center"/>
          </w:tcPr>
          <w:p w14:paraId="66C0214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红细胞</w:t>
            </w:r>
          </w:p>
        </w:tc>
        <w:tc>
          <w:tcPr>
            <w:tcW w:w="1545" w:type="dxa"/>
            <w:tcBorders>
              <w:tl2br w:val="nil"/>
              <w:tr2bl w:val="nil"/>
            </w:tcBorders>
            <w:vAlign w:val="center"/>
          </w:tcPr>
          <w:p w14:paraId="5FDC2273">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（1～10）×10</w:t>
            </w:r>
            <w:r>
              <w:rPr>
                <w:rStyle w:val="35"/>
                <w:rFonts w:hint="default"/>
                <w:color w:val="auto"/>
                <w:lang w:bidi="ar"/>
              </w:rPr>
              <w:t>12</w:t>
            </w:r>
            <w:r>
              <w:rPr>
                <w:rFonts w:hint="eastAsia" w:ascii="宋体" w:hAnsi="宋体" w:cs="宋体"/>
                <w:color w:val="auto"/>
                <w:kern w:val="0"/>
                <w:sz w:val="22"/>
                <w:szCs w:val="22"/>
                <w:lang w:bidi="ar"/>
              </w:rPr>
              <w:t xml:space="preserve">  个/L</w:t>
            </w:r>
          </w:p>
        </w:tc>
        <w:tc>
          <w:tcPr>
            <w:tcW w:w="1275" w:type="dxa"/>
            <w:tcBorders>
              <w:tl2br w:val="nil"/>
              <w:tr2bl w:val="nil"/>
            </w:tcBorders>
            <w:vAlign w:val="center"/>
          </w:tcPr>
          <w:p w14:paraId="6053EE7A">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=2.2%</w:t>
            </w:r>
          </w:p>
        </w:tc>
      </w:tr>
      <w:tr w14:paraId="7598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2FDC122B">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48120E45">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0D9D202A">
            <w:pPr>
              <w:jc w:val="center"/>
              <w:rPr>
                <w:rFonts w:hint="eastAsia" w:ascii="宋体" w:hAnsi="宋体" w:cs="宋体"/>
                <w:color w:val="auto"/>
                <w:sz w:val="22"/>
                <w:szCs w:val="22"/>
              </w:rPr>
            </w:pPr>
          </w:p>
        </w:tc>
        <w:tc>
          <w:tcPr>
            <w:tcW w:w="1635" w:type="dxa"/>
            <w:tcBorders>
              <w:tl2br w:val="nil"/>
              <w:tr2bl w:val="nil"/>
            </w:tcBorders>
            <w:noWrap/>
            <w:vAlign w:val="center"/>
          </w:tcPr>
          <w:p w14:paraId="6FF6277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白细胞</w:t>
            </w:r>
          </w:p>
        </w:tc>
        <w:tc>
          <w:tcPr>
            <w:tcW w:w="1545" w:type="dxa"/>
            <w:tcBorders>
              <w:tl2br w:val="nil"/>
              <w:tr2bl w:val="nil"/>
            </w:tcBorders>
            <w:vAlign w:val="center"/>
          </w:tcPr>
          <w:p w14:paraId="69F2A0D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（1～20）×10</w:t>
            </w:r>
            <w:r>
              <w:rPr>
                <w:rStyle w:val="35"/>
                <w:rFonts w:hint="default"/>
                <w:color w:val="auto"/>
                <w:lang w:bidi="ar"/>
              </w:rPr>
              <w:t>9</w:t>
            </w:r>
            <w:r>
              <w:rPr>
                <w:rFonts w:hint="eastAsia" w:ascii="宋体" w:hAnsi="宋体" w:cs="宋体"/>
                <w:color w:val="auto"/>
                <w:kern w:val="0"/>
                <w:sz w:val="22"/>
                <w:szCs w:val="22"/>
                <w:lang w:bidi="ar"/>
              </w:rPr>
              <w:t xml:space="preserve">  个/L</w:t>
            </w:r>
          </w:p>
        </w:tc>
        <w:tc>
          <w:tcPr>
            <w:tcW w:w="1275" w:type="dxa"/>
            <w:tcBorders>
              <w:tl2br w:val="nil"/>
              <w:tr2bl w:val="nil"/>
            </w:tcBorders>
            <w:vAlign w:val="center"/>
          </w:tcPr>
          <w:p w14:paraId="51E511E2">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=2.6%</w:t>
            </w:r>
          </w:p>
        </w:tc>
      </w:tr>
      <w:tr w14:paraId="0C2D8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4C9812D8">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2E0DB0AE">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477AD997">
            <w:pPr>
              <w:jc w:val="center"/>
              <w:rPr>
                <w:rFonts w:hint="eastAsia" w:ascii="宋体" w:hAnsi="宋体" w:cs="宋体"/>
                <w:color w:val="auto"/>
                <w:sz w:val="22"/>
                <w:szCs w:val="22"/>
              </w:rPr>
            </w:pPr>
          </w:p>
        </w:tc>
        <w:tc>
          <w:tcPr>
            <w:tcW w:w="1635" w:type="dxa"/>
            <w:tcBorders>
              <w:tl2br w:val="nil"/>
              <w:tr2bl w:val="nil"/>
            </w:tcBorders>
            <w:noWrap/>
            <w:vAlign w:val="center"/>
          </w:tcPr>
          <w:p w14:paraId="6EF72EE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血小板</w:t>
            </w:r>
          </w:p>
        </w:tc>
        <w:tc>
          <w:tcPr>
            <w:tcW w:w="1545" w:type="dxa"/>
            <w:tcBorders>
              <w:tl2br w:val="nil"/>
              <w:tr2bl w:val="nil"/>
            </w:tcBorders>
            <w:vAlign w:val="center"/>
          </w:tcPr>
          <w:p w14:paraId="246D788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（30～400）×10</w:t>
            </w:r>
            <w:r>
              <w:rPr>
                <w:rStyle w:val="35"/>
                <w:rFonts w:hint="default"/>
                <w:color w:val="auto"/>
                <w:lang w:bidi="ar"/>
              </w:rPr>
              <w:t>9</w:t>
            </w:r>
            <w:r>
              <w:rPr>
                <w:rFonts w:hint="eastAsia" w:ascii="宋体" w:hAnsi="宋体" w:cs="宋体"/>
                <w:color w:val="auto"/>
                <w:kern w:val="0"/>
                <w:sz w:val="22"/>
                <w:szCs w:val="22"/>
                <w:lang w:bidi="ar"/>
              </w:rPr>
              <w:t xml:space="preserve">  个/L</w:t>
            </w:r>
          </w:p>
        </w:tc>
        <w:tc>
          <w:tcPr>
            <w:tcW w:w="1275" w:type="dxa"/>
            <w:tcBorders>
              <w:tl2br w:val="nil"/>
              <w:tr2bl w:val="nil"/>
            </w:tcBorders>
            <w:vAlign w:val="center"/>
          </w:tcPr>
          <w:p w14:paraId="06E7729B">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=3.3%</w:t>
            </w:r>
          </w:p>
        </w:tc>
      </w:tr>
      <w:tr w14:paraId="2CD6F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continue"/>
            <w:tcBorders>
              <w:tl2br w:val="nil"/>
              <w:tr2bl w:val="nil"/>
            </w:tcBorders>
            <w:noWrap/>
            <w:vAlign w:val="center"/>
          </w:tcPr>
          <w:p w14:paraId="46893ECE">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76621DDB">
            <w:pPr>
              <w:jc w:val="center"/>
              <w:rPr>
                <w:rFonts w:hint="eastAsia" w:ascii="宋体" w:hAnsi="宋体" w:cs="宋体"/>
                <w:color w:val="auto"/>
                <w:sz w:val="22"/>
                <w:szCs w:val="22"/>
              </w:rPr>
            </w:pPr>
          </w:p>
        </w:tc>
        <w:tc>
          <w:tcPr>
            <w:tcW w:w="2475" w:type="dxa"/>
            <w:vMerge w:val="continue"/>
            <w:tcBorders>
              <w:tl2br w:val="nil"/>
              <w:tr2bl w:val="nil"/>
            </w:tcBorders>
            <w:vAlign w:val="center"/>
          </w:tcPr>
          <w:p w14:paraId="29B250E3">
            <w:pPr>
              <w:jc w:val="center"/>
              <w:rPr>
                <w:rFonts w:hint="eastAsia" w:ascii="宋体" w:hAnsi="宋体" w:cs="宋体"/>
                <w:color w:val="auto"/>
                <w:sz w:val="22"/>
                <w:szCs w:val="22"/>
              </w:rPr>
            </w:pPr>
          </w:p>
        </w:tc>
        <w:tc>
          <w:tcPr>
            <w:tcW w:w="1635" w:type="dxa"/>
            <w:tcBorders>
              <w:tl2br w:val="nil"/>
              <w:tr2bl w:val="nil"/>
            </w:tcBorders>
            <w:noWrap/>
            <w:vAlign w:val="center"/>
          </w:tcPr>
          <w:p w14:paraId="17BF5899">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血红蛋白</w:t>
            </w:r>
          </w:p>
        </w:tc>
        <w:tc>
          <w:tcPr>
            <w:tcW w:w="1545" w:type="dxa"/>
            <w:tcBorders>
              <w:tl2br w:val="nil"/>
              <w:tr2bl w:val="nil"/>
            </w:tcBorders>
            <w:vAlign w:val="center"/>
          </w:tcPr>
          <w:p w14:paraId="69142F74">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（30～200） g/L</w:t>
            </w:r>
          </w:p>
        </w:tc>
        <w:tc>
          <w:tcPr>
            <w:tcW w:w="1275" w:type="dxa"/>
            <w:tcBorders>
              <w:tl2br w:val="nil"/>
              <w:tr2bl w:val="nil"/>
            </w:tcBorders>
            <w:vAlign w:val="center"/>
          </w:tcPr>
          <w:p w14:paraId="130CE080">
            <w:pPr>
              <w:widowControl/>
              <w:jc w:val="center"/>
              <w:textAlignment w:val="center"/>
              <w:rPr>
                <w:rFonts w:hint="eastAsia" w:ascii="宋体" w:hAnsi="宋体" w:cs="宋体"/>
                <w:i/>
                <w:iCs/>
                <w:color w:val="auto"/>
                <w:sz w:val="22"/>
                <w:szCs w:val="22"/>
              </w:rPr>
            </w:pPr>
            <w:r>
              <w:rPr>
                <w:rFonts w:hint="eastAsia" w:ascii="宋体" w:hAnsi="宋体" w:cs="宋体"/>
                <w:i/>
                <w:iCs/>
                <w:color w:val="auto"/>
                <w:kern w:val="0"/>
                <w:sz w:val="22"/>
                <w:szCs w:val="22"/>
                <w:lang w:bidi="ar"/>
              </w:rPr>
              <w:t>U</w:t>
            </w:r>
            <w:r>
              <w:rPr>
                <w:rStyle w:val="34"/>
                <w:rFonts w:hint="default"/>
                <w:color w:val="auto"/>
                <w:lang w:bidi="ar"/>
              </w:rPr>
              <w:t>rel</w:t>
            </w:r>
            <w:r>
              <w:rPr>
                <w:rFonts w:hint="eastAsia" w:ascii="宋体" w:hAnsi="宋体" w:cs="宋体"/>
                <w:color w:val="auto"/>
                <w:kern w:val="0"/>
                <w:sz w:val="22"/>
                <w:szCs w:val="22"/>
                <w:lang w:bidi="ar"/>
              </w:rPr>
              <w:t>=2.6%</w:t>
            </w:r>
          </w:p>
        </w:tc>
      </w:tr>
      <w:tr w14:paraId="5852E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11" w:type="dxa"/>
            <w:vMerge w:val="restart"/>
            <w:tcBorders>
              <w:tl2br w:val="nil"/>
              <w:tr2bl w:val="nil"/>
            </w:tcBorders>
            <w:noWrap/>
            <w:vAlign w:val="center"/>
          </w:tcPr>
          <w:p w14:paraId="63CC64A1">
            <w:pPr>
              <w:widowControl/>
              <w:jc w:val="center"/>
              <w:textAlignment w:val="center"/>
              <w:rPr>
                <w:rFonts w:hint="default" w:ascii="宋体" w:hAnsi="宋体" w:eastAsia="宋体" w:cs="宋体"/>
                <w:color w:val="auto"/>
                <w:sz w:val="22"/>
                <w:szCs w:val="22"/>
                <w:lang w:val="en-US" w:eastAsia="zh-CN"/>
              </w:rPr>
            </w:pPr>
            <w:r>
              <w:rPr>
                <w:rFonts w:hint="eastAsia" w:ascii="宋体" w:hAnsi="宋体" w:cs="宋体"/>
                <w:color w:val="auto"/>
                <w:kern w:val="0"/>
                <w:sz w:val="22"/>
                <w:szCs w:val="22"/>
                <w:lang w:bidi="ar"/>
              </w:rPr>
              <w:t>2</w:t>
            </w:r>
            <w:r>
              <w:rPr>
                <w:rFonts w:hint="eastAsia" w:ascii="宋体" w:hAnsi="宋体" w:cs="宋体"/>
                <w:color w:val="auto"/>
                <w:kern w:val="0"/>
                <w:sz w:val="22"/>
                <w:szCs w:val="22"/>
                <w:lang w:val="en-US" w:eastAsia="zh-CN" w:bidi="ar"/>
              </w:rPr>
              <w:t>0</w:t>
            </w:r>
          </w:p>
        </w:tc>
        <w:tc>
          <w:tcPr>
            <w:tcW w:w="1185" w:type="dxa"/>
            <w:vMerge w:val="restart"/>
            <w:tcBorders>
              <w:tl2br w:val="nil"/>
              <w:tr2bl w:val="nil"/>
            </w:tcBorders>
            <w:vAlign w:val="center"/>
          </w:tcPr>
          <w:p w14:paraId="76926D9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CT设备性能及场所放射卫生检测</w:t>
            </w:r>
          </w:p>
        </w:tc>
        <w:tc>
          <w:tcPr>
            <w:tcW w:w="2475" w:type="dxa"/>
            <w:tcBorders>
              <w:tl2br w:val="nil"/>
              <w:tr2bl w:val="nil"/>
            </w:tcBorders>
            <w:noWrap/>
            <w:vAlign w:val="center"/>
          </w:tcPr>
          <w:p w14:paraId="2FA0D5A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放射诊断放射防护要求 GBZ 130-2020</w:t>
            </w:r>
          </w:p>
        </w:tc>
        <w:tc>
          <w:tcPr>
            <w:tcW w:w="4455" w:type="dxa"/>
            <w:gridSpan w:val="3"/>
            <w:tcBorders>
              <w:tl2br w:val="nil"/>
              <w:tr2bl w:val="nil"/>
            </w:tcBorders>
            <w:noWrap/>
            <w:vAlign w:val="center"/>
          </w:tcPr>
          <w:p w14:paraId="1AF4954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7DA4E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11" w:type="dxa"/>
            <w:vMerge w:val="continue"/>
            <w:tcBorders>
              <w:tl2br w:val="nil"/>
              <w:tr2bl w:val="nil"/>
            </w:tcBorders>
            <w:noWrap/>
            <w:vAlign w:val="center"/>
          </w:tcPr>
          <w:p w14:paraId="5ED380F7">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3F4FF57A">
            <w:pPr>
              <w:jc w:val="center"/>
              <w:rPr>
                <w:rFonts w:hint="eastAsia" w:ascii="宋体" w:hAnsi="宋体" w:cs="宋体"/>
                <w:color w:val="auto"/>
                <w:sz w:val="22"/>
                <w:szCs w:val="22"/>
              </w:rPr>
            </w:pPr>
          </w:p>
        </w:tc>
        <w:tc>
          <w:tcPr>
            <w:tcW w:w="2475" w:type="dxa"/>
            <w:tcBorders>
              <w:tl2br w:val="nil"/>
              <w:tr2bl w:val="nil"/>
            </w:tcBorders>
            <w:noWrap/>
            <w:vAlign w:val="center"/>
          </w:tcPr>
          <w:p w14:paraId="0598E4FB">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X射线计算机体层摄影装置质量控制规范 WS 519-2019</w:t>
            </w:r>
          </w:p>
        </w:tc>
        <w:tc>
          <w:tcPr>
            <w:tcW w:w="4455" w:type="dxa"/>
            <w:gridSpan w:val="3"/>
            <w:tcBorders>
              <w:tl2br w:val="nil"/>
              <w:tr2bl w:val="nil"/>
            </w:tcBorders>
            <w:noWrap/>
            <w:vAlign w:val="center"/>
          </w:tcPr>
          <w:p w14:paraId="74FBE67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71708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0B4030EF">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2</w:t>
            </w:r>
            <w:r>
              <w:rPr>
                <w:rFonts w:hint="eastAsia" w:ascii="宋体" w:hAnsi="宋体" w:cs="宋体"/>
                <w:color w:val="auto"/>
                <w:kern w:val="0"/>
                <w:sz w:val="22"/>
                <w:szCs w:val="22"/>
                <w:lang w:val="en-US" w:eastAsia="zh-CN" w:bidi="ar"/>
              </w:rPr>
              <w:t>1</w:t>
            </w:r>
          </w:p>
        </w:tc>
        <w:tc>
          <w:tcPr>
            <w:tcW w:w="1185" w:type="dxa"/>
            <w:vMerge w:val="restart"/>
            <w:tcBorders>
              <w:tl2br w:val="nil"/>
              <w:tr2bl w:val="nil"/>
            </w:tcBorders>
            <w:vAlign w:val="center"/>
          </w:tcPr>
          <w:p w14:paraId="67A5B45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DR设备性能及场所放射卫生检测</w:t>
            </w:r>
          </w:p>
        </w:tc>
        <w:tc>
          <w:tcPr>
            <w:tcW w:w="2475" w:type="dxa"/>
            <w:tcBorders>
              <w:tl2br w:val="nil"/>
              <w:tr2bl w:val="nil"/>
            </w:tcBorders>
            <w:noWrap/>
            <w:vAlign w:val="center"/>
          </w:tcPr>
          <w:p w14:paraId="181667E8">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放射诊断放射防护要求 GBZ 130-2020</w:t>
            </w:r>
          </w:p>
        </w:tc>
        <w:tc>
          <w:tcPr>
            <w:tcW w:w="4455" w:type="dxa"/>
            <w:gridSpan w:val="3"/>
            <w:tcBorders>
              <w:tl2br w:val="nil"/>
              <w:tr2bl w:val="nil"/>
            </w:tcBorders>
            <w:noWrap/>
            <w:vAlign w:val="center"/>
          </w:tcPr>
          <w:p w14:paraId="00AA1D15">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7538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078BBA63">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6F02F0C7">
            <w:pPr>
              <w:jc w:val="center"/>
              <w:rPr>
                <w:rFonts w:hint="eastAsia" w:ascii="宋体" w:hAnsi="宋体" w:cs="宋体"/>
                <w:color w:val="auto"/>
                <w:sz w:val="22"/>
                <w:szCs w:val="22"/>
              </w:rPr>
            </w:pPr>
          </w:p>
        </w:tc>
        <w:tc>
          <w:tcPr>
            <w:tcW w:w="2475" w:type="dxa"/>
            <w:tcBorders>
              <w:tl2br w:val="nil"/>
              <w:tr2bl w:val="nil"/>
            </w:tcBorders>
            <w:noWrap/>
            <w:vAlign w:val="center"/>
          </w:tcPr>
          <w:p w14:paraId="585D8F07">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医用X射线诊断设备质量控制检测规范 WS 76-2020</w:t>
            </w:r>
          </w:p>
        </w:tc>
        <w:tc>
          <w:tcPr>
            <w:tcW w:w="4455" w:type="dxa"/>
            <w:gridSpan w:val="3"/>
            <w:tcBorders>
              <w:tl2br w:val="nil"/>
              <w:tr2bl w:val="nil"/>
            </w:tcBorders>
            <w:noWrap/>
            <w:vAlign w:val="center"/>
          </w:tcPr>
          <w:p w14:paraId="3F77885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6D39F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restart"/>
            <w:tcBorders>
              <w:tl2br w:val="nil"/>
              <w:tr2bl w:val="nil"/>
            </w:tcBorders>
            <w:noWrap/>
            <w:vAlign w:val="center"/>
          </w:tcPr>
          <w:p w14:paraId="29B335B9">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2</w:t>
            </w:r>
            <w:r>
              <w:rPr>
                <w:rFonts w:hint="eastAsia" w:ascii="宋体" w:hAnsi="宋体" w:cs="宋体"/>
                <w:color w:val="auto"/>
                <w:kern w:val="0"/>
                <w:sz w:val="22"/>
                <w:szCs w:val="22"/>
                <w:lang w:val="en-US" w:eastAsia="zh-CN" w:bidi="ar"/>
              </w:rPr>
              <w:t>2</w:t>
            </w:r>
          </w:p>
        </w:tc>
        <w:tc>
          <w:tcPr>
            <w:tcW w:w="1185" w:type="dxa"/>
            <w:vMerge w:val="restart"/>
            <w:tcBorders>
              <w:tl2br w:val="nil"/>
              <w:tr2bl w:val="nil"/>
            </w:tcBorders>
            <w:vAlign w:val="center"/>
          </w:tcPr>
          <w:p w14:paraId="14282B9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双能骨密度场所放射卫生检测</w:t>
            </w:r>
          </w:p>
        </w:tc>
        <w:tc>
          <w:tcPr>
            <w:tcW w:w="2475" w:type="dxa"/>
            <w:tcBorders>
              <w:tl2br w:val="nil"/>
              <w:tr2bl w:val="nil"/>
            </w:tcBorders>
            <w:noWrap/>
            <w:vAlign w:val="center"/>
          </w:tcPr>
          <w:p w14:paraId="5C7F1F3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放射诊断放射防护要求 GBZ 130-2020</w:t>
            </w:r>
          </w:p>
        </w:tc>
        <w:tc>
          <w:tcPr>
            <w:tcW w:w="4455" w:type="dxa"/>
            <w:gridSpan w:val="3"/>
            <w:tcBorders>
              <w:tl2br w:val="nil"/>
              <w:tr2bl w:val="nil"/>
            </w:tcBorders>
            <w:noWrap/>
            <w:vAlign w:val="center"/>
          </w:tcPr>
          <w:p w14:paraId="3D6EC4DD">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00099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11" w:type="dxa"/>
            <w:vMerge w:val="continue"/>
            <w:tcBorders>
              <w:tl2br w:val="nil"/>
              <w:tr2bl w:val="nil"/>
            </w:tcBorders>
            <w:noWrap/>
            <w:vAlign w:val="center"/>
          </w:tcPr>
          <w:p w14:paraId="3258167A">
            <w:pPr>
              <w:jc w:val="center"/>
              <w:rPr>
                <w:rFonts w:hint="eastAsia" w:ascii="宋体" w:hAnsi="宋体" w:cs="宋体"/>
                <w:color w:val="auto"/>
                <w:sz w:val="22"/>
                <w:szCs w:val="22"/>
              </w:rPr>
            </w:pPr>
          </w:p>
        </w:tc>
        <w:tc>
          <w:tcPr>
            <w:tcW w:w="1185" w:type="dxa"/>
            <w:vMerge w:val="continue"/>
            <w:tcBorders>
              <w:tl2br w:val="nil"/>
              <w:tr2bl w:val="nil"/>
            </w:tcBorders>
            <w:vAlign w:val="center"/>
          </w:tcPr>
          <w:p w14:paraId="005FC9B8">
            <w:pPr>
              <w:jc w:val="center"/>
              <w:rPr>
                <w:rFonts w:hint="eastAsia" w:ascii="宋体" w:hAnsi="宋体" w:cs="宋体"/>
                <w:color w:val="auto"/>
                <w:sz w:val="22"/>
                <w:szCs w:val="22"/>
              </w:rPr>
            </w:pPr>
          </w:p>
        </w:tc>
        <w:tc>
          <w:tcPr>
            <w:tcW w:w="2475" w:type="dxa"/>
            <w:tcBorders>
              <w:tl2br w:val="nil"/>
              <w:tr2bl w:val="nil"/>
            </w:tcBorders>
            <w:noWrap/>
            <w:vAlign w:val="center"/>
          </w:tcPr>
          <w:p w14:paraId="24EE1EB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医用X射线诊断设备质量控制检测规范 WS 76-2020</w:t>
            </w:r>
          </w:p>
        </w:tc>
        <w:tc>
          <w:tcPr>
            <w:tcW w:w="4455" w:type="dxa"/>
            <w:gridSpan w:val="3"/>
            <w:tcBorders>
              <w:tl2br w:val="nil"/>
              <w:tr2bl w:val="nil"/>
            </w:tcBorders>
            <w:noWrap/>
            <w:vAlign w:val="center"/>
          </w:tcPr>
          <w:p w14:paraId="32FE8C81">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w:t>
            </w:r>
          </w:p>
        </w:tc>
      </w:tr>
      <w:tr w14:paraId="7B730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1" w:type="dxa"/>
            <w:vMerge w:val="restart"/>
            <w:tcBorders>
              <w:tl2br w:val="nil"/>
              <w:tr2bl w:val="nil"/>
            </w:tcBorders>
            <w:noWrap/>
            <w:vAlign w:val="center"/>
          </w:tcPr>
          <w:p w14:paraId="4D9C78A0">
            <w:pPr>
              <w:widowControl/>
              <w:jc w:val="center"/>
              <w:textAlignment w:val="center"/>
              <w:rPr>
                <w:rFonts w:hint="eastAsia" w:ascii="宋体" w:hAnsi="宋体" w:eastAsia="宋体" w:cs="宋体"/>
                <w:color w:val="auto"/>
                <w:sz w:val="22"/>
                <w:szCs w:val="22"/>
                <w:lang w:eastAsia="zh-CN"/>
              </w:rPr>
            </w:pPr>
            <w:r>
              <w:rPr>
                <w:rFonts w:hint="eastAsia" w:ascii="宋体" w:hAnsi="宋体" w:cs="宋体"/>
                <w:color w:val="auto"/>
                <w:kern w:val="0"/>
                <w:sz w:val="22"/>
                <w:szCs w:val="22"/>
                <w:lang w:bidi="ar"/>
              </w:rPr>
              <w:t>2</w:t>
            </w:r>
            <w:r>
              <w:rPr>
                <w:rFonts w:hint="eastAsia" w:ascii="宋体" w:hAnsi="宋体" w:cs="宋体"/>
                <w:color w:val="auto"/>
                <w:kern w:val="0"/>
                <w:sz w:val="22"/>
                <w:szCs w:val="22"/>
                <w:lang w:val="en-US" w:eastAsia="zh-CN" w:bidi="ar"/>
              </w:rPr>
              <w:t>3</w:t>
            </w:r>
          </w:p>
        </w:tc>
        <w:tc>
          <w:tcPr>
            <w:tcW w:w="1185" w:type="dxa"/>
            <w:vMerge w:val="restart"/>
            <w:tcBorders>
              <w:tl2br w:val="nil"/>
              <w:tr2bl w:val="nil"/>
            </w:tcBorders>
            <w:noWrap/>
            <w:vAlign w:val="center"/>
          </w:tcPr>
          <w:p w14:paraId="3D8F6600">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心电工作站</w:t>
            </w:r>
          </w:p>
        </w:tc>
        <w:tc>
          <w:tcPr>
            <w:tcW w:w="2475" w:type="dxa"/>
            <w:vMerge w:val="restart"/>
            <w:tcBorders>
              <w:tl2br w:val="nil"/>
              <w:tr2bl w:val="nil"/>
            </w:tcBorders>
            <w:noWrap/>
            <w:vAlign w:val="center"/>
          </w:tcPr>
          <w:p w14:paraId="062EFB8F">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 xml:space="preserve">数字心电图机检定规程  JJG 1041-2008 </w:t>
            </w:r>
          </w:p>
        </w:tc>
        <w:tc>
          <w:tcPr>
            <w:tcW w:w="1635" w:type="dxa"/>
            <w:tcBorders>
              <w:tl2br w:val="nil"/>
              <w:tr2bl w:val="nil"/>
            </w:tcBorders>
            <w:vAlign w:val="center"/>
          </w:tcPr>
          <w:p w14:paraId="1BEEA27E">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定标电压</w:t>
            </w:r>
          </w:p>
        </w:tc>
        <w:tc>
          <w:tcPr>
            <w:tcW w:w="1545" w:type="dxa"/>
            <w:tcBorders>
              <w:tl2br w:val="nil"/>
              <w:tr2bl w:val="nil"/>
            </w:tcBorders>
            <w:vAlign w:val="center"/>
          </w:tcPr>
          <w:p w14:paraId="4A34A2FA">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（0.03～10）mV</w:t>
            </w:r>
          </w:p>
        </w:tc>
        <w:tc>
          <w:tcPr>
            <w:tcW w:w="1275" w:type="dxa"/>
            <w:tcBorders>
              <w:tl2br w:val="nil"/>
              <w:tr2bl w:val="nil"/>
            </w:tcBorders>
            <w:vAlign w:val="center"/>
          </w:tcPr>
          <w:p w14:paraId="2A80E2D8">
            <w:pPr>
              <w:widowControl/>
              <w:jc w:val="center"/>
              <w:textAlignment w:val="center"/>
              <w:rPr>
                <w:rFonts w:hint="eastAsia" w:ascii="宋体" w:hAnsi="宋体" w:cs="宋体"/>
                <w:i/>
                <w:iCs/>
                <w:color w:val="auto"/>
                <w:sz w:val="22"/>
                <w:szCs w:val="22"/>
              </w:rPr>
            </w:pPr>
            <w:r>
              <w:rPr>
                <w:rStyle w:val="36"/>
                <w:rFonts w:hint="default"/>
                <w:color w:val="auto"/>
                <w:lang w:bidi="ar"/>
              </w:rPr>
              <w:t>U</w:t>
            </w:r>
            <w:r>
              <w:rPr>
                <w:rStyle w:val="37"/>
                <w:rFonts w:hint="default"/>
                <w:color w:val="auto"/>
                <w:lang w:bidi="ar"/>
              </w:rPr>
              <w:t>rel</w:t>
            </w:r>
            <w:r>
              <w:rPr>
                <w:rFonts w:hint="eastAsia" w:ascii="宋体" w:hAnsi="宋体" w:cs="宋体"/>
                <w:color w:val="auto"/>
                <w:kern w:val="0"/>
                <w:sz w:val="22"/>
                <w:szCs w:val="22"/>
                <w:lang w:bidi="ar"/>
              </w:rPr>
              <w:t>=2.2 %</w:t>
            </w:r>
          </w:p>
        </w:tc>
      </w:tr>
      <w:tr w14:paraId="4EC6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11" w:type="dxa"/>
            <w:vMerge w:val="continue"/>
            <w:tcBorders>
              <w:tl2br w:val="nil"/>
              <w:tr2bl w:val="nil"/>
            </w:tcBorders>
            <w:noWrap/>
            <w:vAlign w:val="center"/>
          </w:tcPr>
          <w:p w14:paraId="1B52B315">
            <w:pPr>
              <w:jc w:val="center"/>
              <w:rPr>
                <w:rFonts w:hint="eastAsia" w:ascii="宋体" w:hAnsi="宋体" w:cs="宋体"/>
                <w:color w:val="auto"/>
                <w:sz w:val="22"/>
                <w:szCs w:val="22"/>
              </w:rPr>
            </w:pPr>
          </w:p>
        </w:tc>
        <w:tc>
          <w:tcPr>
            <w:tcW w:w="1185" w:type="dxa"/>
            <w:vMerge w:val="continue"/>
            <w:tcBorders>
              <w:tl2br w:val="nil"/>
              <w:tr2bl w:val="nil"/>
            </w:tcBorders>
            <w:noWrap/>
            <w:vAlign w:val="center"/>
          </w:tcPr>
          <w:p w14:paraId="250B6269">
            <w:pPr>
              <w:jc w:val="center"/>
              <w:rPr>
                <w:rFonts w:hint="eastAsia" w:ascii="宋体" w:hAnsi="宋体" w:cs="宋体"/>
                <w:color w:val="auto"/>
                <w:sz w:val="22"/>
                <w:szCs w:val="22"/>
              </w:rPr>
            </w:pPr>
          </w:p>
        </w:tc>
        <w:tc>
          <w:tcPr>
            <w:tcW w:w="2475" w:type="dxa"/>
            <w:vMerge w:val="continue"/>
            <w:tcBorders>
              <w:tl2br w:val="nil"/>
              <w:tr2bl w:val="nil"/>
            </w:tcBorders>
            <w:noWrap/>
            <w:vAlign w:val="center"/>
          </w:tcPr>
          <w:p w14:paraId="6E2823EF">
            <w:pPr>
              <w:jc w:val="center"/>
              <w:rPr>
                <w:rFonts w:hint="eastAsia" w:ascii="宋体" w:hAnsi="宋体" w:cs="宋体"/>
                <w:color w:val="auto"/>
                <w:sz w:val="22"/>
                <w:szCs w:val="22"/>
              </w:rPr>
            </w:pPr>
          </w:p>
        </w:tc>
        <w:tc>
          <w:tcPr>
            <w:tcW w:w="1635" w:type="dxa"/>
            <w:tcBorders>
              <w:tl2br w:val="nil"/>
              <w:tr2bl w:val="nil"/>
            </w:tcBorders>
            <w:vAlign w:val="center"/>
          </w:tcPr>
          <w:p w14:paraId="4F108A06">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心率</w:t>
            </w:r>
          </w:p>
        </w:tc>
        <w:tc>
          <w:tcPr>
            <w:tcW w:w="1545" w:type="dxa"/>
            <w:tcBorders>
              <w:tl2br w:val="nil"/>
              <w:tr2bl w:val="nil"/>
            </w:tcBorders>
            <w:vAlign w:val="center"/>
          </w:tcPr>
          <w:p w14:paraId="50EDD39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（30～300）次/分</w:t>
            </w:r>
          </w:p>
        </w:tc>
        <w:tc>
          <w:tcPr>
            <w:tcW w:w="1275" w:type="dxa"/>
            <w:tcBorders>
              <w:tl2br w:val="nil"/>
              <w:tr2bl w:val="nil"/>
            </w:tcBorders>
            <w:vAlign w:val="center"/>
          </w:tcPr>
          <w:p w14:paraId="08BE1E4D">
            <w:pPr>
              <w:widowControl/>
              <w:jc w:val="center"/>
              <w:textAlignment w:val="center"/>
              <w:rPr>
                <w:rFonts w:hint="eastAsia" w:ascii="宋体" w:hAnsi="宋体" w:cs="宋体"/>
                <w:i/>
                <w:iCs/>
                <w:color w:val="auto"/>
                <w:sz w:val="22"/>
                <w:szCs w:val="22"/>
              </w:rPr>
            </w:pPr>
            <w:r>
              <w:rPr>
                <w:rStyle w:val="36"/>
                <w:rFonts w:hint="default"/>
                <w:color w:val="auto"/>
                <w:lang w:bidi="ar"/>
              </w:rPr>
              <w:t>U</w:t>
            </w:r>
            <w:r>
              <w:rPr>
                <w:rStyle w:val="38"/>
                <w:color w:val="auto"/>
                <w:lang w:bidi="ar"/>
              </w:rPr>
              <w:t>rel</w:t>
            </w:r>
            <w:r>
              <w:rPr>
                <w:rStyle w:val="39"/>
                <w:color w:val="auto"/>
                <w:lang w:bidi="ar"/>
              </w:rPr>
              <w:t>=2%</w:t>
            </w:r>
          </w:p>
        </w:tc>
      </w:tr>
      <w:tr w14:paraId="44A1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11" w:type="dxa"/>
            <w:vMerge w:val="restart"/>
            <w:tcBorders>
              <w:tl2br w:val="nil"/>
              <w:tr2bl w:val="nil"/>
            </w:tcBorders>
            <w:shd w:val="clear" w:color="auto" w:fill="auto"/>
            <w:noWrap/>
            <w:vAlign w:val="center"/>
          </w:tcPr>
          <w:p w14:paraId="0F409D92">
            <w:pPr>
              <w:widowControl/>
              <w:jc w:val="center"/>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24</w:t>
            </w:r>
          </w:p>
        </w:tc>
        <w:tc>
          <w:tcPr>
            <w:tcW w:w="1185" w:type="dxa"/>
            <w:vMerge w:val="restart"/>
            <w:tcBorders>
              <w:tl2br w:val="nil"/>
              <w:tr2bl w:val="nil"/>
            </w:tcBorders>
            <w:shd w:val="clear" w:color="auto" w:fill="auto"/>
            <w:noWrap/>
            <w:vAlign w:val="center"/>
          </w:tcPr>
          <w:p w14:paraId="1CD74520">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val="en-US" w:eastAsia="zh-CN" w:bidi="ar"/>
              </w:rPr>
              <w:t>冰</w:t>
            </w:r>
            <w:r>
              <w:rPr>
                <w:rFonts w:hint="eastAsia" w:ascii="宋体" w:hAnsi="宋体" w:cs="宋体"/>
                <w:color w:val="auto"/>
                <w:kern w:val="0"/>
                <w:sz w:val="22"/>
                <w:szCs w:val="22"/>
                <w:lang w:bidi="ar"/>
              </w:rPr>
              <w:t>箱</w:t>
            </w:r>
          </w:p>
        </w:tc>
        <w:tc>
          <w:tcPr>
            <w:tcW w:w="2475" w:type="dxa"/>
            <w:vMerge w:val="restart"/>
            <w:tcBorders>
              <w:tl2br w:val="nil"/>
              <w:tr2bl w:val="nil"/>
            </w:tcBorders>
            <w:shd w:val="clear" w:color="auto" w:fill="auto"/>
            <w:noWrap/>
            <w:vAlign w:val="center"/>
          </w:tcPr>
          <w:p w14:paraId="763FA298">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 xml:space="preserve">环境试验设备温度、湿度参数校准规范 JJF 1101-2019 </w:t>
            </w:r>
          </w:p>
        </w:tc>
        <w:tc>
          <w:tcPr>
            <w:tcW w:w="1635" w:type="dxa"/>
            <w:tcBorders>
              <w:tl2br w:val="nil"/>
              <w:tr2bl w:val="nil"/>
            </w:tcBorders>
            <w:shd w:val="clear" w:color="auto" w:fill="auto"/>
            <w:vAlign w:val="center"/>
          </w:tcPr>
          <w:p w14:paraId="12A5BEE0">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温度</w:t>
            </w:r>
          </w:p>
        </w:tc>
        <w:tc>
          <w:tcPr>
            <w:tcW w:w="1545" w:type="dxa"/>
            <w:tcBorders>
              <w:tl2br w:val="nil"/>
              <w:tr2bl w:val="nil"/>
            </w:tcBorders>
            <w:shd w:val="clear" w:color="auto" w:fill="auto"/>
            <w:vAlign w:val="center"/>
          </w:tcPr>
          <w:p w14:paraId="4F5E7717">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w:t>
            </w:r>
            <w:r>
              <w:rPr>
                <w:rFonts w:hint="eastAsia" w:ascii="宋体" w:hAnsi="宋体" w:cs="宋体"/>
                <w:color w:val="auto"/>
                <w:kern w:val="0"/>
                <w:sz w:val="22"/>
                <w:szCs w:val="22"/>
                <w:lang w:val="en-US" w:eastAsia="zh-CN" w:bidi="ar"/>
              </w:rPr>
              <w:t>3</w:t>
            </w:r>
            <w:r>
              <w:rPr>
                <w:rFonts w:hint="eastAsia" w:ascii="宋体" w:hAnsi="宋体" w:cs="宋体"/>
                <w:color w:val="auto"/>
                <w:kern w:val="0"/>
                <w:sz w:val="22"/>
                <w:szCs w:val="22"/>
                <w:lang w:bidi="ar"/>
              </w:rPr>
              <w:t>0～</w:t>
            </w:r>
            <w:r>
              <w:rPr>
                <w:rFonts w:hint="eastAsia" w:ascii="宋体" w:hAnsi="宋体" w:cs="宋体"/>
                <w:color w:val="auto"/>
                <w:kern w:val="0"/>
                <w:sz w:val="22"/>
                <w:szCs w:val="22"/>
                <w:lang w:val="en-US" w:eastAsia="zh-CN" w:bidi="ar"/>
              </w:rPr>
              <w:t>25</w:t>
            </w:r>
            <w:r>
              <w:rPr>
                <w:rFonts w:hint="eastAsia" w:ascii="宋体" w:hAnsi="宋体" w:cs="宋体"/>
                <w:color w:val="auto"/>
                <w:kern w:val="0"/>
                <w:sz w:val="22"/>
                <w:szCs w:val="22"/>
                <w:lang w:bidi="ar"/>
              </w:rPr>
              <w:t>0）℃</w:t>
            </w:r>
          </w:p>
        </w:tc>
        <w:tc>
          <w:tcPr>
            <w:tcW w:w="1275" w:type="dxa"/>
            <w:tcBorders>
              <w:tl2br w:val="nil"/>
              <w:tr2bl w:val="nil"/>
            </w:tcBorders>
            <w:shd w:val="clear" w:color="auto" w:fill="auto"/>
            <w:vAlign w:val="center"/>
          </w:tcPr>
          <w:p w14:paraId="43FDF311">
            <w:pPr>
              <w:widowControl/>
              <w:jc w:val="center"/>
              <w:textAlignment w:val="center"/>
              <w:rPr>
                <w:rFonts w:hint="default" w:ascii="宋体" w:hAnsi="宋体" w:eastAsia="宋体" w:cs="宋体"/>
                <w:i/>
                <w:iCs/>
                <w:color w:val="auto"/>
                <w:kern w:val="2"/>
                <w:sz w:val="22"/>
                <w:szCs w:val="22"/>
                <w:lang w:val="en-US" w:eastAsia="zh-CN" w:bidi="ar-SA"/>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=0.6℃</w:t>
            </w:r>
          </w:p>
        </w:tc>
      </w:tr>
      <w:tr w14:paraId="3AD9C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11" w:type="dxa"/>
            <w:vMerge w:val="continue"/>
            <w:tcBorders>
              <w:tl2br w:val="nil"/>
              <w:tr2bl w:val="nil"/>
            </w:tcBorders>
            <w:noWrap/>
            <w:vAlign w:val="center"/>
          </w:tcPr>
          <w:p w14:paraId="10A58AF3">
            <w:pPr>
              <w:jc w:val="center"/>
              <w:rPr>
                <w:rFonts w:hint="eastAsia" w:ascii="宋体" w:hAnsi="宋体" w:cs="宋体"/>
                <w:color w:val="auto"/>
                <w:sz w:val="22"/>
                <w:szCs w:val="22"/>
              </w:rPr>
            </w:pPr>
          </w:p>
        </w:tc>
        <w:tc>
          <w:tcPr>
            <w:tcW w:w="1185" w:type="dxa"/>
            <w:vMerge w:val="continue"/>
            <w:tcBorders>
              <w:tl2br w:val="nil"/>
              <w:tr2bl w:val="nil"/>
            </w:tcBorders>
            <w:noWrap/>
            <w:vAlign w:val="center"/>
          </w:tcPr>
          <w:p w14:paraId="2B0939E1">
            <w:pPr>
              <w:jc w:val="center"/>
              <w:rPr>
                <w:rFonts w:hint="eastAsia" w:ascii="宋体" w:hAnsi="宋体" w:cs="宋体"/>
                <w:color w:val="auto"/>
                <w:sz w:val="22"/>
                <w:szCs w:val="22"/>
              </w:rPr>
            </w:pPr>
          </w:p>
        </w:tc>
        <w:tc>
          <w:tcPr>
            <w:tcW w:w="2475" w:type="dxa"/>
            <w:vMerge w:val="continue"/>
            <w:tcBorders>
              <w:tl2br w:val="nil"/>
              <w:tr2bl w:val="nil"/>
            </w:tcBorders>
            <w:noWrap/>
            <w:vAlign w:val="center"/>
          </w:tcPr>
          <w:p w14:paraId="447665AB">
            <w:pPr>
              <w:jc w:val="center"/>
              <w:rPr>
                <w:rFonts w:hint="eastAsia" w:ascii="宋体" w:hAnsi="宋体" w:cs="宋体"/>
                <w:color w:val="auto"/>
                <w:sz w:val="22"/>
                <w:szCs w:val="22"/>
              </w:rPr>
            </w:pPr>
          </w:p>
        </w:tc>
        <w:tc>
          <w:tcPr>
            <w:tcW w:w="1635" w:type="dxa"/>
            <w:tcBorders>
              <w:tl2br w:val="nil"/>
              <w:tr2bl w:val="nil"/>
            </w:tcBorders>
            <w:shd w:val="clear" w:color="auto" w:fill="auto"/>
            <w:vAlign w:val="center"/>
          </w:tcPr>
          <w:p w14:paraId="453C282E">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相对湿度</w:t>
            </w:r>
          </w:p>
        </w:tc>
        <w:tc>
          <w:tcPr>
            <w:tcW w:w="1545" w:type="dxa"/>
            <w:tcBorders>
              <w:tl2br w:val="nil"/>
              <w:tr2bl w:val="nil"/>
            </w:tcBorders>
            <w:shd w:val="clear" w:color="auto" w:fill="auto"/>
            <w:vAlign w:val="center"/>
          </w:tcPr>
          <w:p w14:paraId="460D8E3D">
            <w:pPr>
              <w:widowControl/>
              <w:jc w:val="center"/>
              <w:textAlignment w:val="center"/>
              <w:rPr>
                <w:rFonts w:hint="eastAsia"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10%～90%</w:t>
            </w:r>
          </w:p>
        </w:tc>
        <w:tc>
          <w:tcPr>
            <w:tcW w:w="1275" w:type="dxa"/>
            <w:tcBorders>
              <w:tl2br w:val="nil"/>
              <w:tr2bl w:val="nil"/>
            </w:tcBorders>
            <w:shd w:val="clear" w:color="auto" w:fill="auto"/>
            <w:vAlign w:val="center"/>
          </w:tcPr>
          <w:p w14:paraId="778A5AFC">
            <w:pPr>
              <w:widowControl/>
              <w:jc w:val="center"/>
              <w:textAlignment w:val="center"/>
              <w:rPr>
                <w:rFonts w:hint="default" w:ascii="宋体" w:hAnsi="宋体" w:eastAsia="宋体" w:cs="宋体"/>
                <w:i/>
                <w:iCs/>
                <w:color w:val="auto"/>
                <w:kern w:val="2"/>
                <w:sz w:val="22"/>
                <w:szCs w:val="22"/>
                <w:lang w:val="en-US" w:eastAsia="zh-CN" w:bidi="ar-SA"/>
              </w:rPr>
            </w:pPr>
            <w:r>
              <w:rPr>
                <w:rFonts w:hint="eastAsia" w:ascii="宋体" w:hAnsi="宋体" w:cs="宋体"/>
                <w:i/>
                <w:iCs/>
                <w:color w:val="auto"/>
                <w:kern w:val="0"/>
                <w:sz w:val="22"/>
                <w:szCs w:val="22"/>
                <w:lang w:bidi="ar"/>
              </w:rPr>
              <w:t>U</w:t>
            </w:r>
            <w:r>
              <w:rPr>
                <w:rFonts w:hint="eastAsia" w:ascii="宋体" w:hAnsi="宋体" w:cs="宋体"/>
                <w:color w:val="auto"/>
                <w:kern w:val="0"/>
                <w:sz w:val="22"/>
                <w:szCs w:val="22"/>
                <w:lang w:bidi="ar"/>
              </w:rPr>
              <w:t>=1.9%</w:t>
            </w:r>
          </w:p>
        </w:tc>
      </w:tr>
      <w:tr w14:paraId="09DED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11" w:type="dxa"/>
            <w:tcBorders>
              <w:tl2br w:val="nil"/>
              <w:tr2bl w:val="nil"/>
            </w:tcBorders>
            <w:noWrap/>
            <w:vAlign w:val="center"/>
          </w:tcPr>
          <w:p w14:paraId="6CF44D27">
            <w:pPr>
              <w:jc w:val="center"/>
              <w:rPr>
                <w:rFonts w:hint="default"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25</w:t>
            </w:r>
          </w:p>
        </w:tc>
        <w:tc>
          <w:tcPr>
            <w:tcW w:w="1185" w:type="dxa"/>
            <w:tcBorders>
              <w:tl2br w:val="nil"/>
              <w:tr2bl w:val="nil"/>
            </w:tcBorders>
            <w:noWrap/>
            <w:vAlign w:val="center"/>
          </w:tcPr>
          <w:p w14:paraId="3E1DB72C">
            <w:pPr>
              <w:jc w:val="center"/>
              <w:rPr>
                <w:rFonts w:hint="eastAsia" w:ascii="宋体" w:hAnsi="宋体" w:cs="宋体"/>
                <w:b w:val="0"/>
                <w:bCs w:val="0"/>
                <w:color w:val="auto"/>
                <w:sz w:val="22"/>
                <w:szCs w:val="22"/>
              </w:rPr>
            </w:pPr>
            <w:r>
              <w:rPr>
                <w:rFonts w:hint="eastAsia" w:ascii="宋体" w:hAnsi="宋体" w:cs="宋体"/>
                <w:b w:val="0"/>
                <w:bCs w:val="0"/>
                <w:i w:val="0"/>
                <w:iCs w:val="0"/>
                <w:color w:val="auto"/>
                <w:kern w:val="0"/>
                <w:sz w:val="22"/>
                <w:szCs w:val="22"/>
                <w:u w:val="none"/>
                <w:lang w:val="en-US" w:eastAsia="zh-CN" w:bidi="ar"/>
              </w:rPr>
              <w:t>全自动血沉仪</w:t>
            </w:r>
          </w:p>
        </w:tc>
        <w:tc>
          <w:tcPr>
            <w:tcW w:w="2475" w:type="dxa"/>
            <w:tcBorders>
              <w:tl2br w:val="nil"/>
              <w:tr2bl w:val="nil"/>
            </w:tcBorders>
            <w:noWrap/>
            <w:vAlign w:val="center"/>
          </w:tcPr>
          <w:p w14:paraId="4CA41A3A">
            <w:pPr>
              <w:jc w:val="center"/>
              <w:rPr>
                <w:rFonts w:hint="eastAsia" w:ascii="宋体" w:hAnsi="宋体" w:cs="宋体"/>
                <w:b w:val="0"/>
                <w:bCs w:val="0"/>
                <w:color w:val="auto"/>
                <w:sz w:val="22"/>
                <w:szCs w:val="22"/>
              </w:rPr>
            </w:pPr>
            <w:r>
              <w:rPr>
                <w:rFonts w:hint="eastAsia" w:ascii="宋体" w:hAnsi="宋体" w:cs="宋体"/>
                <w:b w:val="0"/>
                <w:bCs w:val="0"/>
                <w:color w:val="auto"/>
                <w:sz w:val="22"/>
                <w:szCs w:val="22"/>
              </w:rPr>
              <w:t>YY/T 1251-2014 红细胞沉降率测定仪</w:t>
            </w:r>
          </w:p>
        </w:tc>
        <w:tc>
          <w:tcPr>
            <w:tcW w:w="1635" w:type="dxa"/>
            <w:tcBorders>
              <w:tl2br w:val="nil"/>
              <w:tr2bl w:val="nil"/>
            </w:tcBorders>
            <w:shd w:val="clear" w:color="auto" w:fill="auto"/>
            <w:vAlign w:val="center"/>
          </w:tcPr>
          <w:p w14:paraId="6AB12AF3">
            <w:pPr>
              <w:jc w:val="center"/>
              <w:rPr>
                <w:rFonts w:hint="eastAsia" w:ascii="宋体" w:hAnsi="宋体" w:cs="宋体"/>
                <w:b w:val="0"/>
                <w:bCs w:val="0"/>
                <w:color w:val="auto"/>
                <w:sz w:val="22"/>
                <w:szCs w:val="22"/>
              </w:rPr>
            </w:pPr>
            <w:r>
              <w:rPr>
                <w:rFonts w:hint="eastAsia" w:ascii="宋体" w:hAnsi="宋体" w:cs="宋体"/>
                <w:b w:val="0"/>
                <w:bCs w:val="0"/>
                <w:color w:val="auto"/>
                <w:sz w:val="22"/>
                <w:szCs w:val="22"/>
              </w:rPr>
              <w:t>红细胞沉降速率</w:t>
            </w:r>
          </w:p>
        </w:tc>
        <w:tc>
          <w:tcPr>
            <w:tcW w:w="1545" w:type="dxa"/>
            <w:tcBorders>
              <w:tl2br w:val="nil"/>
              <w:tr2bl w:val="nil"/>
            </w:tcBorders>
            <w:shd w:val="clear" w:color="auto" w:fill="auto"/>
            <w:vAlign w:val="center"/>
          </w:tcPr>
          <w:p w14:paraId="4472AC69">
            <w:pPr>
              <w:widowControl/>
              <w:jc w:val="center"/>
              <w:textAlignment w:val="center"/>
              <w:rPr>
                <w:rFonts w:hint="eastAsia" w:ascii="宋体" w:hAnsi="宋体" w:eastAsia="宋体" w:cs="宋体"/>
                <w:b w:val="0"/>
                <w:bCs w:val="0"/>
                <w:color w:val="auto"/>
                <w:kern w:val="0"/>
                <w:sz w:val="22"/>
                <w:szCs w:val="22"/>
                <w:lang w:val="en-US" w:eastAsia="zh-CN" w:bidi="ar"/>
              </w:rPr>
            </w:pPr>
            <w:r>
              <w:rPr>
                <w:rFonts w:hint="eastAsia" w:ascii="宋体" w:hAnsi="宋体" w:cs="宋体"/>
                <w:b w:val="0"/>
                <w:bCs w:val="0"/>
                <w:color w:val="auto"/>
                <w:kern w:val="0"/>
                <w:sz w:val="22"/>
                <w:szCs w:val="22"/>
                <w:lang w:val="en-US" w:eastAsia="zh-CN" w:bidi="ar"/>
              </w:rPr>
              <w:t>/</w:t>
            </w:r>
          </w:p>
        </w:tc>
        <w:tc>
          <w:tcPr>
            <w:tcW w:w="1275" w:type="dxa"/>
            <w:tcBorders>
              <w:tl2br w:val="nil"/>
              <w:tr2bl w:val="nil"/>
            </w:tcBorders>
            <w:shd w:val="clear" w:color="auto" w:fill="auto"/>
            <w:vAlign w:val="center"/>
          </w:tcPr>
          <w:p w14:paraId="2157F8DE">
            <w:pPr>
              <w:widowControl/>
              <w:jc w:val="center"/>
              <w:textAlignment w:val="center"/>
              <w:rPr>
                <w:rFonts w:hint="eastAsia" w:ascii="宋体" w:hAnsi="宋体" w:eastAsia="宋体" w:cs="宋体"/>
                <w:b w:val="0"/>
                <w:bCs w:val="0"/>
                <w:i/>
                <w:iCs/>
                <w:color w:val="auto"/>
                <w:kern w:val="0"/>
                <w:sz w:val="22"/>
                <w:szCs w:val="22"/>
                <w:lang w:val="en-US" w:eastAsia="zh-CN" w:bidi="ar"/>
              </w:rPr>
            </w:pPr>
            <w:r>
              <w:rPr>
                <w:rFonts w:hint="eastAsia" w:ascii="宋体" w:hAnsi="宋体" w:cs="宋体"/>
                <w:b w:val="0"/>
                <w:bCs w:val="0"/>
                <w:i/>
                <w:iCs/>
                <w:color w:val="auto"/>
                <w:kern w:val="0"/>
                <w:sz w:val="22"/>
                <w:szCs w:val="22"/>
                <w:lang w:val="en-US" w:eastAsia="zh-CN" w:bidi="ar"/>
              </w:rPr>
              <w:t>/</w:t>
            </w:r>
          </w:p>
        </w:tc>
      </w:tr>
    </w:tbl>
    <w:p w14:paraId="70237C22">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heme="majorEastAsia" w:hAnsiTheme="majorEastAsia" w:eastAsiaTheme="majorEastAsia" w:cstheme="majorEastAsia"/>
          <w:b/>
          <w:color w:val="auto"/>
          <w:sz w:val="24"/>
          <w:szCs w:val="24"/>
          <w:highlight w:val="none"/>
          <w:lang w:eastAsia="zh-CN"/>
        </w:rPr>
      </w:pPr>
    </w:p>
    <w:p w14:paraId="033C8CB2">
      <w:pPr>
        <w:spacing w:line="360" w:lineRule="auto"/>
        <w:rPr>
          <w:rFonts w:hint="eastAsia" w:ascii="宋体" w:hAnsi="宋体" w:cs="宋体"/>
          <w:szCs w:val="21"/>
        </w:rPr>
      </w:pPr>
    </w:p>
    <w:p w14:paraId="2EB5612D">
      <w:pPr>
        <w:pStyle w:val="6"/>
        <w:spacing w:line="360" w:lineRule="auto"/>
        <w:ind w:firstLine="0" w:firstLineChars="0"/>
        <w:rPr>
          <w:rFonts w:hint="eastAsia" w:ascii="宋体" w:hAnsi="宋体"/>
          <w:szCs w:val="21"/>
        </w:rPr>
      </w:pPr>
      <w:r>
        <w:rPr>
          <w:rFonts w:hint="eastAsia" w:ascii="宋体" w:hAnsi="宋体"/>
          <w:szCs w:val="21"/>
          <w:lang w:eastAsia="zh-CN"/>
        </w:rPr>
        <w:t>五</w:t>
      </w:r>
      <w:r>
        <w:rPr>
          <w:rFonts w:hint="eastAsia" w:ascii="宋体" w:hAnsi="宋体"/>
          <w:szCs w:val="21"/>
        </w:rPr>
        <w:t>、报价方式：</w:t>
      </w:r>
    </w:p>
    <w:p w14:paraId="6EF393DD">
      <w:pPr>
        <w:spacing w:line="360" w:lineRule="auto"/>
        <w:ind w:firstLine="420" w:firstLineChars="200"/>
        <w:rPr>
          <w:rFonts w:hint="eastAsia" w:ascii="宋体" w:hAnsi="宋体" w:cs="宋体"/>
          <w:szCs w:val="21"/>
        </w:rPr>
      </w:pPr>
      <w:r>
        <w:rPr>
          <w:rFonts w:hint="eastAsia"/>
        </w:rPr>
        <w:t>本次报价</w:t>
      </w:r>
      <w:bookmarkStart w:id="9" w:name="_GoBack"/>
      <w:bookmarkEnd w:id="9"/>
      <w:r>
        <w:rPr>
          <w:rFonts w:hint="eastAsia"/>
        </w:rPr>
        <w:t>应包括本项目整个服务期所需的一切</w:t>
      </w:r>
      <w:r>
        <w:rPr>
          <w:rFonts w:hint="eastAsia" w:ascii="宋体" w:hAnsi="宋体" w:cs="宋体"/>
          <w:bCs/>
          <w:szCs w:val="21"/>
        </w:rPr>
        <w:t>设备保修、设备保养服务及所有配件费、维修人工费、差旅费</w:t>
      </w:r>
      <w:r>
        <w:rPr>
          <w:rFonts w:hint="eastAsia"/>
        </w:rPr>
        <w:t>、利润、税金（包含须由投标人承担的各种税费）、其它需投标人承担的费用及潜在可能涉及的一切费用。未计入报价而应该发生的费用的，视为已含在其他分项投标报价中。投标人应认真计算可能发生的各相关费用并计入投标报价内，在项目实施过程中不得藉此要求增加任何费用。</w:t>
      </w:r>
    </w:p>
    <w:p w14:paraId="5D41B6A2">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034B665C">
      <w:pPr>
        <w:numPr>
          <w:ilvl w:val="0"/>
          <w:numId w:val="0"/>
        </w:numPr>
        <w:ind w:leftChars="0"/>
        <w:jc w:val="both"/>
        <w:outlineLvl w:val="1"/>
        <w:rPr>
          <w:rFonts w:hint="eastAsia" w:cs="Times New Roman"/>
          <w:b/>
          <w:bCs/>
          <w:kern w:val="2"/>
          <w:sz w:val="28"/>
          <w:szCs w:val="28"/>
          <w:highlight w:val="none"/>
          <w:lang w:val="en-US" w:eastAsia="zh-CN" w:bidi="ar-SA"/>
        </w:rPr>
      </w:pPr>
    </w:p>
    <w:p w14:paraId="1C813024">
      <w:pPr>
        <w:numPr>
          <w:ilvl w:val="0"/>
          <w:numId w:val="0"/>
        </w:numPr>
        <w:ind w:leftChars="0"/>
        <w:jc w:val="center"/>
        <w:outlineLvl w:val="1"/>
        <w:rPr>
          <w:rFonts w:hint="eastAsia" w:cs="Times New Roman"/>
          <w:b/>
          <w:bCs/>
          <w:kern w:val="2"/>
          <w:sz w:val="28"/>
          <w:szCs w:val="28"/>
          <w:highlight w:val="none"/>
          <w:lang w:val="en-US" w:eastAsia="zh-CN" w:bidi="ar-SA"/>
        </w:rPr>
      </w:pPr>
    </w:p>
    <w:p w14:paraId="404CD7BF">
      <w:pPr>
        <w:numPr>
          <w:ilvl w:val="0"/>
          <w:numId w:val="0"/>
        </w:numPr>
        <w:ind w:leftChars="0"/>
        <w:jc w:val="center"/>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 xml:space="preserve">第三章 </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Cs/>
                <w:sz w:val="24"/>
                <w:szCs w:val="24"/>
                <w:highlight w:val="none"/>
              </w:rPr>
              <w:t>相关资质的证明材料</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7F6BC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采购要求响应表</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34F287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197645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服务方案</w:t>
            </w:r>
          </w:p>
        </w:tc>
        <w:tc>
          <w:tcPr>
            <w:tcW w:w="1717" w:type="dxa"/>
            <w:noWrap w:val="0"/>
            <w:vAlign w:val="center"/>
          </w:tcPr>
          <w:p w14:paraId="0EE5D4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投标人认为需要提供的其他技术资料</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bl>
    <w:p w14:paraId="06220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五</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6BA6A43C">
      <w:pPr>
        <w:rPr>
          <w:rFonts w:hint="eastAsia" w:ascii="新宋体" w:hAnsi="新宋体" w:eastAsia="新宋体" w:cs="宋体"/>
          <w:b/>
          <w:bCs/>
          <w:kern w:val="0"/>
          <w:sz w:val="32"/>
          <w:szCs w:val="32"/>
          <w:highlight w:val="none"/>
          <w:lang w:val="en-US" w:eastAsia="zh-CN" w:bidi="ar-SA"/>
        </w:rPr>
      </w:pPr>
    </w:p>
    <w:p w14:paraId="0C5605CF">
      <w:pPr>
        <w:pStyle w:val="8"/>
        <w:rPr>
          <w:rFonts w:hint="eastAsia" w:ascii="新宋体" w:hAnsi="新宋体" w:eastAsia="新宋体" w:cs="宋体"/>
          <w:b/>
          <w:bCs/>
          <w:kern w:val="0"/>
          <w:sz w:val="32"/>
          <w:szCs w:val="32"/>
          <w:highlight w:val="none"/>
          <w:lang w:val="en-US" w:eastAsia="zh-CN" w:bidi="ar-SA"/>
        </w:rPr>
      </w:pPr>
    </w:p>
    <w:p w14:paraId="778179B4">
      <w:pPr>
        <w:rPr>
          <w:rFonts w:hint="eastAsia" w:ascii="新宋体" w:hAnsi="新宋体" w:eastAsia="新宋体" w:cs="宋体"/>
          <w:b/>
          <w:bCs/>
          <w:kern w:val="0"/>
          <w:sz w:val="32"/>
          <w:szCs w:val="32"/>
          <w:highlight w:val="none"/>
          <w:lang w:val="en-US" w:eastAsia="zh-CN" w:bidi="ar-SA"/>
        </w:rPr>
      </w:pPr>
    </w:p>
    <w:p w14:paraId="58B968B0">
      <w:pPr>
        <w:pStyle w:val="5"/>
        <w:numPr>
          <w:ilvl w:val="0"/>
          <w:numId w:val="0"/>
        </w:numPr>
        <w:snapToGrid w:val="0"/>
        <w:ind w:leftChars="0"/>
        <w:jc w:val="center"/>
        <w:rPr>
          <w:rFonts w:hint="eastAsia" w:ascii="新宋体" w:hAnsi="新宋体" w:eastAsia="新宋体" w:cs="宋体"/>
          <w:b/>
          <w:bCs/>
          <w:kern w:val="0"/>
          <w:sz w:val="32"/>
          <w:szCs w:val="32"/>
          <w:highlight w:val="none"/>
          <w:lang w:val="en-US" w:eastAsia="zh-CN" w:bidi="ar-SA"/>
        </w:rPr>
      </w:pPr>
      <w:bookmarkStart w:id="2" w:name="_Toc495317671"/>
      <w:r>
        <w:rPr>
          <w:rFonts w:ascii="Times New Roman" w:hAnsi="Times New Roman"/>
          <w:color w:val="auto"/>
        </w:rPr>
        <w:t>第四章</w:t>
      </w:r>
      <w:bookmarkEnd w:id="2"/>
      <w:r>
        <w:rPr>
          <w:rFonts w:hint="eastAsia" w:ascii="Times New Roman" w:hAnsi="Times New Roman"/>
          <w:color w:val="auto"/>
          <w:lang w:val="en-US" w:eastAsia="zh-CN"/>
        </w:rPr>
        <w:t xml:space="preserve"> </w:t>
      </w:r>
      <w:r>
        <w:rPr>
          <w:rFonts w:hint="eastAsia" w:ascii="新宋体" w:hAnsi="新宋体" w:eastAsia="新宋体" w:cs="宋体"/>
          <w:b/>
          <w:bCs/>
          <w:kern w:val="0"/>
          <w:sz w:val="32"/>
          <w:szCs w:val="32"/>
          <w:highlight w:val="none"/>
          <w:lang w:val="en-US" w:eastAsia="zh-CN" w:bidi="ar-SA"/>
        </w:rPr>
        <w:t>评审原则及方法</w:t>
      </w:r>
    </w:p>
    <w:p w14:paraId="0145CDDF">
      <w:pPr>
        <w:pStyle w:val="18"/>
        <w:shd w:val="clear" w:color="auto" w:fill="FFFFFF"/>
        <w:spacing w:line="360" w:lineRule="auto"/>
        <w:ind w:firstLine="556"/>
        <w:jc w:val="left"/>
        <w:rPr>
          <w:rFonts w:hint="eastAsia" w:asciiTheme="majorEastAsia" w:hAnsiTheme="majorEastAsia" w:eastAsiaTheme="majorEastAsia" w:cstheme="majorEastAsia"/>
          <w:b/>
          <w:bCs/>
          <w:kern w:val="2"/>
          <w:sz w:val="24"/>
          <w:szCs w:val="24"/>
          <w:highlight w:val="none"/>
          <w:lang w:val="en-US" w:eastAsia="zh-CN" w:bidi="ar-SA"/>
        </w:rPr>
      </w:pPr>
      <w:r>
        <w:rPr>
          <w:rFonts w:hint="eastAsia" w:asciiTheme="majorEastAsia" w:hAnsiTheme="majorEastAsia" w:eastAsiaTheme="majorEastAsia" w:cstheme="majorEastAsia"/>
          <w:b/>
          <w:sz w:val="24"/>
          <w:szCs w:val="24"/>
          <w:highlight w:val="none"/>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3" w:name="_Toc15153"/>
      <w:bookmarkStart w:id="4" w:name="_Toc67"/>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3"/>
      <w:bookmarkEnd w:id="4"/>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5" w:name="_Toc24825"/>
      <w:bookmarkStart w:id="6" w:name="_Toc11306"/>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5"/>
      <w:bookmarkEnd w:id="6"/>
    </w:p>
    <w:p w14:paraId="5DFBB00C">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%），商务标（报价）</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w:t>
      </w:r>
    </w:p>
    <w:p w14:paraId="5F097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7" w:name="_Toc1535"/>
      <w:bookmarkStart w:id="8" w:name="_Toc11450"/>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7"/>
      <w:bookmarkEnd w:id="8"/>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w:t>
      </w:r>
    </w:p>
    <w:p w14:paraId="0FB29172">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20"/>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232"/>
        <w:gridCol w:w="6425"/>
        <w:gridCol w:w="567"/>
      </w:tblGrid>
      <w:tr w14:paraId="4FDA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2" w:type="dxa"/>
            <w:noWrap w:val="0"/>
            <w:vAlign w:val="center"/>
          </w:tcPr>
          <w:p w14:paraId="06C5AE95">
            <w:pPr>
              <w:rPr>
                <w:rFonts w:hint="eastAsia" w:ascii="仿宋_GB2312" w:eastAsia="仿宋_GB2312"/>
                <w:lang w:val="en-US" w:eastAsia="zh-CN"/>
              </w:rPr>
            </w:pPr>
            <w:r>
              <w:rPr>
                <w:rFonts w:hint="eastAsia"/>
                <w:szCs w:val="21"/>
              </w:rPr>
              <w:t>序号</w:t>
            </w:r>
          </w:p>
        </w:tc>
        <w:tc>
          <w:tcPr>
            <w:tcW w:w="1232" w:type="dxa"/>
            <w:noWrap w:val="0"/>
            <w:vAlign w:val="center"/>
          </w:tcPr>
          <w:p w14:paraId="2E2AD9ED">
            <w:pPr>
              <w:rPr>
                <w:rFonts w:ascii="仿宋_GB2312" w:eastAsia="仿宋_GB2312"/>
              </w:rPr>
            </w:pPr>
            <w:r>
              <w:rPr>
                <w:rFonts w:hint="eastAsia"/>
                <w:szCs w:val="21"/>
              </w:rPr>
              <w:t>评审项目</w:t>
            </w:r>
          </w:p>
        </w:tc>
        <w:tc>
          <w:tcPr>
            <w:tcW w:w="6425" w:type="dxa"/>
            <w:noWrap w:val="0"/>
            <w:vAlign w:val="center"/>
          </w:tcPr>
          <w:p w14:paraId="10588BA0">
            <w:pPr>
              <w:rPr>
                <w:rFonts w:ascii="仿宋_GB2312" w:eastAsia="仿宋_GB2312"/>
              </w:rPr>
            </w:pPr>
            <w:r>
              <w:rPr>
                <w:rFonts w:hint="eastAsia"/>
                <w:szCs w:val="21"/>
              </w:rPr>
              <w:t>评审内容</w:t>
            </w:r>
          </w:p>
        </w:tc>
        <w:tc>
          <w:tcPr>
            <w:tcW w:w="567" w:type="dxa"/>
            <w:noWrap w:val="0"/>
            <w:vAlign w:val="center"/>
          </w:tcPr>
          <w:p w14:paraId="6190B9B2">
            <w:pPr>
              <w:rPr>
                <w:rFonts w:ascii="仿宋_GB2312" w:eastAsia="仿宋_GB2312"/>
              </w:rPr>
            </w:pPr>
            <w:r>
              <w:rPr>
                <w:rFonts w:hint="eastAsia"/>
                <w:szCs w:val="21"/>
              </w:rPr>
              <w:t>分值</w:t>
            </w:r>
          </w:p>
        </w:tc>
      </w:tr>
      <w:tr w14:paraId="6F5D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92" w:type="dxa"/>
            <w:noWrap w:val="0"/>
            <w:vAlign w:val="center"/>
          </w:tcPr>
          <w:p w14:paraId="44497C39">
            <w:pPr>
              <w:rPr>
                <w:rFonts w:hint="eastAsia" w:ascii="仿宋_GB2312" w:eastAsia="仿宋_GB2312"/>
                <w:lang w:eastAsia="zh-CN"/>
              </w:rPr>
            </w:pPr>
            <w:r>
              <w:rPr>
                <w:szCs w:val="21"/>
              </w:rPr>
              <w:t>1</w:t>
            </w:r>
          </w:p>
        </w:tc>
        <w:tc>
          <w:tcPr>
            <w:tcW w:w="1232" w:type="dxa"/>
            <w:noWrap w:val="0"/>
            <w:vAlign w:val="center"/>
          </w:tcPr>
          <w:p w14:paraId="58C99C92">
            <w:pPr>
              <w:rPr>
                <w:rFonts w:hint="default" w:ascii="仿宋_GB2312" w:eastAsia="仿宋_GB2312"/>
                <w:lang w:val="en-US" w:eastAsia="zh-CN"/>
              </w:rPr>
            </w:pPr>
            <w:r>
              <w:rPr>
                <w:rFonts w:hint="eastAsia"/>
                <w:szCs w:val="21"/>
              </w:rPr>
              <w:t>投标人资质</w:t>
            </w:r>
          </w:p>
        </w:tc>
        <w:tc>
          <w:tcPr>
            <w:tcW w:w="6425" w:type="dxa"/>
            <w:noWrap w:val="0"/>
            <w:vAlign w:val="center"/>
          </w:tcPr>
          <w:p w14:paraId="4FD9C3DF">
            <w:pPr>
              <w:rPr>
                <w:rFonts w:hint="eastAsia"/>
                <w:szCs w:val="21"/>
                <w:highlight w:val="yellow"/>
              </w:rPr>
            </w:pPr>
          </w:p>
          <w:p w14:paraId="3C3874A2">
            <w:pPr>
              <w:rPr>
                <w:rFonts w:hint="eastAsia" w:ascii="仿宋" w:hAnsi="仿宋" w:eastAsia="仿宋"/>
                <w:sz w:val="21"/>
                <w:szCs w:val="21"/>
                <w:lang w:val="en-US" w:eastAsia="zh-CN"/>
              </w:rPr>
            </w:pPr>
            <w:r>
              <w:rPr>
                <w:rFonts w:hint="eastAsia"/>
                <w:szCs w:val="21"/>
              </w:rPr>
              <w:t>投标人具有有效的</w:t>
            </w:r>
            <w:r>
              <w:rPr>
                <w:rFonts w:hint="eastAsia" w:ascii="宋体" w:hAnsi="宋体" w:cs="宋体"/>
                <w:color w:val="000000"/>
                <w:kern w:val="0"/>
                <w:szCs w:val="21"/>
              </w:rPr>
              <w:t>检验检测机构资质认定证书（</w:t>
            </w:r>
            <w:r>
              <w:rPr>
                <w:rFonts w:ascii="宋体" w:hAnsi="宋体" w:cs="宋体"/>
                <w:color w:val="000000"/>
                <w:kern w:val="0"/>
                <w:szCs w:val="21"/>
              </w:rPr>
              <w:t>CMA</w:t>
            </w:r>
            <w:r>
              <w:rPr>
                <w:rFonts w:hint="eastAsia" w:ascii="宋体" w:hAnsi="宋体" w:cs="宋体"/>
                <w:color w:val="000000"/>
                <w:kern w:val="0"/>
                <w:szCs w:val="21"/>
              </w:rPr>
              <w:t>）、中国合格评定国家认可委员会（</w:t>
            </w:r>
            <w:r>
              <w:rPr>
                <w:rFonts w:ascii="宋体" w:hAnsi="宋体" w:cs="宋体"/>
                <w:color w:val="000000"/>
                <w:kern w:val="0"/>
                <w:szCs w:val="21"/>
              </w:rPr>
              <w:t>CNAS</w:t>
            </w:r>
            <w:r>
              <w:rPr>
                <w:rFonts w:hint="eastAsia" w:ascii="宋体" w:hAnsi="宋体" w:cs="宋体"/>
                <w:color w:val="000000"/>
                <w:kern w:val="0"/>
                <w:szCs w:val="21"/>
              </w:rPr>
              <w:t>）的实验室认可有效证书</w:t>
            </w:r>
            <w:r>
              <w:rPr>
                <w:rFonts w:hint="eastAsia"/>
                <w:szCs w:val="21"/>
              </w:rPr>
              <w:t>，每个得</w:t>
            </w:r>
            <w:r>
              <w:rPr>
                <w:rFonts w:hint="eastAsia"/>
                <w:szCs w:val="21"/>
                <w:lang w:val="en-US" w:eastAsia="zh-CN"/>
              </w:rPr>
              <w:t>3</w:t>
            </w:r>
            <w:r>
              <w:rPr>
                <w:rFonts w:hint="eastAsia"/>
                <w:szCs w:val="21"/>
              </w:rPr>
              <w:t>分，最多</w:t>
            </w:r>
            <w:r>
              <w:rPr>
                <w:rFonts w:hint="eastAsia"/>
                <w:szCs w:val="21"/>
                <w:lang w:val="en-US" w:eastAsia="zh-CN"/>
              </w:rPr>
              <w:t>6</w:t>
            </w:r>
            <w:r>
              <w:rPr>
                <w:rFonts w:hint="eastAsia"/>
                <w:szCs w:val="21"/>
              </w:rPr>
              <w:t>分，提供证书复印件，否则不得分。</w:t>
            </w:r>
          </w:p>
        </w:tc>
        <w:tc>
          <w:tcPr>
            <w:tcW w:w="567" w:type="dxa"/>
            <w:noWrap w:val="0"/>
            <w:vAlign w:val="center"/>
          </w:tcPr>
          <w:p w14:paraId="6B4BEBE2">
            <w:pPr>
              <w:jc w:val="center"/>
              <w:rPr>
                <w:rFonts w:hint="eastAsia"/>
                <w:szCs w:val="21"/>
              </w:rPr>
            </w:pPr>
            <w:r>
              <w:rPr>
                <w:rFonts w:hint="eastAsia"/>
                <w:szCs w:val="21"/>
              </w:rPr>
              <w:t>6</w:t>
            </w:r>
          </w:p>
          <w:p w14:paraId="75B46237">
            <w:pPr>
              <w:jc w:val="center"/>
              <w:rPr>
                <w:rFonts w:ascii="仿宋_GB2312" w:eastAsia="仿宋_GB2312"/>
              </w:rPr>
            </w:pPr>
          </w:p>
        </w:tc>
      </w:tr>
      <w:tr w14:paraId="5A3F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noWrap w:val="0"/>
            <w:vAlign w:val="center"/>
          </w:tcPr>
          <w:p w14:paraId="6D84CD87">
            <w:pPr>
              <w:rPr>
                <w:rFonts w:ascii="仿宋_GB2312" w:eastAsia="仿宋_GB2312"/>
              </w:rPr>
            </w:pPr>
            <w:r>
              <w:rPr>
                <w:szCs w:val="21"/>
              </w:rPr>
              <w:t>2</w:t>
            </w:r>
          </w:p>
        </w:tc>
        <w:tc>
          <w:tcPr>
            <w:tcW w:w="1232" w:type="dxa"/>
            <w:noWrap w:val="0"/>
            <w:vAlign w:val="center"/>
          </w:tcPr>
          <w:p w14:paraId="2CD0E2D8">
            <w:pPr>
              <w:rPr>
                <w:rFonts w:hint="eastAsia" w:ascii="仿宋_GB2312" w:eastAsia="仿宋_GB2312"/>
                <w:highlight w:val="none"/>
              </w:rPr>
            </w:pPr>
            <w:r>
              <w:rPr>
                <w:rFonts w:ascii="宋体" w:hAnsi="宋体"/>
                <w:szCs w:val="21"/>
                <w:highlight w:val="none"/>
                <w:lang w:eastAsia="zh-Hans"/>
              </w:rPr>
              <w:t>采购需求响应情况</w:t>
            </w:r>
          </w:p>
        </w:tc>
        <w:tc>
          <w:tcPr>
            <w:tcW w:w="6425" w:type="dxa"/>
            <w:noWrap w:val="0"/>
            <w:vAlign w:val="center"/>
          </w:tcPr>
          <w:p w14:paraId="35B4646B">
            <w:pPr>
              <w:widowControl/>
              <w:jc w:val="left"/>
              <w:rPr>
                <w:rFonts w:hint="default" w:ascii="仿宋" w:hAnsi="仿宋" w:eastAsia="仿宋"/>
                <w:sz w:val="21"/>
                <w:szCs w:val="21"/>
                <w:highlight w:val="none"/>
                <w:lang w:val="en-US" w:eastAsia="zh-CN"/>
              </w:rPr>
            </w:pPr>
            <w:r>
              <w:rPr>
                <w:rFonts w:hAnsi="宋体"/>
                <w:szCs w:val="21"/>
                <w:highlight w:val="none"/>
              </w:rPr>
              <w:t>对应于</w:t>
            </w:r>
            <w:r>
              <w:rPr>
                <w:rFonts w:hint="eastAsia" w:hAnsi="宋体"/>
                <w:szCs w:val="21"/>
                <w:highlight w:val="none"/>
              </w:rPr>
              <w:t>采购</w:t>
            </w:r>
            <w:r>
              <w:rPr>
                <w:rFonts w:hAnsi="宋体"/>
                <w:szCs w:val="21"/>
                <w:highlight w:val="none"/>
              </w:rPr>
              <w:t>文件</w:t>
            </w:r>
            <w:r>
              <w:rPr>
                <w:rFonts w:hint="eastAsia" w:hAnsi="宋体"/>
                <w:szCs w:val="21"/>
                <w:highlight w:val="none"/>
              </w:rPr>
              <w:t>第二章“</w:t>
            </w:r>
            <w:r>
              <w:rPr>
                <w:rFonts w:hAnsi="宋体"/>
                <w:szCs w:val="21"/>
                <w:highlight w:val="none"/>
              </w:rPr>
              <w:t>采购内容及</w:t>
            </w:r>
            <w:r>
              <w:rPr>
                <w:rFonts w:hint="eastAsia" w:hAnsi="宋体"/>
                <w:szCs w:val="21"/>
                <w:highlight w:val="none"/>
                <w:lang w:eastAsia="zh-CN"/>
              </w:rPr>
              <w:t>要</w:t>
            </w:r>
            <w:r>
              <w:rPr>
                <w:rFonts w:hAnsi="宋体"/>
                <w:szCs w:val="21"/>
                <w:highlight w:val="none"/>
              </w:rPr>
              <w:t>求</w:t>
            </w:r>
            <w:r>
              <w:rPr>
                <w:rFonts w:hint="eastAsia" w:hAnsi="宋体"/>
                <w:szCs w:val="21"/>
                <w:highlight w:val="none"/>
              </w:rPr>
              <w:t>”中第</w:t>
            </w:r>
            <w:r>
              <w:rPr>
                <w:rFonts w:hint="eastAsia" w:hAnsi="宋体"/>
                <w:szCs w:val="21"/>
                <w:highlight w:val="none"/>
                <w:lang w:eastAsia="zh-CN"/>
              </w:rPr>
              <w:t>五</w:t>
            </w:r>
            <w:r>
              <w:rPr>
                <w:rFonts w:hint="eastAsia" w:hAnsi="宋体"/>
                <w:szCs w:val="21"/>
                <w:highlight w:val="none"/>
              </w:rPr>
              <w:t>项</w:t>
            </w:r>
            <w:r>
              <w:rPr>
                <w:rFonts w:hint="eastAsia" w:hAnsi="宋体"/>
                <w:szCs w:val="21"/>
                <w:highlight w:val="none"/>
                <w:lang w:eastAsia="zh-CN"/>
              </w:rPr>
              <w:t>“比选技术要求”</w:t>
            </w:r>
            <w:r>
              <w:rPr>
                <w:rFonts w:hint="eastAsia" w:hAnsi="宋体"/>
                <w:szCs w:val="21"/>
                <w:highlight w:val="none"/>
              </w:rPr>
              <w:t>中2.1~2.</w:t>
            </w:r>
            <w:r>
              <w:rPr>
                <w:rFonts w:hint="eastAsia" w:hAnsi="宋体"/>
                <w:szCs w:val="21"/>
                <w:highlight w:val="none"/>
                <w:lang w:val="en-US" w:eastAsia="zh-CN"/>
              </w:rPr>
              <w:t>9</w:t>
            </w:r>
            <w:r>
              <w:rPr>
                <w:rFonts w:hint="eastAsia" w:hAnsi="宋体"/>
                <w:szCs w:val="21"/>
                <w:highlight w:val="none"/>
              </w:rPr>
              <w:t>条（包括附表2）</w:t>
            </w:r>
            <w:r>
              <w:rPr>
                <w:rFonts w:hAnsi="宋体"/>
                <w:szCs w:val="21"/>
                <w:highlight w:val="none"/>
              </w:rPr>
              <w:t>的符合度</w:t>
            </w:r>
            <w:r>
              <w:rPr>
                <w:rFonts w:hint="eastAsia" w:hAnsi="宋体"/>
                <w:szCs w:val="21"/>
                <w:highlight w:val="none"/>
              </w:rPr>
              <w:t>，</w:t>
            </w:r>
            <w:r>
              <w:rPr>
                <w:rFonts w:hint="eastAsia" w:ascii="宋体" w:hAnsi="宋体"/>
                <w:szCs w:val="21"/>
                <w:highlight w:val="none"/>
              </w:rPr>
              <w:t>每一项负偏离扣</w:t>
            </w:r>
            <w:r>
              <w:rPr>
                <w:rFonts w:hint="eastAsia" w:ascii="宋体" w:hAnsi="宋体"/>
                <w:szCs w:val="21"/>
                <w:highlight w:val="none"/>
                <w:lang w:val="en-US" w:eastAsia="zh-CN"/>
              </w:rPr>
              <w:t>4</w:t>
            </w:r>
            <w:r>
              <w:rPr>
                <w:rFonts w:hint="eastAsia" w:ascii="宋体" w:hAnsi="宋体"/>
                <w:szCs w:val="21"/>
                <w:highlight w:val="none"/>
              </w:rPr>
              <w:t>分，扣完为止。</w:t>
            </w:r>
          </w:p>
        </w:tc>
        <w:tc>
          <w:tcPr>
            <w:tcW w:w="567" w:type="dxa"/>
            <w:noWrap w:val="0"/>
            <w:vAlign w:val="center"/>
          </w:tcPr>
          <w:p w14:paraId="5B044290">
            <w:pPr>
              <w:jc w:val="center"/>
              <w:rPr>
                <w:rFonts w:hint="default" w:ascii="仿宋_GB2312" w:eastAsia="仿宋_GB2312"/>
                <w:lang w:val="en-US" w:eastAsia="zh-CN"/>
              </w:rPr>
            </w:pPr>
            <w:r>
              <w:rPr>
                <w:rFonts w:hint="eastAsia" w:eastAsia="仿宋_GB2312"/>
                <w:szCs w:val="21"/>
                <w:lang w:val="en-US" w:eastAsia="zh-CN"/>
              </w:rPr>
              <w:t>36</w:t>
            </w:r>
          </w:p>
        </w:tc>
      </w:tr>
      <w:tr w14:paraId="4FE9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92" w:type="dxa"/>
            <w:noWrap w:val="0"/>
            <w:vAlign w:val="center"/>
          </w:tcPr>
          <w:p w14:paraId="343B5049">
            <w:pPr>
              <w:rPr>
                <w:rFonts w:ascii="仿宋_GB2312" w:eastAsia="仿宋_GB2312"/>
              </w:rPr>
            </w:pPr>
            <w:r>
              <w:rPr>
                <w:szCs w:val="21"/>
              </w:rPr>
              <w:t>3</w:t>
            </w:r>
          </w:p>
        </w:tc>
        <w:tc>
          <w:tcPr>
            <w:tcW w:w="1232" w:type="dxa"/>
            <w:noWrap w:val="0"/>
            <w:vAlign w:val="center"/>
          </w:tcPr>
          <w:p w14:paraId="41CA69BF">
            <w:pPr>
              <w:rPr>
                <w:rFonts w:ascii="仿宋_GB2312" w:eastAsia="仿宋_GB2312"/>
              </w:rPr>
            </w:pPr>
            <w:r>
              <w:rPr>
                <w:rFonts w:hint="eastAsia"/>
                <w:szCs w:val="21"/>
              </w:rPr>
              <w:t>业绩</w:t>
            </w:r>
          </w:p>
        </w:tc>
        <w:tc>
          <w:tcPr>
            <w:tcW w:w="6425" w:type="dxa"/>
            <w:noWrap w:val="0"/>
            <w:vAlign w:val="center"/>
          </w:tcPr>
          <w:p w14:paraId="32C3CB2F">
            <w:pPr>
              <w:rPr>
                <w:rFonts w:hint="eastAsia" w:ascii="仿宋" w:hAnsi="仿宋" w:eastAsia="仿宋"/>
                <w:sz w:val="24"/>
                <w:lang w:eastAsia="zh-CN"/>
              </w:rPr>
            </w:pPr>
            <w:r>
              <w:rPr>
                <w:rFonts w:hint="eastAsia"/>
                <w:highlight w:val="yellow"/>
              </w:rPr>
              <w:t>投标人</w:t>
            </w:r>
            <w:r>
              <w:rPr>
                <w:highlight w:val="yellow"/>
              </w:rPr>
              <w:t>20</w:t>
            </w:r>
            <w:r>
              <w:rPr>
                <w:rFonts w:hint="eastAsia"/>
                <w:highlight w:val="yellow"/>
              </w:rPr>
              <w:t>2</w:t>
            </w:r>
            <w:r>
              <w:rPr>
                <w:rFonts w:hint="eastAsia"/>
                <w:highlight w:val="yellow"/>
                <w:lang w:val="en-US" w:eastAsia="zh-CN"/>
              </w:rPr>
              <w:t>3</w:t>
            </w:r>
            <w:r>
              <w:rPr>
                <w:rFonts w:hint="eastAsia"/>
                <w:highlight w:val="yellow"/>
              </w:rPr>
              <w:t>年</w:t>
            </w:r>
            <w:r>
              <w:rPr>
                <w:highlight w:val="yellow"/>
              </w:rPr>
              <w:t>1</w:t>
            </w:r>
            <w:r>
              <w:rPr>
                <w:rFonts w:hint="eastAsia"/>
                <w:highlight w:val="yellow"/>
              </w:rPr>
              <w:t>月</w:t>
            </w:r>
            <w:r>
              <w:rPr>
                <w:highlight w:val="yellow"/>
              </w:rPr>
              <w:t>1</w:t>
            </w:r>
            <w:r>
              <w:rPr>
                <w:rFonts w:hint="eastAsia"/>
                <w:highlight w:val="yellow"/>
              </w:rPr>
              <w:t>日至今（</w:t>
            </w:r>
            <w:r>
              <w:rPr>
                <w:rFonts w:hint="eastAsia"/>
              </w:rPr>
              <w:t>以签订合同时间为准）</w:t>
            </w:r>
            <w:r>
              <w:rPr>
                <w:rFonts w:hint="eastAsia"/>
                <w:szCs w:val="21"/>
              </w:rPr>
              <w:t>的计量检测服务业绩情况，每个有效业绩得</w:t>
            </w:r>
            <w:r>
              <w:rPr>
                <w:szCs w:val="21"/>
              </w:rPr>
              <w:t>1</w:t>
            </w:r>
            <w:r>
              <w:rPr>
                <w:rFonts w:hint="eastAsia"/>
                <w:szCs w:val="21"/>
              </w:rPr>
              <w:t>分，最高得</w:t>
            </w:r>
            <w:r>
              <w:rPr>
                <w:rFonts w:hint="eastAsia"/>
                <w:szCs w:val="21"/>
                <w:lang w:val="en-US" w:eastAsia="zh-CN"/>
              </w:rPr>
              <w:t>3</w:t>
            </w:r>
            <w:r>
              <w:rPr>
                <w:rFonts w:hint="eastAsia"/>
                <w:szCs w:val="21"/>
              </w:rPr>
              <w:t>分（提供合同复印件，同一个用户不重复计分）</w:t>
            </w:r>
          </w:p>
        </w:tc>
        <w:tc>
          <w:tcPr>
            <w:tcW w:w="567" w:type="dxa"/>
            <w:noWrap w:val="0"/>
            <w:vAlign w:val="center"/>
          </w:tcPr>
          <w:p w14:paraId="13ADF4E1">
            <w:pPr>
              <w:jc w:val="center"/>
              <w:rPr>
                <w:rFonts w:hint="eastAsia" w:ascii="仿宋_GB2312" w:eastAsia="仿宋_GB2312"/>
                <w:lang w:eastAsia="zh-CN"/>
              </w:rPr>
            </w:pPr>
            <w:r>
              <w:rPr>
                <w:rFonts w:hint="eastAsia" w:eastAsia="仿宋_GB2312"/>
                <w:szCs w:val="21"/>
                <w:lang w:val="en-US" w:eastAsia="zh-CN"/>
              </w:rPr>
              <w:t>3</w:t>
            </w:r>
          </w:p>
        </w:tc>
      </w:tr>
      <w:tr w14:paraId="0F59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92" w:type="dxa"/>
            <w:noWrap w:val="0"/>
            <w:vAlign w:val="center"/>
          </w:tcPr>
          <w:p w14:paraId="60B2F394">
            <w:pPr>
              <w:rPr>
                <w:rFonts w:ascii="仿宋_GB2312" w:eastAsia="仿宋_GB2312"/>
              </w:rPr>
            </w:pPr>
            <w:r>
              <w:rPr>
                <w:szCs w:val="21"/>
              </w:rPr>
              <w:t>4</w:t>
            </w:r>
          </w:p>
        </w:tc>
        <w:tc>
          <w:tcPr>
            <w:tcW w:w="1232" w:type="dxa"/>
            <w:noWrap w:val="0"/>
            <w:vAlign w:val="center"/>
          </w:tcPr>
          <w:p w14:paraId="7E12025F">
            <w:pPr>
              <w:rPr>
                <w:rFonts w:ascii="仿宋_GB2312" w:eastAsia="仿宋_GB2312"/>
              </w:rPr>
            </w:pPr>
            <w:r>
              <w:rPr>
                <w:rFonts w:hint="eastAsia"/>
                <w:szCs w:val="21"/>
              </w:rPr>
              <w:t>实施方案</w:t>
            </w:r>
          </w:p>
        </w:tc>
        <w:tc>
          <w:tcPr>
            <w:tcW w:w="6425" w:type="dxa"/>
            <w:noWrap w:val="0"/>
            <w:vAlign w:val="center"/>
          </w:tcPr>
          <w:p w14:paraId="25AD4E10">
            <w:pPr>
              <w:rPr>
                <w:rFonts w:hint="eastAsia" w:ascii="仿宋" w:hAnsi="仿宋" w:eastAsia="宋体"/>
                <w:sz w:val="24"/>
                <w:lang w:val="en-US" w:eastAsia="zh-CN"/>
              </w:rPr>
            </w:pPr>
            <w:r>
              <w:rPr>
                <w:rFonts w:hint="eastAsia"/>
                <w:szCs w:val="21"/>
              </w:rPr>
              <w:t>根据投标人提供的完成设备与场所验收工作内容的实施方案进行评分，</w:t>
            </w:r>
            <w:r>
              <w:rPr>
                <w:szCs w:val="21"/>
              </w:rPr>
              <w:t>0</w:t>
            </w:r>
            <w:r>
              <w:rPr>
                <w:rFonts w:hint="eastAsia"/>
                <w:szCs w:val="21"/>
              </w:rPr>
              <w:t>-</w:t>
            </w:r>
            <w:r>
              <w:rPr>
                <w:szCs w:val="21"/>
              </w:rPr>
              <w:t>5</w:t>
            </w:r>
            <w:r>
              <w:rPr>
                <w:rFonts w:hint="eastAsia"/>
                <w:szCs w:val="21"/>
              </w:rPr>
              <w:t>分</w:t>
            </w:r>
            <w:r>
              <w:rPr>
                <w:rFonts w:hint="eastAsia"/>
                <w:szCs w:val="21"/>
                <w:lang w:eastAsia="zh-CN"/>
              </w:rPr>
              <w:t>。</w:t>
            </w:r>
          </w:p>
        </w:tc>
        <w:tc>
          <w:tcPr>
            <w:tcW w:w="567" w:type="dxa"/>
            <w:noWrap w:val="0"/>
            <w:vAlign w:val="center"/>
          </w:tcPr>
          <w:p w14:paraId="448E3768">
            <w:pPr>
              <w:jc w:val="center"/>
              <w:rPr>
                <w:rFonts w:ascii="仿宋_GB2312" w:eastAsia="仿宋_GB2312"/>
              </w:rPr>
            </w:pPr>
            <w:r>
              <w:rPr>
                <w:szCs w:val="21"/>
              </w:rPr>
              <w:t>5</w:t>
            </w:r>
          </w:p>
        </w:tc>
      </w:tr>
      <w:tr w14:paraId="3174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492" w:type="dxa"/>
            <w:noWrap w:val="0"/>
            <w:vAlign w:val="center"/>
          </w:tcPr>
          <w:p w14:paraId="1001FE35">
            <w:pPr>
              <w:rPr>
                <w:rFonts w:ascii="仿宋_GB2312" w:eastAsia="仿宋_GB2312"/>
              </w:rPr>
            </w:pPr>
            <w:r>
              <w:rPr>
                <w:szCs w:val="21"/>
              </w:rPr>
              <w:t>5</w:t>
            </w:r>
          </w:p>
        </w:tc>
        <w:tc>
          <w:tcPr>
            <w:tcW w:w="1232" w:type="dxa"/>
            <w:noWrap w:val="0"/>
            <w:vAlign w:val="center"/>
          </w:tcPr>
          <w:p w14:paraId="33225C71">
            <w:pPr>
              <w:rPr>
                <w:rFonts w:ascii="仿宋_GB2312" w:eastAsia="仿宋_GB2312"/>
              </w:rPr>
            </w:pPr>
            <w:r>
              <w:rPr>
                <w:rFonts w:hint="eastAsia"/>
                <w:szCs w:val="21"/>
              </w:rPr>
              <w:t>投标人的专业设施设备配置</w:t>
            </w:r>
          </w:p>
        </w:tc>
        <w:tc>
          <w:tcPr>
            <w:tcW w:w="6425" w:type="dxa"/>
            <w:noWrap w:val="0"/>
            <w:vAlign w:val="center"/>
          </w:tcPr>
          <w:p w14:paraId="7B0F49D3">
            <w:pPr>
              <w:rPr>
                <w:rFonts w:hint="eastAsia" w:ascii="仿宋" w:hAnsi="仿宋" w:eastAsia="仿宋"/>
                <w:sz w:val="21"/>
                <w:szCs w:val="21"/>
              </w:rPr>
            </w:pPr>
            <w:r>
              <w:rPr>
                <w:rFonts w:hint="eastAsia"/>
                <w:szCs w:val="21"/>
              </w:rPr>
              <w:t>对计量器具等硬件配置进行综合评定，需提供相关硬件清单加盖投标人公章，0-</w:t>
            </w:r>
            <w:r>
              <w:rPr>
                <w:rFonts w:hint="eastAsia"/>
                <w:szCs w:val="21"/>
                <w:lang w:val="en-US" w:eastAsia="zh-CN"/>
              </w:rPr>
              <w:t>6</w:t>
            </w:r>
            <w:r>
              <w:rPr>
                <w:rFonts w:hint="eastAsia"/>
                <w:szCs w:val="21"/>
              </w:rPr>
              <w:t>分；不提供不得分。</w:t>
            </w:r>
          </w:p>
        </w:tc>
        <w:tc>
          <w:tcPr>
            <w:tcW w:w="567" w:type="dxa"/>
            <w:noWrap w:val="0"/>
            <w:vAlign w:val="center"/>
          </w:tcPr>
          <w:p w14:paraId="10ECBBD9">
            <w:pPr>
              <w:jc w:val="center"/>
              <w:rPr>
                <w:rFonts w:hint="eastAsia" w:ascii="仿宋_GB2312" w:eastAsia="仿宋_GB2312"/>
                <w:lang w:eastAsia="zh-CN"/>
              </w:rPr>
            </w:pPr>
            <w:r>
              <w:rPr>
                <w:rFonts w:hint="eastAsia" w:eastAsia="仿宋_GB2312"/>
                <w:szCs w:val="21"/>
                <w:lang w:val="en-US" w:eastAsia="zh-CN"/>
              </w:rPr>
              <w:t>6</w:t>
            </w:r>
          </w:p>
        </w:tc>
      </w:tr>
      <w:tr w14:paraId="5E76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492" w:type="dxa"/>
            <w:noWrap w:val="0"/>
            <w:vAlign w:val="center"/>
          </w:tcPr>
          <w:p w14:paraId="4F7E1B4E">
            <w:pPr>
              <w:rPr>
                <w:rFonts w:hint="eastAsia" w:ascii="仿宋_GB2312" w:eastAsia="仿宋_GB2312"/>
                <w:lang w:eastAsia="zh-CN"/>
              </w:rPr>
            </w:pPr>
            <w:r>
              <w:rPr>
                <w:szCs w:val="21"/>
              </w:rPr>
              <w:t>6</w:t>
            </w:r>
          </w:p>
        </w:tc>
        <w:tc>
          <w:tcPr>
            <w:tcW w:w="1232" w:type="dxa"/>
            <w:noWrap w:val="0"/>
            <w:vAlign w:val="center"/>
          </w:tcPr>
          <w:p w14:paraId="2AC72E23">
            <w:pPr>
              <w:rPr>
                <w:rFonts w:hint="eastAsia" w:ascii="仿宋_GB2312" w:eastAsia="仿宋_GB2312"/>
                <w:lang w:val="en-US" w:eastAsia="zh-CN"/>
              </w:rPr>
            </w:pPr>
            <w:r>
              <w:rPr>
                <w:rFonts w:hint="eastAsia"/>
                <w:szCs w:val="21"/>
              </w:rPr>
              <w:t>服务及时性</w:t>
            </w:r>
          </w:p>
        </w:tc>
        <w:tc>
          <w:tcPr>
            <w:tcW w:w="6425" w:type="dxa"/>
            <w:noWrap w:val="0"/>
            <w:vAlign w:val="center"/>
          </w:tcPr>
          <w:p w14:paraId="47576B92">
            <w:pPr>
              <w:rPr>
                <w:rFonts w:ascii="仿宋_GB2312" w:eastAsia="仿宋_GB2312"/>
                <w:highlight w:val="none"/>
              </w:rPr>
            </w:pPr>
            <w:r>
              <w:rPr>
                <w:rFonts w:hint="eastAsia" w:ascii="宋体" w:hAnsi="宋体" w:cs="宋体"/>
                <w:color w:val="000000"/>
                <w:szCs w:val="21"/>
                <w:highlight w:val="none"/>
              </w:rPr>
              <w:t>能提供近距离快速服务，</w:t>
            </w:r>
            <w:r>
              <w:rPr>
                <w:rFonts w:hint="eastAsia"/>
                <w:szCs w:val="21"/>
                <w:highlight w:val="none"/>
              </w:rPr>
              <w:t>响应招标人紧急验收要求，</w:t>
            </w:r>
            <w:r>
              <w:rPr>
                <w:rFonts w:ascii="宋体" w:hAnsi="宋体" w:cs="宋体"/>
                <w:color w:val="000000"/>
                <w:szCs w:val="21"/>
                <w:highlight w:val="none"/>
              </w:rPr>
              <w:t>2</w:t>
            </w:r>
            <w:r>
              <w:rPr>
                <w:rFonts w:hint="eastAsia" w:ascii="宋体" w:hAnsi="宋体" w:cs="宋体"/>
                <w:color w:val="000000"/>
                <w:szCs w:val="21"/>
                <w:highlight w:val="none"/>
              </w:rPr>
              <w:t>小时内完成检测得</w:t>
            </w:r>
            <w:r>
              <w:rPr>
                <w:rFonts w:ascii="宋体" w:hAnsi="宋体" w:cs="宋体"/>
                <w:color w:val="000000"/>
                <w:szCs w:val="21"/>
                <w:highlight w:val="none"/>
              </w:rPr>
              <w:t>8</w:t>
            </w:r>
            <w:r>
              <w:rPr>
                <w:rFonts w:hint="eastAsia" w:ascii="宋体" w:hAnsi="宋体" w:cs="宋体"/>
                <w:color w:val="000000"/>
                <w:szCs w:val="21"/>
                <w:highlight w:val="none"/>
              </w:rPr>
              <w:t>分，</w:t>
            </w:r>
            <w:r>
              <w:rPr>
                <w:rFonts w:ascii="宋体" w:hAnsi="宋体" w:cs="宋体"/>
                <w:color w:val="000000"/>
                <w:szCs w:val="21"/>
                <w:highlight w:val="none"/>
              </w:rPr>
              <w:t>8</w:t>
            </w:r>
            <w:r>
              <w:rPr>
                <w:rFonts w:hint="eastAsia" w:ascii="宋体" w:hAnsi="宋体" w:cs="宋体"/>
                <w:color w:val="000000"/>
                <w:szCs w:val="21"/>
                <w:highlight w:val="none"/>
              </w:rPr>
              <w:t>小时内完成检测得</w:t>
            </w:r>
            <w:r>
              <w:rPr>
                <w:rFonts w:ascii="宋体" w:hAnsi="宋体" w:cs="宋体"/>
                <w:color w:val="000000"/>
                <w:szCs w:val="21"/>
                <w:highlight w:val="none"/>
              </w:rPr>
              <w:t>6</w:t>
            </w:r>
            <w:r>
              <w:rPr>
                <w:rFonts w:hint="eastAsia" w:ascii="宋体" w:hAnsi="宋体" w:cs="宋体"/>
                <w:color w:val="000000"/>
                <w:szCs w:val="21"/>
                <w:highlight w:val="none"/>
              </w:rPr>
              <w:t>分，</w:t>
            </w:r>
            <w:r>
              <w:rPr>
                <w:rFonts w:ascii="宋体" w:hAnsi="宋体" w:cs="宋体"/>
                <w:color w:val="000000"/>
                <w:szCs w:val="21"/>
                <w:highlight w:val="none"/>
              </w:rPr>
              <w:t>24</w:t>
            </w:r>
            <w:r>
              <w:rPr>
                <w:rFonts w:hint="eastAsia" w:ascii="宋体" w:hAnsi="宋体" w:cs="宋体"/>
                <w:color w:val="000000"/>
                <w:szCs w:val="21"/>
                <w:highlight w:val="none"/>
              </w:rPr>
              <w:t>小时内完成检测得</w:t>
            </w:r>
            <w:r>
              <w:rPr>
                <w:rFonts w:ascii="宋体" w:hAnsi="宋体" w:cs="宋体"/>
                <w:color w:val="000000"/>
                <w:szCs w:val="21"/>
                <w:highlight w:val="none"/>
              </w:rPr>
              <w:t>4</w:t>
            </w:r>
            <w:r>
              <w:rPr>
                <w:rFonts w:hint="eastAsia" w:ascii="宋体" w:hAnsi="宋体" w:cs="宋体"/>
                <w:color w:val="000000"/>
                <w:szCs w:val="21"/>
                <w:highlight w:val="none"/>
              </w:rPr>
              <w:t>分，</w:t>
            </w:r>
            <w:r>
              <w:rPr>
                <w:rFonts w:ascii="宋体" w:hAnsi="宋体" w:cs="宋体"/>
                <w:color w:val="000000"/>
                <w:szCs w:val="21"/>
                <w:highlight w:val="none"/>
              </w:rPr>
              <w:t>48</w:t>
            </w:r>
            <w:r>
              <w:rPr>
                <w:rFonts w:hint="eastAsia" w:ascii="宋体" w:hAnsi="宋体" w:cs="宋体"/>
                <w:color w:val="000000"/>
                <w:szCs w:val="21"/>
                <w:highlight w:val="none"/>
              </w:rPr>
              <w:t>小时内完成检测得</w:t>
            </w:r>
            <w:r>
              <w:rPr>
                <w:rFonts w:ascii="宋体" w:hAnsi="宋体" w:cs="宋体"/>
                <w:color w:val="000000"/>
                <w:szCs w:val="21"/>
                <w:highlight w:val="none"/>
              </w:rPr>
              <w:t>2</w:t>
            </w:r>
            <w:r>
              <w:rPr>
                <w:rFonts w:hint="eastAsia" w:ascii="宋体" w:hAnsi="宋体" w:cs="宋体"/>
                <w:color w:val="000000"/>
                <w:szCs w:val="21"/>
                <w:highlight w:val="none"/>
              </w:rPr>
              <w:t>分，不响应不得分</w:t>
            </w:r>
          </w:p>
        </w:tc>
        <w:tc>
          <w:tcPr>
            <w:tcW w:w="567" w:type="dxa"/>
            <w:noWrap w:val="0"/>
            <w:vAlign w:val="center"/>
          </w:tcPr>
          <w:p w14:paraId="5BE430BE">
            <w:pPr>
              <w:jc w:val="center"/>
              <w:rPr>
                <w:rFonts w:ascii="仿宋_GB2312" w:eastAsia="仿宋_GB2312"/>
              </w:rPr>
            </w:pPr>
            <w:r>
              <w:rPr>
                <w:szCs w:val="21"/>
              </w:rPr>
              <w:t>8</w:t>
            </w:r>
          </w:p>
        </w:tc>
      </w:tr>
      <w:tr w14:paraId="5C72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92" w:type="dxa"/>
            <w:noWrap w:val="0"/>
            <w:vAlign w:val="center"/>
          </w:tcPr>
          <w:p w14:paraId="5909AC4C">
            <w:pPr>
              <w:rPr>
                <w:rFonts w:ascii="仿宋_GB2312" w:eastAsia="仿宋_GB2312"/>
              </w:rPr>
            </w:pPr>
            <w:r>
              <w:rPr>
                <w:szCs w:val="21"/>
              </w:rPr>
              <w:t>7</w:t>
            </w:r>
          </w:p>
        </w:tc>
        <w:tc>
          <w:tcPr>
            <w:tcW w:w="1232" w:type="dxa"/>
            <w:noWrap w:val="0"/>
            <w:vAlign w:val="center"/>
          </w:tcPr>
          <w:p w14:paraId="250BB3D7">
            <w:pPr>
              <w:rPr>
                <w:rFonts w:ascii="仿宋_GB2312" w:eastAsia="仿宋_GB2312"/>
              </w:rPr>
            </w:pPr>
            <w:r>
              <w:rPr>
                <w:rFonts w:hint="eastAsia"/>
                <w:szCs w:val="21"/>
              </w:rPr>
              <w:t>质量控制、工期</w:t>
            </w:r>
          </w:p>
        </w:tc>
        <w:tc>
          <w:tcPr>
            <w:tcW w:w="6425" w:type="dxa"/>
            <w:noWrap w:val="0"/>
            <w:vAlign w:val="center"/>
          </w:tcPr>
          <w:p w14:paraId="24105D81">
            <w:pPr>
              <w:rPr>
                <w:rFonts w:ascii="仿宋_GB2312" w:eastAsia="仿宋_GB2312"/>
              </w:rPr>
            </w:pPr>
            <w:r>
              <w:rPr>
                <w:rFonts w:hint="eastAsia"/>
                <w:szCs w:val="21"/>
              </w:rPr>
              <w:t>开展评价工作的计划、工期安排对项目的满足程度、对本项目质量控制进行评分，</w:t>
            </w:r>
            <w:r>
              <w:rPr>
                <w:szCs w:val="21"/>
              </w:rPr>
              <w:t>0-5</w:t>
            </w:r>
            <w:r>
              <w:rPr>
                <w:rFonts w:hint="eastAsia"/>
                <w:szCs w:val="21"/>
              </w:rPr>
              <w:t>分</w:t>
            </w:r>
          </w:p>
        </w:tc>
        <w:tc>
          <w:tcPr>
            <w:tcW w:w="567" w:type="dxa"/>
            <w:noWrap w:val="0"/>
            <w:vAlign w:val="center"/>
          </w:tcPr>
          <w:p w14:paraId="7A119187">
            <w:pPr>
              <w:jc w:val="center"/>
              <w:rPr>
                <w:rFonts w:ascii="仿宋_GB2312" w:eastAsia="仿宋_GB2312"/>
              </w:rPr>
            </w:pPr>
            <w:r>
              <w:rPr>
                <w:szCs w:val="21"/>
              </w:rPr>
              <w:t>5</w:t>
            </w:r>
          </w:p>
        </w:tc>
      </w:tr>
      <w:tr w14:paraId="1246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2" w:type="dxa"/>
            <w:noWrap w:val="0"/>
            <w:vAlign w:val="center"/>
          </w:tcPr>
          <w:p w14:paraId="2386827C">
            <w:pPr>
              <w:rPr>
                <w:rFonts w:ascii="仿宋_GB2312" w:eastAsia="仿宋_GB2312"/>
              </w:rPr>
            </w:pPr>
            <w:r>
              <w:rPr>
                <w:szCs w:val="21"/>
              </w:rPr>
              <w:t>8</w:t>
            </w:r>
          </w:p>
        </w:tc>
        <w:tc>
          <w:tcPr>
            <w:tcW w:w="1232" w:type="dxa"/>
            <w:noWrap w:val="0"/>
            <w:vAlign w:val="center"/>
          </w:tcPr>
          <w:p w14:paraId="1D036584">
            <w:pPr>
              <w:rPr>
                <w:rFonts w:ascii="仿宋_GB2312" w:eastAsia="仿宋_GB2312"/>
              </w:rPr>
            </w:pPr>
            <w:r>
              <w:rPr>
                <w:rFonts w:hint="eastAsia"/>
                <w:szCs w:val="21"/>
              </w:rPr>
              <w:t>培训计划</w:t>
            </w:r>
          </w:p>
        </w:tc>
        <w:tc>
          <w:tcPr>
            <w:tcW w:w="6425" w:type="dxa"/>
            <w:noWrap w:val="0"/>
            <w:vAlign w:val="center"/>
          </w:tcPr>
          <w:p w14:paraId="4C4AF69C">
            <w:pPr>
              <w:rPr>
                <w:rFonts w:ascii="仿宋_GB2312" w:eastAsia="仿宋_GB2312"/>
              </w:rPr>
            </w:pPr>
            <w:r>
              <w:rPr>
                <w:rFonts w:hint="eastAsia"/>
                <w:szCs w:val="21"/>
              </w:rPr>
              <w:t>提供计量技术、计量建标、相关管理体系等方面的培训进行评议，</w:t>
            </w:r>
            <w:r>
              <w:rPr>
                <w:szCs w:val="21"/>
              </w:rPr>
              <w:t>0-</w:t>
            </w:r>
            <w:r>
              <w:rPr>
                <w:rFonts w:hint="eastAsia"/>
                <w:szCs w:val="21"/>
                <w:lang w:val="en-US" w:eastAsia="zh-CN"/>
              </w:rPr>
              <w:t>5</w:t>
            </w:r>
            <w:r>
              <w:rPr>
                <w:rFonts w:hint="eastAsia"/>
                <w:szCs w:val="21"/>
              </w:rPr>
              <w:t>分</w:t>
            </w:r>
          </w:p>
        </w:tc>
        <w:tc>
          <w:tcPr>
            <w:tcW w:w="567" w:type="dxa"/>
            <w:noWrap w:val="0"/>
            <w:vAlign w:val="center"/>
          </w:tcPr>
          <w:p w14:paraId="79C445B3">
            <w:pPr>
              <w:jc w:val="center"/>
              <w:rPr>
                <w:rFonts w:hint="eastAsia" w:ascii="仿宋_GB2312" w:eastAsia="仿宋_GB2312"/>
                <w:lang w:eastAsia="zh-CN"/>
              </w:rPr>
            </w:pPr>
            <w:r>
              <w:rPr>
                <w:rFonts w:hint="eastAsia" w:eastAsia="仿宋_GB2312"/>
                <w:szCs w:val="21"/>
                <w:lang w:val="en-US" w:eastAsia="zh-CN"/>
              </w:rPr>
              <w:t>5</w:t>
            </w:r>
          </w:p>
        </w:tc>
      </w:tr>
      <w:tr w14:paraId="59AD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2" w:type="dxa"/>
            <w:noWrap w:val="0"/>
            <w:vAlign w:val="center"/>
          </w:tcPr>
          <w:p w14:paraId="4E7F041E">
            <w:pPr>
              <w:rPr>
                <w:rFonts w:ascii="仿宋_GB2312" w:eastAsia="仿宋_GB2312"/>
              </w:rPr>
            </w:pPr>
            <w:r>
              <w:rPr>
                <w:rFonts w:hint="eastAsia"/>
                <w:szCs w:val="21"/>
              </w:rPr>
              <w:t>9</w:t>
            </w:r>
          </w:p>
        </w:tc>
        <w:tc>
          <w:tcPr>
            <w:tcW w:w="1232" w:type="dxa"/>
            <w:noWrap w:val="0"/>
            <w:vAlign w:val="center"/>
          </w:tcPr>
          <w:p w14:paraId="46267492">
            <w:pPr>
              <w:rPr>
                <w:rFonts w:ascii="仿宋_GB2312" w:eastAsia="仿宋_GB2312"/>
              </w:rPr>
            </w:pPr>
            <w:r>
              <w:rPr>
                <w:rFonts w:hint="eastAsia"/>
                <w:szCs w:val="21"/>
              </w:rPr>
              <w:t>拟派项目组人员资历</w:t>
            </w:r>
          </w:p>
        </w:tc>
        <w:tc>
          <w:tcPr>
            <w:tcW w:w="6425" w:type="dxa"/>
            <w:noWrap w:val="0"/>
            <w:vAlign w:val="center"/>
          </w:tcPr>
          <w:p w14:paraId="0021C4D9">
            <w:pPr>
              <w:rPr>
                <w:rFonts w:ascii="仿宋_GB2312" w:eastAsia="仿宋_GB2312"/>
                <w:highlight w:val="none"/>
              </w:rPr>
            </w:pPr>
            <w:r>
              <w:rPr>
                <w:rFonts w:hint="eastAsia"/>
                <w:szCs w:val="21"/>
                <w:highlight w:val="none"/>
              </w:rPr>
              <w:t>拟派项目负责人和项目组成员情况进行评议（高级职称或一级计量师的每提供一个得</w:t>
            </w:r>
            <w:r>
              <w:rPr>
                <w:rFonts w:hint="eastAsia"/>
                <w:szCs w:val="21"/>
                <w:highlight w:val="none"/>
                <w:lang w:val="en-US" w:eastAsia="zh-CN"/>
              </w:rPr>
              <w:t>2</w:t>
            </w:r>
            <w:r>
              <w:rPr>
                <w:rFonts w:hint="eastAsia"/>
                <w:szCs w:val="21"/>
                <w:highlight w:val="none"/>
              </w:rPr>
              <w:t>分，最高得</w:t>
            </w:r>
            <w:r>
              <w:rPr>
                <w:rFonts w:hint="eastAsia"/>
                <w:szCs w:val="21"/>
                <w:highlight w:val="none"/>
                <w:lang w:val="en-US" w:eastAsia="zh-CN"/>
              </w:rPr>
              <w:t>6</w:t>
            </w:r>
            <w:r>
              <w:rPr>
                <w:rFonts w:hint="eastAsia"/>
                <w:szCs w:val="21"/>
                <w:highlight w:val="none"/>
              </w:rPr>
              <w:t>分）并提供人员职称证书复印件及</w:t>
            </w:r>
            <w:r>
              <w:rPr>
                <w:rFonts w:hint="eastAsia" w:ascii="宋体" w:hAnsi="宋体" w:cs="宋体"/>
                <w:color w:val="000000"/>
                <w:szCs w:val="21"/>
                <w:highlight w:val="none"/>
              </w:rPr>
              <w:t>近</w:t>
            </w:r>
            <w:r>
              <w:rPr>
                <w:rFonts w:ascii="宋体" w:hAnsi="宋体" w:cs="宋体"/>
                <w:color w:val="000000"/>
                <w:szCs w:val="21"/>
                <w:highlight w:val="none"/>
              </w:rPr>
              <w:t>3</w:t>
            </w:r>
            <w:r>
              <w:rPr>
                <w:rFonts w:hint="eastAsia" w:ascii="宋体" w:hAnsi="宋体" w:cs="宋体"/>
                <w:color w:val="000000"/>
                <w:szCs w:val="21"/>
                <w:highlight w:val="none"/>
              </w:rPr>
              <w:t>个月中任意一个月在投标单位的缴纳社保凭证复印件</w:t>
            </w:r>
            <w:r>
              <w:rPr>
                <w:rFonts w:hint="eastAsia"/>
                <w:szCs w:val="21"/>
                <w:highlight w:val="none"/>
              </w:rPr>
              <w:t>。</w:t>
            </w:r>
          </w:p>
        </w:tc>
        <w:tc>
          <w:tcPr>
            <w:tcW w:w="567" w:type="dxa"/>
            <w:noWrap w:val="0"/>
            <w:vAlign w:val="center"/>
          </w:tcPr>
          <w:p w14:paraId="33AD5FD1">
            <w:pPr>
              <w:jc w:val="center"/>
              <w:rPr>
                <w:rFonts w:hint="eastAsia" w:ascii="仿宋_GB2312" w:eastAsia="仿宋_GB2312"/>
                <w:lang w:eastAsia="zh-CN"/>
              </w:rPr>
            </w:pPr>
            <w:r>
              <w:rPr>
                <w:rFonts w:hint="eastAsia" w:eastAsia="仿宋_GB2312"/>
                <w:szCs w:val="21"/>
                <w:lang w:val="en-US" w:eastAsia="zh-CN"/>
              </w:rPr>
              <w:t>6</w:t>
            </w:r>
          </w:p>
        </w:tc>
      </w:tr>
    </w:tbl>
    <w:p w14:paraId="44EE505D">
      <w:pPr>
        <w:pStyle w:val="8"/>
        <w:ind w:left="0" w:leftChars="0" w:firstLine="0" w:firstLineChars="0"/>
        <w:rPr>
          <w:rFonts w:hint="eastAsia"/>
        </w:rPr>
      </w:pPr>
    </w:p>
    <w:p w14:paraId="444CBECD">
      <w:pPr>
        <w:spacing w:line="360" w:lineRule="auto"/>
        <w:ind w:firstLine="590" w:firstLineChars="245"/>
        <w:rPr>
          <w:rFonts w:hint="eastAsia" w:asciiTheme="majorEastAsia" w:hAnsiTheme="majorEastAsia" w:eastAsiaTheme="majorEastAsia" w:cstheme="majorEastAsia"/>
          <w:b/>
          <w:color w:val="auto"/>
          <w:sz w:val="24"/>
          <w:szCs w:val="24"/>
          <w:highlight w:val="none"/>
        </w:rPr>
      </w:pPr>
    </w:p>
    <w:p w14:paraId="15C9EDF2">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2、商务评分</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w:t>
      </w:r>
    </w:p>
    <w:p w14:paraId="1C94E663">
      <w:pPr>
        <w:spacing w:line="360" w:lineRule="auto"/>
        <w:ind w:firstLine="588" w:firstLineChars="24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文件要求且投标报价面值最低的投标报价为评标基准价，其余投标人投标报价与该基准价对比，计算出商务报价评分值（保留小数2位）：</w:t>
      </w:r>
    </w:p>
    <w:p w14:paraId="64C53BBE">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）其他投标人的价格分按以下公式计算：</w:t>
      </w:r>
    </w:p>
    <w:p w14:paraId="0E1AE5A8">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）投标人所报总价不得超过预算金额，否则当无效标处理。</w:t>
      </w:r>
    </w:p>
    <w:p w14:paraId="14963DA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（三）综合得分（100分）（权值100%）</w:t>
      </w:r>
    </w:p>
    <w:p w14:paraId="7472006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79208504">
      <w:pPr>
        <w:spacing w:line="360" w:lineRule="auto"/>
        <w:rPr>
          <w:rFonts w:hint="eastAsia" w:asciiTheme="majorEastAsia" w:hAnsiTheme="majorEastAsia" w:eastAsiaTheme="majorEastAsia" w:cstheme="majorEastAsia"/>
          <w:sz w:val="24"/>
          <w:szCs w:val="24"/>
          <w:highlight w:val="none"/>
        </w:rPr>
      </w:pPr>
    </w:p>
    <w:p w14:paraId="4A649196">
      <w:pPr>
        <w:spacing w:line="360" w:lineRule="auto"/>
        <w:rPr>
          <w:rFonts w:hint="eastAsia" w:asciiTheme="majorEastAsia" w:hAnsiTheme="majorEastAsia" w:eastAsiaTheme="majorEastAsia" w:cstheme="majorEastAsia"/>
          <w:sz w:val="24"/>
          <w:szCs w:val="24"/>
          <w:highlight w:val="none"/>
        </w:rPr>
      </w:pPr>
    </w:p>
    <w:p w14:paraId="3D90BC7F">
      <w:pPr>
        <w:spacing w:line="360" w:lineRule="auto"/>
        <w:rPr>
          <w:rFonts w:hint="eastAsia" w:asciiTheme="majorEastAsia" w:hAnsiTheme="majorEastAsia" w:eastAsiaTheme="majorEastAsia" w:cstheme="majorEastAsia"/>
          <w:sz w:val="24"/>
          <w:szCs w:val="24"/>
          <w:highlight w:val="none"/>
        </w:rPr>
      </w:pPr>
    </w:p>
    <w:p w14:paraId="7E61279E">
      <w:pPr>
        <w:spacing w:line="360" w:lineRule="auto"/>
        <w:rPr>
          <w:rFonts w:hint="eastAsia" w:asciiTheme="majorEastAsia" w:hAnsiTheme="majorEastAsia" w:eastAsiaTheme="majorEastAsia" w:cstheme="majorEastAsia"/>
          <w:sz w:val="24"/>
          <w:szCs w:val="24"/>
          <w:highlight w:val="none"/>
        </w:rPr>
      </w:pPr>
    </w:p>
    <w:p w14:paraId="7A579D6F">
      <w:pPr>
        <w:spacing w:line="360" w:lineRule="auto"/>
        <w:rPr>
          <w:rFonts w:hint="eastAsia" w:asciiTheme="majorEastAsia" w:hAnsiTheme="majorEastAsia" w:eastAsiaTheme="majorEastAsia" w:cstheme="majorEastAsia"/>
          <w:sz w:val="24"/>
          <w:szCs w:val="24"/>
          <w:highlight w:val="none"/>
        </w:rPr>
      </w:pPr>
    </w:p>
    <w:p w14:paraId="057CC177">
      <w:pPr>
        <w:spacing w:line="360" w:lineRule="auto"/>
        <w:rPr>
          <w:rFonts w:hint="eastAsia" w:asciiTheme="majorEastAsia" w:hAnsiTheme="majorEastAsia" w:eastAsiaTheme="majorEastAsia" w:cstheme="majorEastAsia"/>
          <w:sz w:val="24"/>
          <w:szCs w:val="24"/>
          <w:highlight w:val="none"/>
        </w:rPr>
      </w:pPr>
    </w:p>
    <w:p w14:paraId="24855754">
      <w:pPr>
        <w:spacing w:line="360" w:lineRule="auto"/>
        <w:rPr>
          <w:rFonts w:hint="eastAsia" w:asciiTheme="majorEastAsia" w:hAnsiTheme="majorEastAsia" w:eastAsiaTheme="majorEastAsia" w:cstheme="majorEastAsia"/>
          <w:sz w:val="24"/>
          <w:szCs w:val="24"/>
          <w:highlight w:val="none"/>
        </w:rPr>
      </w:pPr>
    </w:p>
    <w:p w14:paraId="6185DE6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6FF155E4">
      <w:pPr>
        <w:spacing w:line="460" w:lineRule="exact"/>
        <w:jc w:val="both"/>
        <w:outlineLvl w:val="3"/>
        <w:rPr>
          <w:rFonts w:hint="eastAsia" w:ascii="宋体" w:hAnsi="宋体" w:cs="宋体"/>
          <w:b/>
          <w:bCs/>
          <w:color w:val="auto"/>
          <w:sz w:val="28"/>
          <w:szCs w:val="28"/>
          <w:highlight w:val="none"/>
          <w:lang w:val="zh-CN"/>
        </w:rPr>
      </w:pPr>
    </w:p>
    <w:p w14:paraId="0BB79922">
      <w:pPr>
        <w:spacing w:line="460" w:lineRule="exact"/>
        <w:jc w:val="center"/>
        <w:outlineLvl w:val="3"/>
        <w:rPr>
          <w:rFonts w:hint="eastAsia" w:ascii="宋体" w:hAnsi="宋体" w:cs="宋体"/>
          <w:b/>
          <w:bCs/>
          <w:color w:val="auto"/>
          <w:sz w:val="28"/>
          <w:szCs w:val="28"/>
          <w:highlight w:val="none"/>
          <w:lang w:val="zh-CN"/>
        </w:rPr>
      </w:pP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（—）按“招标内容及要求”要求编制的投标文件技术标【正本一份，副本三份】；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（二）按“招标内容及要求”要求编制的投标文件商务标【正本一份，副本三份】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我方己完全明白招标文件的所有条款要求，并重申以下几点：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22CC0158">
      <w:pPr>
        <w:widowControl/>
        <w:spacing w:line="360" w:lineRule="auto"/>
        <w:jc w:val="left"/>
        <w:rPr>
          <w:rFonts w:hint="eastAsia"/>
          <w:sz w:val="24"/>
          <w:szCs w:val="24"/>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53A5B5AD">
      <w:pPr>
        <w:widowControl/>
        <w:spacing w:line="360" w:lineRule="auto"/>
        <w:jc w:val="left"/>
        <w:rPr>
          <w:sz w:val="24"/>
          <w:szCs w:val="24"/>
          <w:highlight w:val="none"/>
        </w:rPr>
      </w:pPr>
    </w:p>
    <w:p w14:paraId="7C545947">
      <w:pPr>
        <w:widowControl/>
        <w:spacing w:line="360" w:lineRule="auto"/>
        <w:jc w:val="left"/>
        <w:rPr>
          <w:sz w:val="24"/>
          <w:szCs w:val="24"/>
          <w:highlight w:val="none"/>
        </w:rPr>
      </w:pPr>
    </w:p>
    <w:p w14:paraId="35CD45DE">
      <w:pPr>
        <w:widowControl/>
        <w:spacing w:line="360" w:lineRule="auto"/>
        <w:jc w:val="left"/>
        <w:rPr>
          <w:sz w:val="24"/>
          <w:szCs w:val="24"/>
          <w:highlight w:val="none"/>
        </w:rPr>
      </w:pPr>
    </w:p>
    <w:p w14:paraId="41574E4D">
      <w:pPr>
        <w:widowControl/>
        <w:spacing w:line="360" w:lineRule="auto"/>
        <w:jc w:val="left"/>
        <w:rPr>
          <w:sz w:val="24"/>
          <w:szCs w:val="24"/>
          <w:highlight w:val="none"/>
        </w:rPr>
      </w:pPr>
    </w:p>
    <w:p w14:paraId="76C54C63">
      <w:pPr>
        <w:widowControl/>
        <w:spacing w:line="360" w:lineRule="auto"/>
        <w:jc w:val="left"/>
        <w:rPr>
          <w:sz w:val="24"/>
          <w:szCs w:val="24"/>
          <w:highlight w:val="none"/>
        </w:rPr>
      </w:pPr>
      <w:r>
        <w:rPr>
          <w:sz w:val="24"/>
          <w:szCs w:val="24"/>
          <w:highlight w:val="none"/>
        </w:rPr>
        <w:br w:type="page"/>
      </w:r>
    </w:p>
    <w:p w14:paraId="039FBF3A">
      <w:pPr>
        <w:spacing w:line="460" w:lineRule="exact"/>
        <w:jc w:val="center"/>
        <w:outlineLvl w:val="3"/>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63A267B8">
      <w:pPr>
        <w:keepNext w:val="0"/>
        <w:keepLines w:val="0"/>
        <w:pageBreakBefore w:val="0"/>
        <w:widowControl w:val="0"/>
        <w:kinsoku/>
        <w:wordWrap/>
        <w:overflowPunct/>
        <w:topLinePunct w:val="0"/>
        <w:autoSpaceDE/>
        <w:autoSpaceDN/>
        <w:bidi w:val="0"/>
        <w:adjustRightInd w:val="0"/>
        <w:spacing w:line="360" w:lineRule="auto"/>
        <w:textAlignment w:val="auto"/>
        <w:rPr>
          <w:sz w:val="24"/>
          <w:szCs w:val="24"/>
          <w:highlight w:val="none"/>
        </w:rPr>
      </w:pP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AEA43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b/>
          <w:sz w:val="36"/>
          <w:szCs w:val="36"/>
          <w:highlight w:val="none"/>
        </w:rPr>
      </w:pPr>
      <w:r>
        <w:rPr>
          <w:rFonts w:ascii="Times New Roman" w:hAnsi="Times New Roman"/>
          <w:b/>
          <w:sz w:val="36"/>
          <w:szCs w:val="36"/>
          <w:highlight w:val="none"/>
        </w:rPr>
        <w:t>采购要求响应表</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5"/>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03CE05EF">
      <w:pPr>
        <w:outlineLvl w:val="1"/>
        <w:rPr>
          <w:rFonts w:hint="default" w:ascii="新宋体" w:hAnsi="新宋体" w:eastAsia="新宋体"/>
          <w:b w:val="0"/>
          <w:bCs w:val="0"/>
          <w:sz w:val="24"/>
          <w:szCs w:val="24"/>
          <w:highlight w:val="none"/>
          <w:lang w:val="en-US" w:eastAsia="zh-CN"/>
        </w:rPr>
      </w:pPr>
      <w:r>
        <w:rPr>
          <w:rFonts w:hint="eastAsia" w:ascii="新宋体" w:hAnsi="新宋体" w:eastAsia="新宋体"/>
          <w:b w:val="0"/>
          <w:bCs w:val="0"/>
          <w:sz w:val="24"/>
          <w:szCs w:val="24"/>
          <w:highlight w:val="none"/>
        </w:rPr>
        <w:t>附件</w:t>
      </w:r>
      <w:r>
        <w:rPr>
          <w:rFonts w:hint="eastAsia" w:ascii="新宋体" w:hAnsi="新宋体" w:eastAsia="新宋体"/>
          <w:b w:val="0"/>
          <w:bCs w:val="0"/>
          <w:sz w:val="24"/>
          <w:szCs w:val="24"/>
          <w:highlight w:val="none"/>
          <w:lang w:val="en-US" w:eastAsia="zh-CN"/>
        </w:rPr>
        <w:t>四</w:t>
      </w:r>
    </w:p>
    <w:p w14:paraId="3DB2CB75">
      <w:pPr>
        <w:ind w:left="143" w:leftChars="68"/>
        <w:jc w:val="center"/>
        <w:outlineLvl w:val="2"/>
        <w:rPr>
          <w:rFonts w:hint="eastAsia" w:ascii="新宋体" w:hAnsi="新宋体" w:eastAsia="新宋体"/>
          <w:b/>
          <w:sz w:val="28"/>
          <w:szCs w:val="28"/>
          <w:highlight w:val="none"/>
        </w:rPr>
      </w:pPr>
      <w:r>
        <w:rPr>
          <w:rFonts w:hint="eastAsia" w:ascii="新宋体" w:hAnsi="新宋体" w:eastAsia="新宋体"/>
          <w:b/>
          <w:sz w:val="28"/>
          <w:szCs w:val="28"/>
          <w:highlight w:val="none"/>
        </w:rPr>
        <w:t xml:space="preserve">服务方案 </w:t>
      </w:r>
    </w:p>
    <w:tbl>
      <w:tblPr>
        <w:tblStyle w:val="20"/>
        <w:tblpPr w:leftFromText="180" w:rightFromText="180" w:vertAnchor="text" w:horzAnchor="page" w:tblpX="1376"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440A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trPr>
        <w:tc>
          <w:tcPr>
            <w:tcW w:w="9181" w:type="dxa"/>
            <w:noWrap w:val="0"/>
            <w:vAlign w:val="center"/>
          </w:tcPr>
          <w:p w14:paraId="35EE6D9C">
            <w:pPr>
              <w:pStyle w:val="27"/>
              <w:spacing w:after="0"/>
              <w:jc w:val="center"/>
              <w:rPr>
                <w:rFonts w:hint="eastAsia" w:ascii="新宋体" w:hAnsi="新宋体" w:eastAsia="新宋体"/>
                <w:highlight w:val="none"/>
              </w:rPr>
            </w:pPr>
          </w:p>
        </w:tc>
      </w:tr>
    </w:tbl>
    <w:p w14:paraId="7AC6A3EC">
      <w:pPr>
        <w:autoSpaceDE w:val="0"/>
        <w:autoSpaceDN w:val="0"/>
        <w:ind w:right="893" w:firstLine="418"/>
        <w:textAlignment w:val="bottom"/>
        <w:rPr>
          <w:rFonts w:hint="eastAsia" w:ascii="新宋体" w:hAnsi="新宋体" w:eastAsia="新宋体"/>
          <w:highlight w:val="none"/>
        </w:rPr>
      </w:pPr>
      <w:r>
        <w:rPr>
          <w:rFonts w:hint="eastAsia" w:ascii="新宋体" w:hAnsi="新宋体" w:eastAsia="新宋体"/>
          <w:b/>
          <w:sz w:val="22"/>
          <w:highlight w:val="none"/>
        </w:rPr>
        <w:t>项目名称：                                           项目编号：</w:t>
      </w:r>
      <w:r>
        <w:rPr>
          <w:rFonts w:hint="eastAsia" w:ascii="新宋体" w:hAnsi="新宋体" w:eastAsia="新宋体"/>
          <w:highlight w:val="none"/>
        </w:rPr>
        <w:t xml:space="preserve"> </w:t>
      </w:r>
    </w:p>
    <w:p w14:paraId="252E88CC">
      <w:pPr>
        <w:rPr>
          <w:rFonts w:hint="eastAsia" w:ascii="新宋体" w:hAnsi="新宋体" w:eastAsia="新宋体"/>
          <w:sz w:val="22"/>
          <w:szCs w:val="22"/>
          <w:highlight w:val="none"/>
          <w:lang w:val="zh-CN"/>
        </w:rPr>
      </w:pPr>
      <w:r>
        <w:rPr>
          <w:rFonts w:hint="eastAsia" w:ascii="新宋体" w:hAnsi="新宋体" w:eastAsia="新宋体"/>
          <w:sz w:val="28"/>
          <w:highlight w:val="none"/>
        </w:rPr>
        <w:t xml:space="preserve">  </w:t>
      </w:r>
    </w:p>
    <w:p w14:paraId="48798E9F">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投标人全称（盖章）：</w:t>
      </w:r>
    </w:p>
    <w:p w14:paraId="1A2C1EF0">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投标人代表（签字）：</w:t>
      </w:r>
    </w:p>
    <w:p w14:paraId="00B275BE">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 xml:space="preserve">日  期： </w:t>
      </w:r>
    </w:p>
    <w:p w14:paraId="1501E205">
      <w:pPr>
        <w:spacing w:line="380" w:lineRule="exact"/>
        <w:outlineLvl w:val="1"/>
        <w:rPr>
          <w:rFonts w:hint="eastAsia" w:ascii="新宋体" w:hAnsi="新宋体" w:eastAsia="新宋体"/>
          <w:b/>
          <w:bCs/>
          <w:sz w:val="22"/>
          <w:szCs w:val="22"/>
          <w:highlight w:val="none"/>
        </w:rPr>
      </w:pP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五</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cs="Arial"/>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30"/>
        <w:gridCol w:w="1419"/>
        <w:gridCol w:w="1191"/>
        <w:gridCol w:w="1236"/>
        <w:gridCol w:w="1582"/>
        <w:gridCol w:w="1440"/>
      </w:tblGrid>
      <w:tr w14:paraId="243E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vAlign w:val="center"/>
          </w:tcPr>
          <w:p w14:paraId="61D8CD0D">
            <w:pPr>
              <w:tabs>
                <w:tab w:val="left" w:pos="1418"/>
              </w:tabs>
              <w:snapToGrid w:val="0"/>
              <w:spacing w:before="50" w:after="50"/>
              <w:jc w:val="center"/>
              <w:rPr>
                <w:spacing w:val="20"/>
                <w:sz w:val="24"/>
              </w:rPr>
            </w:pPr>
            <w:r>
              <w:rPr>
                <w:sz w:val="24"/>
              </w:rPr>
              <w:t>序号</w:t>
            </w:r>
          </w:p>
        </w:tc>
        <w:tc>
          <w:tcPr>
            <w:tcW w:w="1530" w:type="dxa"/>
            <w:noWrap w:val="0"/>
            <w:vAlign w:val="center"/>
          </w:tcPr>
          <w:p w14:paraId="376A8D3B">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货物名称</w:t>
            </w:r>
          </w:p>
        </w:tc>
        <w:tc>
          <w:tcPr>
            <w:tcW w:w="1419" w:type="dxa"/>
            <w:noWrap w:val="0"/>
            <w:vAlign w:val="center"/>
          </w:tcPr>
          <w:p w14:paraId="0619D701">
            <w:pPr>
              <w:tabs>
                <w:tab w:val="left" w:pos="1418"/>
              </w:tabs>
              <w:snapToGrid w:val="0"/>
              <w:spacing w:before="50" w:after="50"/>
              <w:jc w:val="both"/>
              <w:rPr>
                <w:rFonts w:hint="eastAsia"/>
                <w:spacing w:val="20"/>
                <w:sz w:val="24"/>
                <w:lang w:val="en-US" w:eastAsia="zh-CN"/>
              </w:rPr>
            </w:pPr>
            <w:r>
              <w:rPr>
                <w:rFonts w:hint="eastAsia"/>
                <w:spacing w:val="20"/>
                <w:sz w:val="24"/>
                <w:lang w:val="en-US" w:eastAsia="zh-CN"/>
              </w:rPr>
              <w:t>品牌、型号、规格</w:t>
            </w:r>
          </w:p>
        </w:tc>
        <w:tc>
          <w:tcPr>
            <w:tcW w:w="1191" w:type="dxa"/>
            <w:shd w:val="clear" w:color="auto" w:fill="auto"/>
            <w:noWrap w:val="0"/>
            <w:vAlign w:val="center"/>
          </w:tcPr>
          <w:p w14:paraId="4B0F69FE">
            <w:pPr>
              <w:tabs>
                <w:tab w:val="left" w:pos="1418"/>
              </w:tabs>
              <w:snapToGrid w:val="0"/>
              <w:spacing w:before="50" w:after="50"/>
              <w:ind w:firstLine="280" w:firstLineChars="100"/>
              <w:jc w:val="both"/>
              <w:rPr>
                <w:rFonts w:hint="eastAsia"/>
                <w:spacing w:val="20"/>
                <w:sz w:val="24"/>
                <w:lang w:val="en-US" w:eastAsia="zh-CN"/>
              </w:rPr>
            </w:pPr>
            <w:r>
              <w:rPr>
                <w:rFonts w:hint="eastAsia"/>
                <w:spacing w:val="20"/>
                <w:sz w:val="24"/>
                <w:lang w:val="en-US" w:eastAsia="zh-CN"/>
              </w:rPr>
              <w:t>数量</w:t>
            </w:r>
          </w:p>
        </w:tc>
        <w:tc>
          <w:tcPr>
            <w:tcW w:w="1236" w:type="dxa"/>
            <w:shd w:val="clear" w:color="auto" w:fill="auto"/>
            <w:noWrap w:val="0"/>
            <w:vAlign w:val="center"/>
          </w:tcPr>
          <w:p w14:paraId="7EC16924">
            <w:pPr>
              <w:tabs>
                <w:tab w:val="left" w:pos="1418"/>
              </w:tabs>
              <w:snapToGrid w:val="0"/>
              <w:spacing w:before="50" w:after="50"/>
              <w:jc w:val="center"/>
              <w:rPr>
                <w:rFonts w:ascii="Times New Roman" w:hAnsi="Times New Roman" w:eastAsia="宋体" w:cs="Times New Roman"/>
                <w:spacing w:val="20"/>
                <w:kern w:val="2"/>
                <w:sz w:val="24"/>
                <w:szCs w:val="24"/>
                <w:lang w:val="en-US" w:eastAsia="zh-CN" w:bidi="ar-SA"/>
              </w:rPr>
            </w:pPr>
            <w:r>
              <w:rPr>
                <w:sz w:val="24"/>
              </w:rPr>
              <w:t>单价</w:t>
            </w:r>
          </w:p>
        </w:tc>
        <w:tc>
          <w:tcPr>
            <w:tcW w:w="1582" w:type="dxa"/>
            <w:noWrap w:val="0"/>
            <w:vAlign w:val="center"/>
          </w:tcPr>
          <w:p w14:paraId="47E17600">
            <w:pPr>
              <w:tabs>
                <w:tab w:val="left" w:pos="1418"/>
              </w:tabs>
              <w:snapToGrid w:val="0"/>
              <w:spacing w:before="50" w:after="50"/>
              <w:jc w:val="center"/>
              <w:rPr>
                <w:rFonts w:hint="eastAsia" w:eastAsia="宋体"/>
                <w:spacing w:val="20"/>
                <w:sz w:val="24"/>
                <w:lang w:eastAsia="zh-CN"/>
              </w:rPr>
            </w:pPr>
            <w:r>
              <w:rPr>
                <w:rFonts w:hint="eastAsia"/>
                <w:spacing w:val="20"/>
                <w:sz w:val="24"/>
                <w:lang w:eastAsia="zh-CN"/>
              </w:rPr>
              <w:t>金额</w:t>
            </w:r>
          </w:p>
        </w:tc>
        <w:tc>
          <w:tcPr>
            <w:tcW w:w="1440" w:type="dxa"/>
            <w:noWrap w:val="0"/>
            <w:vAlign w:val="center"/>
          </w:tcPr>
          <w:p w14:paraId="5B918BE1">
            <w:pPr>
              <w:tabs>
                <w:tab w:val="left" w:pos="1418"/>
              </w:tabs>
              <w:snapToGrid w:val="0"/>
              <w:spacing w:before="50" w:after="50"/>
              <w:jc w:val="center"/>
              <w:rPr>
                <w:rFonts w:hint="eastAsia" w:eastAsia="宋体"/>
                <w:spacing w:val="20"/>
                <w:sz w:val="24"/>
                <w:lang w:eastAsia="zh-CN"/>
              </w:rPr>
            </w:pPr>
            <w:r>
              <w:rPr>
                <w:rFonts w:hint="eastAsia"/>
                <w:sz w:val="24"/>
                <w:lang w:eastAsia="zh-CN"/>
              </w:rPr>
              <w:t>备注</w:t>
            </w:r>
          </w:p>
        </w:tc>
      </w:tr>
      <w:tr w14:paraId="3E63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0" w:type="dxa"/>
            <w:noWrap w:val="0"/>
            <w:vAlign w:val="center"/>
          </w:tcPr>
          <w:p w14:paraId="234E4803">
            <w:pPr>
              <w:tabs>
                <w:tab w:val="left" w:pos="1418"/>
              </w:tabs>
              <w:snapToGrid w:val="0"/>
              <w:spacing w:before="50" w:after="50"/>
              <w:jc w:val="center"/>
              <w:rPr>
                <w:spacing w:val="20"/>
                <w:sz w:val="24"/>
              </w:rPr>
            </w:pPr>
            <w:r>
              <w:rPr>
                <w:spacing w:val="20"/>
                <w:sz w:val="24"/>
              </w:rPr>
              <w:t>1</w:t>
            </w:r>
          </w:p>
        </w:tc>
        <w:tc>
          <w:tcPr>
            <w:tcW w:w="1530" w:type="dxa"/>
            <w:noWrap w:val="0"/>
            <w:vAlign w:val="center"/>
          </w:tcPr>
          <w:p w14:paraId="1F85939B">
            <w:pPr>
              <w:tabs>
                <w:tab w:val="left" w:pos="1418"/>
              </w:tabs>
              <w:snapToGrid w:val="0"/>
              <w:spacing w:before="50" w:after="50"/>
              <w:jc w:val="center"/>
              <w:rPr>
                <w:sz w:val="24"/>
              </w:rPr>
            </w:pPr>
          </w:p>
        </w:tc>
        <w:tc>
          <w:tcPr>
            <w:tcW w:w="1419" w:type="dxa"/>
            <w:noWrap w:val="0"/>
            <w:vAlign w:val="center"/>
          </w:tcPr>
          <w:p w14:paraId="34E81B0B">
            <w:pPr>
              <w:tabs>
                <w:tab w:val="left" w:pos="1418"/>
              </w:tabs>
              <w:snapToGrid w:val="0"/>
              <w:spacing w:before="50" w:after="50"/>
              <w:jc w:val="center"/>
              <w:rPr>
                <w:sz w:val="24"/>
              </w:rPr>
            </w:pPr>
          </w:p>
        </w:tc>
        <w:tc>
          <w:tcPr>
            <w:tcW w:w="1191" w:type="dxa"/>
            <w:noWrap w:val="0"/>
            <w:vAlign w:val="center"/>
          </w:tcPr>
          <w:p w14:paraId="05B27CCF">
            <w:pPr>
              <w:tabs>
                <w:tab w:val="left" w:pos="1418"/>
              </w:tabs>
              <w:snapToGrid w:val="0"/>
              <w:spacing w:before="50" w:after="50"/>
              <w:jc w:val="center"/>
              <w:rPr>
                <w:sz w:val="24"/>
              </w:rPr>
            </w:pPr>
          </w:p>
        </w:tc>
        <w:tc>
          <w:tcPr>
            <w:tcW w:w="1236" w:type="dxa"/>
            <w:noWrap w:val="0"/>
            <w:vAlign w:val="center"/>
          </w:tcPr>
          <w:p w14:paraId="3F32F17A">
            <w:pPr>
              <w:tabs>
                <w:tab w:val="left" w:pos="1418"/>
              </w:tabs>
              <w:snapToGrid w:val="0"/>
              <w:spacing w:before="50" w:after="50"/>
              <w:jc w:val="center"/>
              <w:rPr>
                <w:sz w:val="24"/>
              </w:rPr>
            </w:pPr>
          </w:p>
        </w:tc>
        <w:tc>
          <w:tcPr>
            <w:tcW w:w="1582" w:type="dxa"/>
            <w:noWrap w:val="0"/>
            <w:vAlign w:val="center"/>
          </w:tcPr>
          <w:p w14:paraId="14B61508">
            <w:pPr>
              <w:tabs>
                <w:tab w:val="left" w:pos="1418"/>
              </w:tabs>
              <w:snapToGrid w:val="0"/>
              <w:spacing w:before="50" w:after="50"/>
              <w:jc w:val="center"/>
              <w:rPr>
                <w:sz w:val="24"/>
              </w:rPr>
            </w:pPr>
          </w:p>
        </w:tc>
        <w:tc>
          <w:tcPr>
            <w:tcW w:w="1440" w:type="dxa"/>
            <w:noWrap w:val="0"/>
            <w:vAlign w:val="center"/>
          </w:tcPr>
          <w:p w14:paraId="33E5A84A">
            <w:pPr>
              <w:tabs>
                <w:tab w:val="left" w:pos="1418"/>
              </w:tabs>
              <w:snapToGrid w:val="0"/>
              <w:spacing w:before="50" w:after="50"/>
              <w:jc w:val="center"/>
              <w:rPr>
                <w:spacing w:val="20"/>
                <w:sz w:val="24"/>
              </w:rPr>
            </w:pPr>
          </w:p>
        </w:tc>
      </w:tr>
      <w:tr w14:paraId="65D1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0" w:type="dxa"/>
            <w:noWrap w:val="0"/>
            <w:vAlign w:val="center"/>
          </w:tcPr>
          <w:p w14:paraId="43566701">
            <w:pPr>
              <w:tabs>
                <w:tab w:val="left" w:pos="1418"/>
              </w:tabs>
              <w:snapToGrid w:val="0"/>
              <w:spacing w:before="50" w:after="50"/>
              <w:jc w:val="center"/>
              <w:rPr>
                <w:spacing w:val="20"/>
                <w:sz w:val="24"/>
              </w:rPr>
            </w:pPr>
            <w:r>
              <w:rPr>
                <w:spacing w:val="20"/>
                <w:sz w:val="24"/>
              </w:rPr>
              <w:t>2</w:t>
            </w:r>
          </w:p>
        </w:tc>
        <w:tc>
          <w:tcPr>
            <w:tcW w:w="1530" w:type="dxa"/>
            <w:noWrap w:val="0"/>
            <w:vAlign w:val="center"/>
          </w:tcPr>
          <w:p w14:paraId="61EDDE2E">
            <w:pPr>
              <w:tabs>
                <w:tab w:val="left" w:pos="1418"/>
              </w:tabs>
              <w:snapToGrid w:val="0"/>
              <w:spacing w:before="50" w:after="50"/>
              <w:jc w:val="center"/>
              <w:rPr>
                <w:sz w:val="24"/>
              </w:rPr>
            </w:pPr>
          </w:p>
        </w:tc>
        <w:tc>
          <w:tcPr>
            <w:tcW w:w="1419" w:type="dxa"/>
            <w:noWrap w:val="0"/>
            <w:vAlign w:val="center"/>
          </w:tcPr>
          <w:p w14:paraId="5597031E">
            <w:pPr>
              <w:tabs>
                <w:tab w:val="left" w:pos="1418"/>
              </w:tabs>
              <w:snapToGrid w:val="0"/>
              <w:spacing w:before="50" w:after="50"/>
              <w:jc w:val="center"/>
              <w:rPr>
                <w:sz w:val="24"/>
              </w:rPr>
            </w:pPr>
          </w:p>
        </w:tc>
        <w:tc>
          <w:tcPr>
            <w:tcW w:w="1191" w:type="dxa"/>
            <w:noWrap w:val="0"/>
            <w:vAlign w:val="center"/>
          </w:tcPr>
          <w:p w14:paraId="1620F465">
            <w:pPr>
              <w:tabs>
                <w:tab w:val="left" w:pos="1418"/>
              </w:tabs>
              <w:snapToGrid w:val="0"/>
              <w:spacing w:before="50" w:after="50"/>
              <w:jc w:val="center"/>
              <w:rPr>
                <w:sz w:val="24"/>
              </w:rPr>
            </w:pPr>
          </w:p>
        </w:tc>
        <w:tc>
          <w:tcPr>
            <w:tcW w:w="1236" w:type="dxa"/>
            <w:noWrap w:val="0"/>
            <w:vAlign w:val="center"/>
          </w:tcPr>
          <w:p w14:paraId="798569D4">
            <w:pPr>
              <w:tabs>
                <w:tab w:val="left" w:pos="1418"/>
              </w:tabs>
              <w:snapToGrid w:val="0"/>
              <w:spacing w:before="50" w:after="50"/>
              <w:jc w:val="center"/>
              <w:rPr>
                <w:sz w:val="24"/>
              </w:rPr>
            </w:pPr>
          </w:p>
        </w:tc>
        <w:tc>
          <w:tcPr>
            <w:tcW w:w="1582" w:type="dxa"/>
            <w:noWrap w:val="0"/>
            <w:vAlign w:val="center"/>
          </w:tcPr>
          <w:p w14:paraId="76BB8EA0">
            <w:pPr>
              <w:tabs>
                <w:tab w:val="left" w:pos="1418"/>
              </w:tabs>
              <w:snapToGrid w:val="0"/>
              <w:spacing w:before="50" w:after="50"/>
              <w:jc w:val="center"/>
              <w:rPr>
                <w:sz w:val="24"/>
              </w:rPr>
            </w:pPr>
          </w:p>
        </w:tc>
        <w:tc>
          <w:tcPr>
            <w:tcW w:w="1440" w:type="dxa"/>
            <w:noWrap w:val="0"/>
            <w:vAlign w:val="center"/>
          </w:tcPr>
          <w:p w14:paraId="4586CB6D">
            <w:pPr>
              <w:tabs>
                <w:tab w:val="left" w:pos="1418"/>
              </w:tabs>
              <w:snapToGrid w:val="0"/>
              <w:spacing w:before="50" w:after="50"/>
              <w:jc w:val="center"/>
              <w:rPr>
                <w:spacing w:val="20"/>
                <w:sz w:val="24"/>
              </w:rPr>
            </w:pPr>
          </w:p>
        </w:tc>
      </w:tr>
      <w:tr w14:paraId="5929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noWrap w:val="0"/>
            <w:vAlign w:val="center"/>
          </w:tcPr>
          <w:p w14:paraId="6797BCBD">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3</w:t>
            </w:r>
          </w:p>
        </w:tc>
        <w:tc>
          <w:tcPr>
            <w:tcW w:w="1530" w:type="dxa"/>
            <w:noWrap w:val="0"/>
            <w:vAlign w:val="center"/>
          </w:tcPr>
          <w:p w14:paraId="2E038652">
            <w:pPr>
              <w:tabs>
                <w:tab w:val="left" w:pos="1418"/>
              </w:tabs>
              <w:snapToGrid w:val="0"/>
              <w:spacing w:before="50" w:after="50"/>
              <w:jc w:val="center"/>
              <w:rPr>
                <w:sz w:val="24"/>
              </w:rPr>
            </w:pPr>
          </w:p>
        </w:tc>
        <w:tc>
          <w:tcPr>
            <w:tcW w:w="1419" w:type="dxa"/>
            <w:noWrap w:val="0"/>
            <w:vAlign w:val="center"/>
          </w:tcPr>
          <w:p w14:paraId="1A5EF85A">
            <w:pPr>
              <w:tabs>
                <w:tab w:val="left" w:pos="1418"/>
              </w:tabs>
              <w:snapToGrid w:val="0"/>
              <w:spacing w:before="50" w:after="50"/>
              <w:jc w:val="center"/>
              <w:rPr>
                <w:sz w:val="24"/>
              </w:rPr>
            </w:pPr>
          </w:p>
        </w:tc>
        <w:tc>
          <w:tcPr>
            <w:tcW w:w="1191" w:type="dxa"/>
            <w:noWrap w:val="0"/>
            <w:vAlign w:val="center"/>
          </w:tcPr>
          <w:p w14:paraId="63B6FBAA">
            <w:pPr>
              <w:tabs>
                <w:tab w:val="left" w:pos="1418"/>
              </w:tabs>
              <w:snapToGrid w:val="0"/>
              <w:spacing w:before="50" w:after="50"/>
              <w:jc w:val="center"/>
              <w:rPr>
                <w:sz w:val="24"/>
              </w:rPr>
            </w:pPr>
          </w:p>
        </w:tc>
        <w:tc>
          <w:tcPr>
            <w:tcW w:w="1236" w:type="dxa"/>
            <w:noWrap w:val="0"/>
            <w:vAlign w:val="center"/>
          </w:tcPr>
          <w:p w14:paraId="1F11A8A2">
            <w:pPr>
              <w:tabs>
                <w:tab w:val="left" w:pos="1418"/>
              </w:tabs>
              <w:snapToGrid w:val="0"/>
              <w:spacing w:before="50" w:after="50"/>
              <w:jc w:val="center"/>
              <w:rPr>
                <w:sz w:val="24"/>
              </w:rPr>
            </w:pPr>
          </w:p>
        </w:tc>
        <w:tc>
          <w:tcPr>
            <w:tcW w:w="1582" w:type="dxa"/>
            <w:noWrap w:val="0"/>
            <w:vAlign w:val="center"/>
          </w:tcPr>
          <w:p w14:paraId="05878F17">
            <w:pPr>
              <w:tabs>
                <w:tab w:val="left" w:pos="1418"/>
              </w:tabs>
              <w:snapToGrid w:val="0"/>
              <w:spacing w:before="50" w:after="50"/>
              <w:jc w:val="center"/>
              <w:rPr>
                <w:sz w:val="24"/>
              </w:rPr>
            </w:pPr>
          </w:p>
        </w:tc>
        <w:tc>
          <w:tcPr>
            <w:tcW w:w="1440" w:type="dxa"/>
            <w:noWrap w:val="0"/>
            <w:vAlign w:val="center"/>
          </w:tcPr>
          <w:p w14:paraId="6C1381A0">
            <w:pPr>
              <w:tabs>
                <w:tab w:val="left" w:pos="1418"/>
              </w:tabs>
              <w:snapToGrid w:val="0"/>
              <w:spacing w:before="50" w:after="50"/>
              <w:jc w:val="center"/>
              <w:rPr>
                <w:spacing w:val="20"/>
                <w:sz w:val="24"/>
              </w:rPr>
            </w:pPr>
          </w:p>
        </w:tc>
      </w:tr>
      <w:tr w14:paraId="3C81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0" w:type="dxa"/>
            <w:noWrap w:val="0"/>
            <w:vAlign w:val="center"/>
          </w:tcPr>
          <w:p w14:paraId="2ABB7A1E">
            <w:pPr>
              <w:tabs>
                <w:tab w:val="left" w:pos="1418"/>
              </w:tabs>
              <w:snapToGrid w:val="0"/>
              <w:spacing w:before="50" w:after="50"/>
              <w:jc w:val="center"/>
              <w:rPr>
                <w:rFonts w:hint="default"/>
                <w:spacing w:val="20"/>
                <w:sz w:val="24"/>
                <w:lang w:val="en-US" w:eastAsia="zh-CN"/>
              </w:rPr>
            </w:pPr>
            <w:r>
              <w:rPr>
                <w:rFonts w:hint="eastAsia"/>
                <w:spacing w:val="20"/>
                <w:sz w:val="24"/>
                <w:lang w:val="en-US" w:eastAsia="zh-CN"/>
              </w:rPr>
              <w:t>4</w:t>
            </w:r>
          </w:p>
        </w:tc>
        <w:tc>
          <w:tcPr>
            <w:tcW w:w="1530" w:type="dxa"/>
            <w:noWrap w:val="0"/>
            <w:vAlign w:val="center"/>
          </w:tcPr>
          <w:p w14:paraId="2BED81DA">
            <w:pPr>
              <w:tabs>
                <w:tab w:val="left" w:pos="1418"/>
              </w:tabs>
              <w:snapToGrid w:val="0"/>
              <w:spacing w:before="50" w:after="50"/>
              <w:jc w:val="center"/>
              <w:rPr>
                <w:sz w:val="24"/>
              </w:rPr>
            </w:pPr>
          </w:p>
        </w:tc>
        <w:tc>
          <w:tcPr>
            <w:tcW w:w="1419" w:type="dxa"/>
            <w:noWrap w:val="0"/>
            <w:vAlign w:val="center"/>
          </w:tcPr>
          <w:p w14:paraId="0F790071">
            <w:pPr>
              <w:tabs>
                <w:tab w:val="left" w:pos="1418"/>
              </w:tabs>
              <w:snapToGrid w:val="0"/>
              <w:spacing w:before="50" w:after="50"/>
              <w:jc w:val="center"/>
              <w:rPr>
                <w:sz w:val="24"/>
              </w:rPr>
            </w:pPr>
          </w:p>
        </w:tc>
        <w:tc>
          <w:tcPr>
            <w:tcW w:w="1191" w:type="dxa"/>
            <w:noWrap w:val="0"/>
            <w:vAlign w:val="center"/>
          </w:tcPr>
          <w:p w14:paraId="0C29432E">
            <w:pPr>
              <w:tabs>
                <w:tab w:val="left" w:pos="1418"/>
              </w:tabs>
              <w:snapToGrid w:val="0"/>
              <w:spacing w:before="50" w:after="50"/>
              <w:jc w:val="center"/>
              <w:rPr>
                <w:sz w:val="24"/>
              </w:rPr>
            </w:pPr>
          </w:p>
        </w:tc>
        <w:tc>
          <w:tcPr>
            <w:tcW w:w="1236" w:type="dxa"/>
            <w:noWrap w:val="0"/>
            <w:vAlign w:val="center"/>
          </w:tcPr>
          <w:p w14:paraId="0C7FFC6E">
            <w:pPr>
              <w:tabs>
                <w:tab w:val="left" w:pos="1418"/>
              </w:tabs>
              <w:snapToGrid w:val="0"/>
              <w:spacing w:before="50" w:after="50"/>
              <w:jc w:val="center"/>
              <w:rPr>
                <w:sz w:val="24"/>
              </w:rPr>
            </w:pPr>
          </w:p>
        </w:tc>
        <w:tc>
          <w:tcPr>
            <w:tcW w:w="1582" w:type="dxa"/>
            <w:noWrap w:val="0"/>
            <w:vAlign w:val="center"/>
          </w:tcPr>
          <w:p w14:paraId="2112A9FD">
            <w:pPr>
              <w:tabs>
                <w:tab w:val="left" w:pos="1418"/>
              </w:tabs>
              <w:snapToGrid w:val="0"/>
              <w:spacing w:before="50" w:after="50"/>
              <w:jc w:val="center"/>
              <w:rPr>
                <w:sz w:val="24"/>
              </w:rPr>
            </w:pPr>
          </w:p>
        </w:tc>
        <w:tc>
          <w:tcPr>
            <w:tcW w:w="1440" w:type="dxa"/>
            <w:noWrap w:val="0"/>
            <w:vAlign w:val="center"/>
          </w:tcPr>
          <w:p w14:paraId="47AF723A">
            <w:pPr>
              <w:tabs>
                <w:tab w:val="left" w:pos="1418"/>
              </w:tabs>
              <w:snapToGrid w:val="0"/>
              <w:spacing w:before="50" w:after="50"/>
              <w:jc w:val="center"/>
              <w:rPr>
                <w:spacing w:val="20"/>
                <w:sz w:val="24"/>
              </w:rPr>
            </w:pPr>
          </w:p>
        </w:tc>
      </w:tr>
      <w:tr w14:paraId="34A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0" w:type="dxa"/>
            <w:noWrap w:val="0"/>
            <w:vAlign w:val="center"/>
          </w:tcPr>
          <w:p w14:paraId="37FEFBCE">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5</w:t>
            </w:r>
          </w:p>
        </w:tc>
        <w:tc>
          <w:tcPr>
            <w:tcW w:w="1530" w:type="dxa"/>
            <w:noWrap w:val="0"/>
            <w:vAlign w:val="center"/>
          </w:tcPr>
          <w:p w14:paraId="2A743DFD">
            <w:pPr>
              <w:tabs>
                <w:tab w:val="left" w:pos="1418"/>
              </w:tabs>
              <w:snapToGrid w:val="0"/>
              <w:spacing w:before="50" w:after="50"/>
              <w:jc w:val="center"/>
              <w:rPr>
                <w:sz w:val="24"/>
              </w:rPr>
            </w:pPr>
          </w:p>
        </w:tc>
        <w:tc>
          <w:tcPr>
            <w:tcW w:w="1419" w:type="dxa"/>
            <w:noWrap w:val="0"/>
            <w:vAlign w:val="center"/>
          </w:tcPr>
          <w:p w14:paraId="4FC383B3">
            <w:pPr>
              <w:tabs>
                <w:tab w:val="left" w:pos="1418"/>
              </w:tabs>
              <w:snapToGrid w:val="0"/>
              <w:spacing w:before="50" w:after="50"/>
              <w:jc w:val="center"/>
              <w:rPr>
                <w:sz w:val="24"/>
              </w:rPr>
            </w:pPr>
          </w:p>
        </w:tc>
        <w:tc>
          <w:tcPr>
            <w:tcW w:w="1191" w:type="dxa"/>
            <w:noWrap w:val="0"/>
            <w:vAlign w:val="center"/>
          </w:tcPr>
          <w:p w14:paraId="1E059684">
            <w:pPr>
              <w:tabs>
                <w:tab w:val="left" w:pos="1418"/>
              </w:tabs>
              <w:snapToGrid w:val="0"/>
              <w:spacing w:before="50" w:after="50"/>
              <w:jc w:val="center"/>
              <w:rPr>
                <w:sz w:val="24"/>
              </w:rPr>
            </w:pPr>
          </w:p>
        </w:tc>
        <w:tc>
          <w:tcPr>
            <w:tcW w:w="1236" w:type="dxa"/>
            <w:noWrap w:val="0"/>
            <w:vAlign w:val="center"/>
          </w:tcPr>
          <w:p w14:paraId="6E7E7F87">
            <w:pPr>
              <w:tabs>
                <w:tab w:val="left" w:pos="1418"/>
              </w:tabs>
              <w:snapToGrid w:val="0"/>
              <w:spacing w:before="50" w:after="50"/>
              <w:jc w:val="center"/>
              <w:rPr>
                <w:sz w:val="24"/>
              </w:rPr>
            </w:pPr>
          </w:p>
        </w:tc>
        <w:tc>
          <w:tcPr>
            <w:tcW w:w="1582" w:type="dxa"/>
            <w:noWrap w:val="0"/>
            <w:vAlign w:val="center"/>
          </w:tcPr>
          <w:p w14:paraId="306B3D8E">
            <w:pPr>
              <w:tabs>
                <w:tab w:val="left" w:pos="1418"/>
              </w:tabs>
              <w:snapToGrid w:val="0"/>
              <w:spacing w:before="50" w:after="50"/>
              <w:jc w:val="center"/>
              <w:rPr>
                <w:sz w:val="24"/>
              </w:rPr>
            </w:pPr>
          </w:p>
        </w:tc>
        <w:tc>
          <w:tcPr>
            <w:tcW w:w="1440" w:type="dxa"/>
            <w:noWrap w:val="0"/>
            <w:vAlign w:val="center"/>
          </w:tcPr>
          <w:p w14:paraId="5109D08D">
            <w:pPr>
              <w:tabs>
                <w:tab w:val="left" w:pos="1418"/>
              </w:tabs>
              <w:snapToGrid w:val="0"/>
              <w:spacing w:before="50" w:after="50"/>
              <w:jc w:val="center"/>
              <w:rPr>
                <w:spacing w:val="20"/>
                <w:sz w:val="24"/>
              </w:rPr>
            </w:pPr>
          </w:p>
        </w:tc>
      </w:tr>
      <w:tr w14:paraId="3A4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38" w:type="dxa"/>
            <w:gridSpan w:val="7"/>
            <w:noWrap w:val="0"/>
            <w:vAlign w:val="center"/>
          </w:tcPr>
          <w:p w14:paraId="1AD81A9E">
            <w:pPr>
              <w:tabs>
                <w:tab w:val="left" w:pos="1418"/>
              </w:tabs>
              <w:snapToGrid w:val="0"/>
              <w:spacing w:before="50" w:after="50"/>
              <w:jc w:val="center"/>
              <w:rPr>
                <w:spacing w:val="20"/>
                <w:sz w:val="24"/>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1AE67D0D">
      <w:pPr>
        <w:spacing w:line="360" w:lineRule="auto"/>
        <w:rPr>
          <w:rFonts w:ascii="宋体" w:hAnsi="宋体" w:cs="Arial"/>
          <w:sz w:val="24"/>
          <w:szCs w:val="24"/>
          <w:highlight w:val="none"/>
        </w:rPr>
      </w:pPr>
    </w:p>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szCs w:val="24"/>
          <w:highlight w:val="none"/>
        </w:rPr>
      </w:pPr>
    </w:p>
    <w:p w14:paraId="69424633">
      <w:pPr>
        <w:spacing w:line="360" w:lineRule="auto"/>
        <w:rPr>
          <w:rFonts w:ascii="宋体" w:hAnsi="宋体" w:cs="Arial"/>
          <w:b/>
          <w:bCs/>
          <w:sz w:val="24"/>
          <w:szCs w:val="24"/>
          <w:highlight w:val="none"/>
        </w:rPr>
      </w:pPr>
    </w:p>
    <w:p w14:paraId="7EBBDB43">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5D2D9F65">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p w14:paraId="3480810A">
      <w:pPr>
        <w:spacing w:line="360" w:lineRule="auto"/>
        <w:rPr>
          <w:sz w:val="24"/>
          <w:szCs w:val="24"/>
          <w:highlight w:val="none"/>
        </w:rPr>
      </w:pPr>
    </w:p>
    <w:p w14:paraId="7A4DF3EC">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E7493A4"/>
    <w:multiLevelType w:val="singleLevel"/>
    <w:tmpl w:val="1E7493A4"/>
    <w:lvl w:ilvl="0" w:tentative="0">
      <w:start w:val="5"/>
      <w:numFmt w:val="decimal"/>
      <w:suff w:val="space"/>
      <w:lvlText w:val="%1."/>
      <w:lvlJc w:val="left"/>
    </w:lvl>
  </w:abstractNum>
  <w:abstractNum w:abstractNumId="3">
    <w:nsid w:val="5D497C9E"/>
    <w:multiLevelType w:val="multilevel"/>
    <w:tmpl w:val="5D497C9E"/>
    <w:lvl w:ilvl="0" w:tentative="0">
      <w:start w:val="1"/>
      <w:numFmt w:val="chineseCountingThousand"/>
      <w:pStyle w:val="5"/>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77326FB"/>
    <w:multiLevelType w:val="singleLevel"/>
    <w:tmpl w:val="777326FB"/>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32594"/>
    <w:rsid w:val="00164318"/>
    <w:rsid w:val="003D4B84"/>
    <w:rsid w:val="008F65FF"/>
    <w:rsid w:val="00C30909"/>
    <w:rsid w:val="01735F55"/>
    <w:rsid w:val="01920F12"/>
    <w:rsid w:val="02444CFE"/>
    <w:rsid w:val="02702D13"/>
    <w:rsid w:val="02AE55E9"/>
    <w:rsid w:val="03A32C74"/>
    <w:rsid w:val="03B81543"/>
    <w:rsid w:val="03BE5308"/>
    <w:rsid w:val="04137DFA"/>
    <w:rsid w:val="041E1407"/>
    <w:rsid w:val="043A5387"/>
    <w:rsid w:val="046805A7"/>
    <w:rsid w:val="046C7126"/>
    <w:rsid w:val="048177A5"/>
    <w:rsid w:val="04B50EB1"/>
    <w:rsid w:val="04E343F2"/>
    <w:rsid w:val="05104339"/>
    <w:rsid w:val="05252DE6"/>
    <w:rsid w:val="054935FC"/>
    <w:rsid w:val="057D45C7"/>
    <w:rsid w:val="05B2719F"/>
    <w:rsid w:val="05D37841"/>
    <w:rsid w:val="0607573C"/>
    <w:rsid w:val="063437DC"/>
    <w:rsid w:val="063F15D1"/>
    <w:rsid w:val="065923DC"/>
    <w:rsid w:val="0663284C"/>
    <w:rsid w:val="06770E4D"/>
    <w:rsid w:val="07B40FAC"/>
    <w:rsid w:val="07F608F1"/>
    <w:rsid w:val="08314631"/>
    <w:rsid w:val="084367D4"/>
    <w:rsid w:val="08A43261"/>
    <w:rsid w:val="09181A0E"/>
    <w:rsid w:val="09414AC1"/>
    <w:rsid w:val="09554A11"/>
    <w:rsid w:val="09682EB8"/>
    <w:rsid w:val="09701596"/>
    <w:rsid w:val="09EF276F"/>
    <w:rsid w:val="0A247666"/>
    <w:rsid w:val="0A6673CE"/>
    <w:rsid w:val="0ABB16FD"/>
    <w:rsid w:val="0B280B93"/>
    <w:rsid w:val="0B9E1294"/>
    <w:rsid w:val="0C0F6D61"/>
    <w:rsid w:val="0C3E373D"/>
    <w:rsid w:val="0C48260B"/>
    <w:rsid w:val="0C811679"/>
    <w:rsid w:val="0C88659A"/>
    <w:rsid w:val="0C9814B5"/>
    <w:rsid w:val="0CB67574"/>
    <w:rsid w:val="0CD74F4E"/>
    <w:rsid w:val="0D625D59"/>
    <w:rsid w:val="0DCF4D92"/>
    <w:rsid w:val="0DD57DA6"/>
    <w:rsid w:val="0E17302F"/>
    <w:rsid w:val="0E1D50C2"/>
    <w:rsid w:val="0E1E3623"/>
    <w:rsid w:val="0E2B3F92"/>
    <w:rsid w:val="0FC6104D"/>
    <w:rsid w:val="0FDA5C70"/>
    <w:rsid w:val="102743E1"/>
    <w:rsid w:val="102D3FF1"/>
    <w:rsid w:val="104D5C31"/>
    <w:rsid w:val="10F36FE9"/>
    <w:rsid w:val="110E0BAC"/>
    <w:rsid w:val="114C494B"/>
    <w:rsid w:val="11CB32F9"/>
    <w:rsid w:val="127B54E8"/>
    <w:rsid w:val="12B22195"/>
    <w:rsid w:val="131E40C5"/>
    <w:rsid w:val="134125BF"/>
    <w:rsid w:val="13823917"/>
    <w:rsid w:val="13CA1F19"/>
    <w:rsid w:val="13DD44F2"/>
    <w:rsid w:val="144E2A5F"/>
    <w:rsid w:val="14CA0061"/>
    <w:rsid w:val="14D507B4"/>
    <w:rsid w:val="14E32ED1"/>
    <w:rsid w:val="15E52C78"/>
    <w:rsid w:val="16325C9C"/>
    <w:rsid w:val="163B719F"/>
    <w:rsid w:val="166B13D0"/>
    <w:rsid w:val="16B234A2"/>
    <w:rsid w:val="16F6595A"/>
    <w:rsid w:val="173845ED"/>
    <w:rsid w:val="17FD24FB"/>
    <w:rsid w:val="182201B4"/>
    <w:rsid w:val="187B02C7"/>
    <w:rsid w:val="18F00A8A"/>
    <w:rsid w:val="18F41CDB"/>
    <w:rsid w:val="196C08F1"/>
    <w:rsid w:val="1A2521DD"/>
    <w:rsid w:val="1A846F04"/>
    <w:rsid w:val="1A935399"/>
    <w:rsid w:val="1AAF0E80"/>
    <w:rsid w:val="1AC51655"/>
    <w:rsid w:val="1ADA6B24"/>
    <w:rsid w:val="1B676A58"/>
    <w:rsid w:val="1B6D2EC4"/>
    <w:rsid w:val="1B943177"/>
    <w:rsid w:val="1B9969DF"/>
    <w:rsid w:val="1BCD3B84"/>
    <w:rsid w:val="1BD532AE"/>
    <w:rsid w:val="1C026332"/>
    <w:rsid w:val="1C275729"/>
    <w:rsid w:val="1C8431EB"/>
    <w:rsid w:val="1CC63804"/>
    <w:rsid w:val="1CDE389D"/>
    <w:rsid w:val="1D0109DB"/>
    <w:rsid w:val="1D525097"/>
    <w:rsid w:val="1DDC2BB3"/>
    <w:rsid w:val="1DF63C75"/>
    <w:rsid w:val="1E05197A"/>
    <w:rsid w:val="1E6432D4"/>
    <w:rsid w:val="1E960FB4"/>
    <w:rsid w:val="1EEA7AC6"/>
    <w:rsid w:val="1EF36406"/>
    <w:rsid w:val="1F090697"/>
    <w:rsid w:val="1F7B5265"/>
    <w:rsid w:val="1FD92A7D"/>
    <w:rsid w:val="1FE81CE3"/>
    <w:rsid w:val="20140D2A"/>
    <w:rsid w:val="203B6D03"/>
    <w:rsid w:val="206A26F8"/>
    <w:rsid w:val="20825C93"/>
    <w:rsid w:val="20AC4ABE"/>
    <w:rsid w:val="20B300B6"/>
    <w:rsid w:val="20BE4494"/>
    <w:rsid w:val="210B5C89"/>
    <w:rsid w:val="213056EF"/>
    <w:rsid w:val="214B19AF"/>
    <w:rsid w:val="219C2D85"/>
    <w:rsid w:val="21E30D42"/>
    <w:rsid w:val="2210107D"/>
    <w:rsid w:val="22201238"/>
    <w:rsid w:val="22576CAC"/>
    <w:rsid w:val="22617B2B"/>
    <w:rsid w:val="226B2757"/>
    <w:rsid w:val="22C500B9"/>
    <w:rsid w:val="23696C97"/>
    <w:rsid w:val="23CB5BA3"/>
    <w:rsid w:val="23FA2DFB"/>
    <w:rsid w:val="242D0576"/>
    <w:rsid w:val="248D10AB"/>
    <w:rsid w:val="24BE3012"/>
    <w:rsid w:val="250003E1"/>
    <w:rsid w:val="250032EF"/>
    <w:rsid w:val="25396B3D"/>
    <w:rsid w:val="256F255E"/>
    <w:rsid w:val="2601367E"/>
    <w:rsid w:val="260E1459"/>
    <w:rsid w:val="26647BE9"/>
    <w:rsid w:val="26CB1FFA"/>
    <w:rsid w:val="26E82407"/>
    <w:rsid w:val="27295330"/>
    <w:rsid w:val="277327DA"/>
    <w:rsid w:val="278A02F5"/>
    <w:rsid w:val="27BA6FBE"/>
    <w:rsid w:val="27BD1CA7"/>
    <w:rsid w:val="282707F3"/>
    <w:rsid w:val="28E6741A"/>
    <w:rsid w:val="28F33F9C"/>
    <w:rsid w:val="290B7C96"/>
    <w:rsid w:val="299E3412"/>
    <w:rsid w:val="29CC6E69"/>
    <w:rsid w:val="2A24600D"/>
    <w:rsid w:val="2A4B17EC"/>
    <w:rsid w:val="2A5A1159"/>
    <w:rsid w:val="2AE35581"/>
    <w:rsid w:val="2B0D5F6D"/>
    <w:rsid w:val="2B683928"/>
    <w:rsid w:val="2C025EDA"/>
    <w:rsid w:val="2C273B93"/>
    <w:rsid w:val="2C8402CC"/>
    <w:rsid w:val="2C8965FC"/>
    <w:rsid w:val="2C9F3729"/>
    <w:rsid w:val="2CBC252D"/>
    <w:rsid w:val="2CD25DAF"/>
    <w:rsid w:val="2CFF066C"/>
    <w:rsid w:val="2D381852"/>
    <w:rsid w:val="2DA57465"/>
    <w:rsid w:val="2DDA4C9A"/>
    <w:rsid w:val="2DE55AB4"/>
    <w:rsid w:val="2DFA155F"/>
    <w:rsid w:val="2E0C3A22"/>
    <w:rsid w:val="2E0D1483"/>
    <w:rsid w:val="2E3D7EEF"/>
    <w:rsid w:val="2EBB4BEE"/>
    <w:rsid w:val="2F137233"/>
    <w:rsid w:val="2FEF49C8"/>
    <w:rsid w:val="3008661E"/>
    <w:rsid w:val="30DD0CC4"/>
    <w:rsid w:val="319878C1"/>
    <w:rsid w:val="319C6045"/>
    <w:rsid w:val="31B41C0A"/>
    <w:rsid w:val="31B45EC9"/>
    <w:rsid w:val="31D54EF7"/>
    <w:rsid w:val="31EB11BF"/>
    <w:rsid w:val="31FB58A6"/>
    <w:rsid w:val="3212499D"/>
    <w:rsid w:val="32351D06"/>
    <w:rsid w:val="324B2329"/>
    <w:rsid w:val="32A83B15"/>
    <w:rsid w:val="32E6579B"/>
    <w:rsid w:val="33395E7A"/>
    <w:rsid w:val="3345781A"/>
    <w:rsid w:val="33950813"/>
    <w:rsid w:val="33B91786"/>
    <w:rsid w:val="33D60378"/>
    <w:rsid w:val="33EA7980"/>
    <w:rsid w:val="34C04897"/>
    <w:rsid w:val="352C3FC8"/>
    <w:rsid w:val="356419B4"/>
    <w:rsid w:val="35F9034E"/>
    <w:rsid w:val="365A27C8"/>
    <w:rsid w:val="3694744F"/>
    <w:rsid w:val="373F4487"/>
    <w:rsid w:val="37894282"/>
    <w:rsid w:val="378C2AA9"/>
    <w:rsid w:val="383F4BA6"/>
    <w:rsid w:val="386012D7"/>
    <w:rsid w:val="38C43CA9"/>
    <w:rsid w:val="39A6259B"/>
    <w:rsid w:val="3B1D68BB"/>
    <w:rsid w:val="3B453455"/>
    <w:rsid w:val="3B781D15"/>
    <w:rsid w:val="3B9052B1"/>
    <w:rsid w:val="3BE05953"/>
    <w:rsid w:val="3BE55E13"/>
    <w:rsid w:val="3C2B6D87"/>
    <w:rsid w:val="3C4B3FC2"/>
    <w:rsid w:val="3C990FCB"/>
    <w:rsid w:val="3CBF3B7C"/>
    <w:rsid w:val="3D7E46A8"/>
    <w:rsid w:val="3DF81D2A"/>
    <w:rsid w:val="3E027FBC"/>
    <w:rsid w:val="3E1A70B4"/>
    <w:rsid w:val="3E4A79FC"/>
    <w:rsid w:val="3E5E1BF9"/>
    <w:rsid w:val="3E75078E"/>
    <w:rsid w:val="3EA03A5D"/>
    <w:rsid w:val="3ECF1148"/>
    <w:rsid w:val="3EDC25BB"/>
    <w:rsid w:val="3EED47C8"/>
    <w:rsid w:val="3F1F65DD"/>
    <w:rsid w:val="3FB757CD"/>
    <w:rsid w:val="3FBD724F"/>
    <w:rsid w:val="3FEE56D0"/>
    <w:rsid w:val="40034CE0"/>
    <w:rsid w:val="403F31DF"/>
    <w:rsid w:val="4045722C"/>
    <w:rsid w:val="40A74E68"/>
    <w:rsid w:val="40D7128C"/>
    <w:rsid w:val="40EB11DB"/>
    <w:rsid w:val="41272213"/>
    <w:rsid w:val="413F4786"/>
    <w:rsid w:val="416F7716"/>
    <w:rsid w:val="41B15F81"/>
    <w:rsid w:val="41DF2AEE"/>
    <w:rsid w:val="42162BD2"/>
    <w:rsid w:val="423A5616"/>
    <w:rsid w:val="426923B8"/>
    <w:rsid w:val="42A338A7"/>
    <w:rsid w:val="42CE4911"/>
    <w:rsid w:val="42E12896"/>
    <w:rsid w:val="42E303BC"/>
    <w:rsid w:val="436B215F"/>
    <w:rsid w:val="43703F00"/>
    <w:rsid w:val="43F319C0"/>
    <w:rsid w:val="43F53D29"/>
    <w:rsid w:val="44052F6D"/>
    <w:rsid w:val="45B84D5C"/>
    <w:rsid w:val="461C6516"/>
    <w:rsid w:val="46217054"/>
    <w:rsid w:val="46226C7C"/>
    <w:rsid w:val="46254F1A"/>
    <w:rsid w:val="46472A10"/>
    <w:rsid w:val="47B02837"/>
    <w:rsid w:val="48485148"/>
    <w:rsid w:val="48A905A4"/>
    <w:rsid w:val="49044BE8"/>
    <w:rsid w:val="491D3EFC"/>
    <w:rsid w:val="498D2E30"/>
    <w:rsid w:val="49F45D1E"/>
    <w:rsid w:val="49F56A9C"/>
    <w:rsid w:val="4A5C0AFE"/>
    <w:rsid w:val="4ACB490C"/>
    <w:rsid w:val="4B2D35EC"/>
    <w:rsid w:val="4B3A6FE7"/>
    <w:rsid w:val="4B3F63AB"/>
    <w:rsid w:val="4B6173B9"/>
    <w:rsid w:val="4B7755F7"/>
    <w:rsid w:val="4BA12BC2"/>
    <w:rsid w:val="4BD25472"/>
    <w:rsid w:val="4BF1634C"/>
    <w:rsid w:val="4C1A1186"/>
    <w:rsid w:val="4C1E4213"/>
    <w:rsid w:val="4C7240D0"/>
    <w:rsid w:val="4C8C2F4B"/>
    <w:rsid w:val="4CA3296A"/>
    <w:rsid w:val="4D4C6D24"/>
    <w:rsid w:val="4D8412CA"/>
    <w:rsid w:val="4DD17574"/>
    <w:rsid w:val="4E50411F"/>
    <w:rsid w:val="4E53118F"/>
    <w:rsid w:val="4E535E94"/>
    <w:rsid w:val="4EBC7D13"/>
    <w:rsid w:val="4ED67027"/>
    <w:rsid w:val="4F156EDC"/>
    <w:rsid w:val="4F195165"/>
    <w:rsid w:val="4F525FCE"/>
    <w:rsid w:val="4FA17CA6"/>
    <w:rsid w:val="4FEB04D1"/>
    <w:rsid w:val="4FED432F"/>
    <w:rsid w:val="501C315F"/>
    <w:rsid w:val="50760AC1"/>
    <w:rsid w:val="50EC3E2B"/>
    <w:rsid w:val="510032E3"/>
    <w:rsid w:val="514840EF"/>
    <w:rsid w:val="51B21297"/>
    <w:rsid w:val="51E97071"/>
    <w:rsid w:val="523302EC"/>
    <w:rsid w:val="524547A9"/>
    <w:rsid w:val="525613B6"/>
    <w:rsid w:val="52741FD4"/>
    <w:rsid w:val="52B43B6C"/>
    <w:rsid w:val="53C00335"/>
    <w:rsid w:val="54ED444E"/>
    <w:rsid w:val="552D3719"/>
    <w:rsid w:val="55961CE5"/>
    <w:rsid w:val="56B72E79"/>
    <w:rsid w:val="5730129E"/>
    <w:rsid w:val="57DF67F9"/>
    <w:rsid w:val="582C415B"/>
    <w:rsid w:val="585039A6"/>
    <w:rsid w:val="587924A9"/>
    <w:rsid w:val="58F702C5"/>
    <w:rsid w:val="58FD5F53"/>
    <w:rsid w:val="5919648E"/>
    <w:rsid w:val="59883613"/>
    <w:rsid w:val="59D74F82"/>
    <w:rsid w:val="5A1155C2"/>
    <w:rsid w:val="5A807902"/>
    <w:rsid w:val="5B044F1C"/>
    <w:rsid w:val="5B235531"/>
    <w:rsid w:val="5BB300C0"/>
    <w:rsid w:val="5C1E200D"/>
    <w:rsid w:val="5C3F2F33"/>
    <w:rsid w:val="5C7E30BB"/>
    <w:rsid w:val="5C7E5810"/>
    <w:rsid w:val="5CA54D24"/>
    <w:rsid w:val="5CD87317"/>
    <w:rsid w:val="5CE70651"/>
    <w:rsid w:val="5D5B41FF"/>
    <w:rsid w:val="5D7F0889"/>
    <w:rsid w:val="5D944335"/>
    <w:rsid w:val="5DB51D1E"/>
    <w:rsid w:val="5DBF01BE"/>
    <w:rsid w:val="5DD010E5"/>
    <w:rsid w:val="5DEE5043"/>
    <w:rsid w:val="5E117222"/>
    <w:rsid w:val="5E4775F9"/>
    <w:rsid w:val="5E5674C7"/>
    <w:rsid w:val="5EA17159"/>
    <w:rsid w:val="5EEB267A"/>
    <w:rsid w:val="5F24793A"/>
    <w:rsid w:val="5F8748DA"/>
    <w:rsid w:val="5FBF1411"/>
    <w:rsid w:val="5FDE1234"/>
    <w:rsid w:val="60C21E5F"/>
    <w:rsid w:val="6171498D"/>
    <w:rsid w:val="61AC3A51"/>
    <w:rsid w:val="61E6537B"/>
    <w:rsid w:val="621E2D67"/>
    <w:rsid w:val="62AA45FB"/>
    <w:rsid w:val="63604C33"/>
    <w:rsid w:val="63653CAD"/>
    <w:rsid w:val="637A5CCC"/>
    <w:rsid w:val="63F7532D"/>
    <w:rsid w:val="643407A7"/>
    <w:rsid w:val="647B1A55"/>
    <w:rsid w:val="64DB0A9B"/>
    <w:rsid w:val="65530F79"/>
    <w:rsid w:val="65561E5B"/>
    <w:rsid w:val="6573295C"/>
    <w:rsid w:val="6582360D"/>
    <w:rsid w:val="65931DA1"/>
    <w:rsid w:val="65B5026D"/>
    <w:rsid w:val="65C14135"/>
    <w:rsid w:val="65D17642"/>
    <w:rsid w:val="661701F9"/>
    <w:rsid w:val="66292968"/>
    <w:rsid w:val="667761EE"/>
    <w:rsid w:val="669D6869"/>
    <w:rsid w:val="66EB7B2A"/>
    <w:rsid w:val="67201A8D"/>
    <w:rsid w:val="673E0C66"/>
    <w:rsid w:val="675170DC"/>
    <w:rsid w:val="675F33B7"/>
    <w:rsid w:val="67A71109"/>
    <w:rsid w:val="68103152"/>
    <w:rsid w:val="68A25790"/>
    <w:rsid w:val="69643755"/>
    <w:rsid w:val="69DC26B1"/>
    <w:rsid w:val="6A184540"/>
    <w:rsid w:val="6A2151A2"/>
    <w:rsid w:val="6A575068"/>
    <w:rsid w:val="6A8F490E"/>
    <w:rsid w:val="6AF74490"/>
    <w:rsid w:val="6B144E28"/>
    <w:rsid w:val="6B6431C6"/>
    <w:rsid w:val="6BFC46B2"/>
    <w:rsid w:val="6C6D4A58"/>
    <w:rsid w:val="6D154D66"/>
    <w:rsid w:val="6D905053"/>
    <w:rsid w:val="6DD469CF"/>
    <w:rsid w:val="6E542593"/>
    <w:rsid w:val="6E573888"/>
    <w:rsid w:val="6ECD3B4B"/>
    <w:rsid w:val="6ED8429D"/>
    <w:rsid w:val="6EED5F9B"/>
    <w:rsid w:val="6F190B3E"/>
    <w:rsid w:val="6F556684"/>
    <w:rsid w:val="6F9E54E7"/>
    <w:rsid w:val="70134ABB"/>
    <w:rsid w:val="70377E36"/>
    <w:rsid w:val="70A703CB"/>
    <w:rsid w:val="70B3479D"/>
    <w:rsid w:val="70B56D97"/>
    <w:rsid w:val="70F75741"/>
    <w:rsid w:val="712029B9"/>
    <w:rsid w:val="715A71EC"/>
    <w:rsid w:val="715E6CDC"/>
    <w:rsid w:val="7174432C"/>
    <w:rsid w:val="728C5ACB"/>
    <w:rsid w:val="7298621E"/>
    <w:rsid w:val="72B76A57"/>
    <w:rsid w:val="73267CCD"/>
    <w:rsid w:val="73565C82"/>
    <w:rsid w:val="737547B1"/>
    <w:rsid w:val="73D9089C"/>
    <w:rsid w:val="73F84F0E"/>
    <w:rsid w:val="745B5217"/>
    <w:rsid w:val="747B2D8F"/>
    <w:rsid w:val="74AE3AD6"/>
    <w:rsid w:val="74C01E69"/>
    <w:rsid w:val="74D067FF"/>
    <w:rsid w:val="74D64461"/>
    <w:rsid w:val="74F05C86"/>
    <w:rsid w:val="755C628B"/>
    <w:rsid w:val="755E58D5"/>
    <w:rsid w:val="755F74C6"/>
    <w:rsid w:val="75995B4F"/>
    <w:rsid w:val="76036494"/>
    <w:rsid w:val="761360D7"/>
    <w:rsid w:val="762625CB"/>
    <w:rsid w:val="76312C11"/>
    <w:rsid w:val="76375D4D"/>
    <w:rsid w:val="76746FA2"/>
    <w:rsid w:val="76992E80"/>
    <w:rsid w:val="76A258BD"/>
    <w:rsid w:val="76DE455C"/>
    <w:rsid w:val="77D00208"/>
    <w:rsid w:val="77D5581E"/>
    <w:rsid w:val="77D9530E"/>
    <w:rsid w:val="77F03ED5"/>
    <w:rsid w:val="78A44248"/>
    <w:rsid w:val="78C935D5"/>
    <w:rsid w:val="78C95383"/>
    <w:rsid w:val="794E57F6"/>
    <w:rsid w:val="79972073"/>
    <w:rsid w:val="79BE0C60"/>
    <w:rsid w:val="79BF70EF"/>
    <w:rsid w:val="7A195E96"/>
    <w:rsid w:val="7A3E58FC"/>
    <w:rsid w:val="7A434CC1"/>
    <w:rsid w:val="7A9A058E"/>
    <w:rsid w:val="7AB6266E"/>
    <w:rsid w:val="7ADB139D"/>
    <w:rsid w:val="7B68601A"/>
    <w:rsid w:val="7B713AB0"/>
    <w:rsid w:val="7BAB3527"/>
    <w:rsid w:val="7BE349AD"/>
    <w:rsid w:val="7C38637B"/>
    <w:rsid w:val="7C4C159F"/>
    <w:rsid w:val="7C857813"/>
    <w:rsid w:val="7CC935D6"/>
    <w:rsid w:val="7D70372F"/>
    <w:rsid w:val="7DE25B31"/>
    <w:rsid w:val="7E0B1F99"/>
    <w:rsid w:val="7E1F77F3"/>
    <w:rsid w:val="7E9D2BEE"/>
    <w:rsid w:val="7F361298"/>
    <w:rsid w:val="7F4E65E2"/>
    <w:rsid w:val="7F7D6EC7"/>
    <w:rsid w:val="7FA513FD"/>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5"/>
    <w:qFormat/>
    <w:uiPriority w:val="0"/>
    <w:pPr>
      <w:keepNext/>
      <w:numPr>
        <w:ilvl w:val="0"/>
        <w:numId w:val="1"/>
      </w:numPr>
      <w:jc w:val="center"/>
      <w:outlineLvl w:val="0"/>
    </w:pPr>
    <w:rPr>
      <w:rFonts w:eastAsia="黑体"/>
      <w:b/>
      <w:sz w:val="32"/>
      <w:szCs w:val="20"/>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b/>
      <w:bCs/>
      <w:szCs w:val="24"/>
    </w:rPr>
  </w:style>
  <w:style w:type="paragraph" w:styleId="3">
    <w:name w:val="Body Text"/>
    <w:basedOn w:val="1"/>
    <w:next w:val="2"/>
    <w:qFormat/>
    <w:uiPriority w:val="0"/>
    <w:pPr>
      <w:spacing w:after="120" w:afterLines="0"/>
    </w:pPr>
  </w:style>
  <w:style w:type="paragraph" w:styleId="4">
    <w:name w:val="toc 6"/>
    <w:basedOn w:val="1"/>
    <w:next w:val="1"/>
    <w:qFormat/>
    <w:uiPriority w:val="0"/>
    <w:pPr>
      <w:ind w:left="2100" w:leftChars="1000"/>
    </w:pPr>
    <w:rPr>
      <w:rFonts w:ascii="Calibri" w:hAnsi="Calibri"/>
      <w:szCs w:val="22"/>
    </w:rPr>
  </w:style>
  <w:style w:type="paragraph" w:styleId="8">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9">
    <w:name w:val="annotation text"/>
    <w:basedOn w:val="1"/>
    <w:qFormat/>
    <w:uiPriority w:val="0"/>
    <w:pPr>
      <w:jc w:val="left"/>
    </w:pPr>
  </w:style>
  <w:style w:type="paragraph" w:styleId="10">
    <w:name w:val="Body Text Indent"/>
    <w:basedOn w:val="1"/>
    <w:qFormat/>
    <w:uiPriority w:val="0"/>
    <w:pPr>
      <w:ind w:left="480" w:hanging="480" w:hangingChars="200"/>
    </w:pPr>
    <w:rPr>
      <w:sz w:val="24"/>
    </w:rPr>
  </w:style>
  <w:style w:type="paragraph" w:styleId="11">
    <w:name w:val="Block Text"/>
    <w:basedOn w:val="1"/>
    <w:qFormat/>
    <w:uiPriority w:val="0"/>
    <w:pPr>
      <w:spacing w:line="520" w:lineRule="exact"/>
      <w:ind w:left="540" w:leftChars="257" w:right="-514"/>
    </w:pPr>
    <w:rPr>
      <w:rFonts w:ascii="宋体" w:hAnsi="宋体"/>
      <w:sz w:val="24"/>
    </w:rPr>
  </w:style>
  <w:style w:type="paragraph" w:styleId="12">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3">
    <w:name w:val="Date"/>
    <w:basedOn w:val="1"/>
    <w:next w:val="1"/>
    <w:qFormat/>
    <w:uiPriority w:val="0"/>
    <w:pPr>
      <w:ind w:left="100" w:leftChars="2500"/>
    </w:pPr>
  </w:style>
  <w:style w:type="paragraph" w:styleId="14">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5">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6">
    <w:name w:val="toc 1"/>
    <w:basedOn w:val="1"/>
    <w:next w:val="1"/>
    <w:unhideWhenUsed/>
    <w:qFormat/>
    <w:uiPriority w:val="39"/>
  </w:style>
  <w:style w:type="paragraph" w:styleId="17">
    <w:name w:val="toc 2"/>
    <w:basedOn w:val="1"/>
    <w:next w:val="1"/>
    <w:qFormat/>
    <w:uiPriority w:val="0"/>
    <w:pPr>
      <w:ind w:left="200" w:leftChars="200"/>
    </w:p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10"/>
    <w:qFormat/>
    <w:uiPriority w:val="0"/>
    <w:pPr>
      <w:spacing w:after="120"/>
      <w:ind w:left="420" w:leftChars="200" w:firstLine="420"/>
    </w:pPr>
    <w:rPr>
      <w:rFonts w:cs="宋体"/>
      <w:sz w:val="21"/>
      <w:szCs w:val="21"/>
    </w:rPr>
  </w:style>
  <w:style w:type="table" w:styleId="21">
    <w:name w:val="Table Grid"/>
    <w:basedOn w:val="20"/>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标题 1 字符"/>
    <w:link w:val="5"/>
    <w:qFormat/>
    <w:uiPriority w:val="0"/>
    <w:rPr>
      <w:rFonts w:eastAsia="黑体"/>
      <w:b/>
      <w:sz w:val="32"/>
      <w:szCs w:val="20"/>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保留正文"/>
    <w:basedOn w:val="3"/>
    <w:qFormat/>
    <w:uiPriority w:val="0"/>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paragraph" w:customStyle="1" w:styleId="30">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_Style 101"/>
    <w:basedOn w:val="10"/>
    <w:next w:val="19"/>
    <w:autoRedefine/>
    <w:qFormat/>
    <w:uiPriority w:val="0"/>
    <w:pPr>
      <w:ind w:firstLine="420" w:firstLineChars="200"/>
    </w:pPr>
  </w:style>
  <w:style w:type="character" w:customStyle="1" w:styleId="33">
    <w:name w:val="font11"/>
    <w:basedOn w:val="22"/>
    <w:qFormat/>
    <w:uiPriority w:val="0"/>
    <w:rPr>
      <w:rFonts w:hint="eastAsia" w:ascii="宋体" w:hAnsi="宋体" w:eastAsia="宋体" w:cs="宋体"/>
      <w:b/>
      <w:bCs/>
      <w:color w:val="000000"/>
      <w:sz w:val="24"/>
      <w:szCs w:val="24"/>
      <w:u w:val="none"/>
    </w:rPr>
  </w:style>
  <w:style w:type="character" w:customStyle="1" w:styleId="34">
    <w:name w:val="font81"/>
    <w:basedOn w:val="22"/>
    <w:qFormat/>
    <w:uiPriority w:val="0"/>
    <w:rPr>
      <w:rFonts w:hint="eastAsia" w:ascii="宋体" w:hAnsi="宋体" w:eastAsia="宋体" w:cs="宋体"/>
      <w:color w:val="000000"/>
      <w:sz w:val="22"/>
      <w:szCs w:val="22"/>
      <w:u w:val="none"/>
      <w:vertAlign w:val="subscript"/>
    </w:rPr>
  </w:style>
  <w:style w:type="character" w:customStyle="1" w:styleId="35">
    <w:name w:val="font91"/>
    <w:basedOn w:val="22"/>
    <w:qFormat/>
    <w:uiPriority w:val="0"/>
    <w:rPr>
      <w:rFonts w:hint="eastAsia" w:ascii="宋体" w:hAnsi="宋体" w:eastAsia="宋体" w:cs="宋体"/>
      <w:color w:val="000000"/>
      <w:sz w:val="22"/>
      <w:szCs w:val="22"/>
      <w:u w:val="none"/>
      <w:vertAlign w:val="superscript"/>
    </w:rPr>
  </w:style>
  <w:style w:type="character" w:customStyle="1" w:styleId="36">
    <w:name w:val="font61"/>
    <w:basedOn w:val="22"/>
    <w:qFormat/>
    <w:uiPriority w:val="0"/>
    <w:rPr>
      <w:rFonts w:hint="eastAsia" w:ascii="宋体" w:hAnsi="宋体" w:eastAsia="宋体" w:cs="宋体"/>
      <w:i/>
      <w:iCs/>
      <w:color w:val="000000"/>
      <w:sz w:val="22"/>
      <w:szCs w:val="22"/>
      <w:u w:val="none"/>
    </w:rPr>
  </w:style>
  <w:style w:type="character" w:customStyle="1" w:styleId="37">
    <w:name w:val="font101"/>
    <w:basedOn w:val="22"/>
    <w:qFormat/>
    <w:uiPriority w:val="0"/>
    <w:rPr>
      <w:rFonts w:hint="eastAsia" w:ascii="宋体" w:hAnsi="宋体" w:eastAsia="宋体" w:cs="宋体"/>
      <w:color w:val="000000"/>
      <w:sz w:val="22"/>
      <w:szCs w:val="22"/>
      <w:u w:val="none"/>
      <w:vertAlign w:val="subscript"/>
    </w:rPr>
  </w:style>
  <w:style w:type="character" w:customStyle="1" w:styleId="38">
    <w:name w:val="font111"/>
    <w:basedOn w:val="22"/>
    <w:qFormat/>
    <w:uiPriority w:val="0"/>
    <w:rPr>
      <w:rFonts w:hint="default" w:ascii="Times New Roman" w:hAnsi="Times New Roman" w:cs="Times New Roman"/>
      <w:color w:val="000000"/>
      <w:sz w:val="30"/>
      <w:szCs w:val="30"/>
      <w:u w:val="none"/>
      <w:vertAlign w:val="subscript"/>
    </w:rPr>
  </w:style>
  <w:style w:type="character" w:customStyle="1" w:styleId="39">
    <w:name w:val="font122"/>
    <w:basedOn w:val="22"/>
    <w:qFormat/>
    <w:uiPriority w:val="0"/>
    <w:rPr>
      <w:rFonts w:hint="default" w:ascii="Times New Roman" w:hAnsi="Times New Roman" w:cs="Times New Roman"/>
      <w:color w:val="000000"/>
      <w:sz w:val="24"/>
      <w:szCs w:val="24"/>
      <w:u w:val="none"/>
    </w:rPr>
  </w:style>
  <w:style w:type="paragraph" w:customStyle="1" w:styleId="40">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3430</Words>
  <Characters>4628</Characters>
  <Lines>0</Lines>
  <Paragraphs>0</Paragraphs>
  <TotalTime>20</TotalTime>
  <ScaleCrop>false</ScaleCrop>
  <LinksUpToDate>false</LinksUpToDate>
  <CharactersWithSpaces>4862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王孝敏</cp:lastModifiedBy>
  <dcterms:modified xsi:type="dcterms:W3CDTF">2025-12-12T01:18:17Z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eyJoZGlkIjoiZjJlYTdlODVmOTJjYzM1ODE0M2M0ODc1YmU0ZTIyOWUiLCJ1c2VySWQiOiIxNjYyNTUwOTAwIn0=</vt:lpwstr>
  </property>
</Properties>
</file>