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E7317D">
      <w:pPr>
        <w:rPr>
          <w:color w:val="auto"/>
          <w:highlight w:val="none"/>
        </w:rPr>
      </w:pPr>
      <w:r>
        <w:rPr>
          <w:color w:val="auto"/>
          <w:highlight w:val="none"/>
        </w:rPr>
        <w:tab/>
      </w:r>
    </w:p>
    <w:p w14:paraId="41710BBF">
      <w:pPr>
        <w:pStyle w:val="18"/>
        <w:rPr>
          <w:color w:val="auto"/>
          <w:highlight w:val="none"/>
        </w:rPr>
      </w:pPr>
    </w:p>
    <w:p w14:paraId="4A5B5709">
      <w:pPr>
        <w:jc w:val="center"/>
        <w:rPr>
          <w:rFonts w:ascii="宋体" w:hAnsi="宋体"/>
          <w:b/>
          <w:bCs/>
          <w:color w:val="auto"/>
          <w:spacing w:val="20"/>
          <w:sz w:val="84"/>
          <w:szCs w:val="84"/>
          <w:highlight w:val="none"/>
        </w:rPr>
      </w:pPr>
      <w:r>
        <w:rPr>
          <w:rFonts w:hint="eastAsia" w:ascii="宋体" w:hAnsi="宋体"/>
          <w:b/>
          <w:bCs/>
          <w:color w:val="auto"/>
          <w:spacing w:val="20"/>
          <w:sz w:val="84"/>
          <w:szCs w:val="84"/>
          <w:highlight w:val="none"/>
        </w:rPr>
        <w:t>温州市第七人民医院</w:t>
      </w:r>
    </w:p>
    <w:p w14:paraId="245B98D3">
      <w:pPr>
        <w:jc w:val="center"/>
        <w:rPr>
          <w:rFonts w:ascii="宋体" w:hAnsi="宋体" w:cs="宋体"/>
          <w:b/>
          <w:bCs/>
          <w:color w:val="auto"/>
          <w:spacing w:val="26"/>
          <w:sz w:val="52"/>
          <w:highlight w:val="none"/>
        </w:rPr>
      </w:pPr>
    </w:p>
    <w:p w14:paraId="1FDFC508">
      <w:pPr>
        <w:ind w:firstLine="2357" w:firstLineChars="235"/>
        <w:rPr>
          <w:rFonts w:ascii="宋体" w:hAnsi="宋体" w:cs="宋体"/>
          <w:b/>
          <w:bCs/>
          <w:color w:val="auto"/>
          <w:spacing w:val="140"/>
          <w:sz w:val="72"/>
          <w:highlight w:val="none"/>
        </w:rPr>
      </w:pPr>
    </w:p>
    <w:p w14:paraId="3140ED91">
      <w:pPr>
        <w:spacing w:line="360" w:lineRule="exact"/>
        <w:jc w:val="center"/>
        <w:rPr>
          <w:rFonts w:ascii="宋体" w:hAnsi="宋体" w:cs="宋体"/>
          <w:b/>
          <w:bCs/>
          <w:color w:val="auto"/>
          <w:spacing w:val="140"/>
          <w:sz w:val="72"/>
          <w:highlight w:val="none"/>
        </w:rPr>
      </w:pPr>
    </w:p>
    <w:p w14:paraId="21A5FFBE">
      <w:pPr>
        <w:spacing w:line="900" w:lineRule="exact"/>
        <w:jc w:val="center"/>
        <w:rPr>
          <w:rFonts w:ascii="宋体" w:hAnsi="宋体" w:cs="宋体"/>
          <w:b/>
          <w:bCs/>
          <w:color w:val="auto"/>
          <w:spacing w:val="140"/>
          <w:sz w:val="84"/>
          <w:szCs w:val="84"/>
          <w:highlight w:val="none"/>
        </w:rPr>
      </w:pPr>
      <w:r>
        <w:rPr>
          <w:rFonts w:hint="eastAsia" w:ascii="宋体" w:hAnsi="宋体" w:cs="宋体"/>
          <w:b/>
          <w:bCs/>
          <w:color w:val="auto"/>
          <w:spacing w:val="140"/>
          <w:sz w:val="84"/>
          <w:szCs w:val="84"/>
          <w:highlight w:val="none"/>
        </w:rPr>
        <w:t>招 标 文 件</w:t>
      </w:r>
    </w:p>
    <w:p w14:paraId="2C8DCA0C">
      <w:pPr>
        <w:pStyle w:val="18"/>
        <w:jc w:val="center"/>
        <w:rPr>
          <w:color w:val="auto"/>
          <w:highlight w:val="none"/>
        </w:rPr>
      </w:pPr>
      <w:r>
        <w:rPr>
          <w:rFonts w:hint="eastAsia" w:ascii="宋体" w:hAnsi="宋体" w:cs="宋体"/>
          <w:b/>
          <w:bCs/>
          <w:color w:val="auto"/>
          <w:spacing w:val="140"/>
          <w:sz w:val="84"/>
          <w:szCs w:val="84"/>
          <w:highlight w:val="none"/>
        </w:rPr>
        <w:t>（电子投标）</w:t>
      </w:r>
    </w:p>
    <w:p w14:paraId="2DA8A025">
      <w:pPr>
        <w:spacing w:line="400" w:lineRule="exact"/>
        <w:jc w:val="center"/>
        <w:rPr>
          <w:rFonts w:ascii="宋体" w:hAnsi="宋体" w:cs="宋体"/>
          <w:b/>
          <w:bCs/>
          <w:color w:val="auto"/>
          <w:sz w:val="32"/>
          <w:szCs w:val="32"/>
          <w:highlight w:val="none"/>
        </w:rPr>
      </w:pPr>
    </w:p>
    <w:p w14:paraId="1FEB9E6C">
      <w:pPr>
        <w:spacing w:line="400" w:lineRule="exact"/>
        <w:jc w:val="center"/>
        <w:rPr>
          <w:rFonts w:ascii="宋体" w:hAnsi="宋体" w:cs="宋体"/>
          <w:b/>
          <w:bCs/>
          <w:color w:val="auto"/>
          <w:sz w:val="32"/>
          <w:szCs w:val="32"/>
          <w:highlight w:val="none"/>
        </w:rPr>
      </w:pPr>
    </w:p>
    <w:p w14:paraId="55CFC7D4">
      <w:pPr>
        <w:rPr>
          <w:rFonts w:ascii="宋体" w:hAnsi="宋体" w:cs="宋体"/>
          <w:b/>
          <w:bCs/>
          <w:color w:val="auto"/>
          <w:sz w:val="24"/>
          <w:highlight w:val="none"/>
        </w:rPr>
      </w:pPr>
    </w:p>
    <w:p w14:paraId="23070AD6">
      <w:pPr>
        <w:rPr>
          <w:rFonts w:ascii="宋体" w:hAnsi="宋体" w:cs="宋体"/>
          <w:b/>
          <w:bCs/>
          <w:color w:val="auto"/>
          <w:sz w:val="24"/>
          <w:highlight w:val="none"/>
        </w:rPr>
      </w:pPr>
    </w:p>
    <w:p w14:paraId="1DBA919D">
      <w:pPr>
        <w:pStyle w:val="18"/>
        <w:rPr>
          <w:color w:val="auto"/>
          <w:highlight w:val="none"/>
        </w:rPr>
      </w:pPr>
    </w:p>
    <w:p w14:paraId="79CC6188">
      <w:pPr>
        <w:spacing w:line="600" w:lineRule="exact"/>
        <w:ind w:leftChars="800"/>
        <w:rPr>
          <w:rFonts w:hint="eastAsia" w:ascii="宋体" w:hAnsi="宋体" w:eastAsia="宋体" w:cs="宋体"/>
          <w:color w:val="auto"/>
          <w:spacing w:val="30"/>
          <w:sz w:val="30"/>
          <w:highlight w:val="none"/>
          <w:lang w:eastAsia="zh-CN"/>
        </w:rPr>
      </w:pPr>
      <w:bookmarkStart w:id="0" w:name="_Toc230773770"/>
      <w:r>
        <w:rPr>
          <w:rFonts w:hint="eastAsia" w:ascii="宋体" w:hAnsi="宋体" w:cs="宋体"/>
          <w:color w:val="auto"/>
          <w:spacing w:val="30"/>
          <w:sz w:val="30"/>
          <w:highlight w:val="none"/>
        </w:rPr>
        <w:t>项 目 编 号：</w:t>
      </w:r>
      <w:r>
        <w:rPr>
          <w:rFonts w:hint="eastAsia" w:ascii="宋体" w:hAnsi="宋体" w:cs="宋体"/>
          <w:color w:val="auto"/>
          <w:spacing w:val="30"/>
          <w:sz w:val="30"/>
          <w:highlight w:val="none"/>
          <w:lang w:eastAsia="zh-CN"/>
        </w:rPr>
        <w:t>WZZF2026(FZC)-04-081（GK）</w:t>
      </w:r>
    </w:p>
    <w:p w14:paraId="66ADEC15">
      <w:pPr>
        <w:spacing w:line="600" w:lineRule="exact"/>
        <w:ind w:leftChars="800"/>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rPr>
        <w:t>项 目 名 称：</w:t>
      </w:r>
      <w:r>
        <w:rPr>
          <w:rFonts w:hint="eastAsia" w:ascii="宋体" w:hAnsi="宋体" w:cs="宋体"/>
          <w:color w:val="auto"/>
          <w:sz w:val="30"/>
          <w:highlight w:val="none"/>
          <w:lang w:eastAsia="zh-CN"/>
        </w:rPr>
        <w:t>2026年绿化养护采购</w:t>
      </w:r>
    </w:p>
    <w:p w14:paraId="7229BB6B">
      <w:pPr>
        <w:spacing w:line="600" w:lineRule="exact"/>
        <w:ind w:leftChars="800"/>
        <w:rPr>
          <w:rFonts w:ascii="宋体" w:hAnsi="宋体" w:cs="宋体"/>
          <w:color w:val="auto"/>
          <w:spacing w:val="40"/>
          <w:sz w:val="30"/>
          <w:highlight w:val="none"/>
        </w:rPr>
      </w:pPr>
      <w:r>
        <w:rPr>
          <w:rFonts w:hint="eastAsia" w:ascii="宋体" w:hAnsi="宋体" w:cs="宋体"/>
          <w:color w:val="auto"/>
          <w:spacing w:val="30"/>
          <w:sz w:val="30"/>
          <w:highlight w:val="none"/>
        </w:rPr>
        <w:t>采 购 方 式：</w:t>
      </w:r>
      <w:r>
        <w:rPr>
          <w:rFonts w:hint="eastAsia" w:ascii="宋体" w:hAnsi="宋体" w:cs="宋体"/>
          <w:color w:val="auto"/>
          <w:sz w:val="30"/>
          <w:highlight w:val="none"/>
        </w:rPr>
        <w:t>公开招标</w:t>
      </w:r>
    </w:p>
    <w:p w14:paraId="00A6E20C">
      <w:pPr>
        <w:spacing w:line="600" w:lineRule="exact"/>
        <w:ind w:firstLine="1140" w:firstLineChars="300"/>
        <w:rPr>
          <w:rFonts w:ascii="宋体" w:hAnsi="宋体" w:cs="宋体"/>
          <w:color w:val="auto"/>
          <w:spacing w:val="40"/>
          <w:sz w:val="30"/>
          <w:highlight w:val="none"/>
        </w:rPr>
      </w:pPr>
    </w:p>
    <w:p w14:paraId="7A460644">
      <w:pPr>
        <w:spacing w:line="600" w:lineRule="exact"/>
        <w:rPr>
          <w:rFonts w:ascii="宋体" w:hAnsi="宋体" w:cs="宋体"/>
          <w:color w:val="auto"/>
          <w:spacing w:val="40"/>
          <w:sz w:val="30"/>
          <w:highlight w:val="none"/>
        </w:rPr>
      </w:pPr>
    </w:p>
    <w:p w14:paraId="35C8CC9D">
      <w:pPr>
        <w:spacing w:line="600" w:lineRule="exact"/>
        <w:rPr>
          <w:rFonts w:ascii="宋体" w:hAnsi="宋体" w:cs="宋体"/>
          <w:color w:val="auto"/>
          <w:spacing w:val="40"/>
          <w:sz w:val="30"/>
          <w:highlight w:val="none"/>
        </w:rPr>
      </w:pPr>
    </w:p>
    <w:p w14:paraId="7B8B702D">
      <w:pPr>
        <w:pStyle w:val="54"/>
        <w:rPr>
          <w:color w:val="auto"/>
          <w:highlight w:val="none"/>
        </w:rPr>
      </w:pPr>
    </w:p>
    <w:p w14:paraId="1CB2C9F4">
      <w:pPr>
        <w:pStyle w:val="18"/>
        <w:rPr>
          <w:color w:val="auto"/>
          <w:highlight w:val="none"/>
        </w:rPr>
      </w:pPr>
    </w:p>
    <w:p w14:paraId="171C9962">
      <w:pPr>
        <w:spacing w:line="600" w:lineRule="exact"/>
        <w:ind w:firstLine="2711" w:firstLineChars="900"/>
        <w:rPr>
          <w:rFonts w:ascii="宋体" w:hAnsi="宋体" w:cs="宋体"/>
          <w:b/>
          <w:color w:val="auto"/>
          <w:kern w:val="11"/>
          <w:sz w:val="30"/>
          <w:highlight w:val="none"/>
        </w:rPr>
      </w:pPr>
      <w:r>
        <w:rPr>
          <w:rFonts w:hint="eastAsia" w:ascii="宋体" w:hAnsi="宋体" w:cs="宋体"/>
          <w:b/>
          <w:color w:val="auto"/>
          <w:kern w:val="11"/>
          <w:sz w:val="30"/>
          <w:highlight w:val="none"/>
        </w:rPr>
        <w:t>采购人： 温州市第七人民医院</w:t>
      </w:r>
    </w:p>
    <w:p w14:paraId="22D2F6BD">
      <w:pPr>
        <w:spacing w:line="600" w:lineRule="exact"/>
        <w:jc w:val="center"/>
        <w:rPr>
          <w:rFonts w:ascii="宋体" w:hAnsi="宋体" w:cs="宋体"/>
          <w:b/>
          <w:color w:val="auto"/>
          <w:kern w:val="11"/>
          <w:sz w:val="30"/>
          <w:highlight w:val="none"/>
        </w:rPr>
      </w:pPr>
      <w:r>
        <w:rPr>
          <w:rFonts w:hint="eastAsia" w:ascii="宋体" w:hAnsi="宋体" w:cs="宋体"/>
          <w:b/>
          <w:color w:val="auto"/>
          <w:kern w:val="11"/>
          <w:sz w:val="30"/>
          <w:highlight w:val="none"/>
        </w:rPr>
        <w:t>采购代理机构：温州正风招标代理有限公司</w:t>
      </w:r>
    </w:p>
    <w:p w14:paraId="4EA7AAA3">
      <w:pPr>
        <w:rPr>
          <w:rFonts w:ascii="宋体" w:hAnsi="宋体" w:cs="宋体"/>
          <w:b/>
          <w:color w:val="auto"/>
          <w:spacing w:val="40"/>
          <w:sz w:val="28"/>
          <w:highlight w:val="none"/>
        </w:rPr>
      </w:pPr>
    </w:p>
    <w:p w14:paraId="27401F7B">
      <w:pPr>
        <w:ind w:firstLine="3611" w:firstLineChars="1000"/>
        <w:rPr>
          <w:rFonts w:ascii="宋体" w:hAnsi="宋体" w:cs="宋体"/>
          <w:color w:val="auto"/>
          <w:spacing w:val="40"/>
          <w:sz w:val="28"/>
          <w:highlight w:val="none"/>
        </w:rPr>
      </w:pPr>
      <w:r>
        <w:rPr>
          <w:rFonts w:hint="eastAsia" w:ascii="宋体" w:hAnsi="宋体" w:cs="宋体"/>
          <w:b/>
          <w:color w:val="auto"/>
          <w:spacing w:val="40"/>
          <w:sz w:val="28"/>
          <w:highlight w:val="none"/>
        </w:rPr>
        <w:t>二〇二六年</w:t>
      </w:r>
      <w:r>
        <w:rPr>
          <w:rFonts w:hint="eastAsia" w:ascii="宋体" w:hAnsi="宋体" w:cs="宋体"/>
          <w:b/>
          <w:color w:val="auto"/>
          <w:spacing w:val="40"/>
          <w:sz w:val="28"/>
          <w:highlight w:val="none"/>
          <w:lang w:val="en-US" w:eastAsia="zh-CN"/>
        </w:rPr>
        <w:t>五</w:t>
      </w:r>
      <w:r>
        <w:rPr>
          <w:rFonts w:hint="eastAsia" w:ascii="宋体" w:hAnsi="宋体" w:cs="宋体"/>
          <w:b/>
          <w:color w:val="auto"/>
          <w:spacing w:val="40"/>
          <w:sz w:val="28"/>
          <w:highlight w:val="none"/>
        </w:rPr>
        <w:t>月</w:t>
      </w:r>
    </w:p>
    <w:p w14:paraId="156627CC">
      <w:pPr>
        <w:pStyle w:val="2"/>
        <w:spacing w:line="600" w:lineRule="exact"/>
        <w:jc w:val="center"/>
        <w:rPr>
          <w:rFonts w:ascii="黑体" w:hAnsi="黑体" w:eastAsia="黑体"/>
          <w:bCs/>
          <w:color w:val="auto"/>
          <w:sz w:val="36"/>
          <w:szCs w:val="36"/>
          <w:highlight w:val="none"/>
        </w:rPr>
        <w:sectPr>
          <w:footerReference r:id="rId4" w:type="default"/>
          <w:headerReference r:id="rId3" w:type="even"/>
          <w:footerReference r:id="rId5" w:type="even"/>
          <w:pgSz w:w="11906" w:h="16838"/>
          <w:pgMar w:top="1134" w:right="1134" w:bottom="1134" w:left="1134" w:header="851" w:footer="992" w:gutter="0"/>
          <w:cols w:space="720" w:num="1"/>
          <w:docGrid w:linePitch="312" w:charSpace="0"/>
        </w:sectPr>
      </w:pPr>
    </w:p>
    <w:p w14:paraId="7302C71E">
      <w:pPr>
        <w:tabs>
          <w:tab w:val="left" w:pos="840"/>
        </w:tabs>
        <w:spacing w:line="600" w:lineRule="exact"/>
        <w:jc w:val="center"/>
        <w:rPr>
          <w:rFonts w:ascii="黑体" w:hAnsi="黑体" w:eastAsia="黑体"/>
          <w:bCs/>
          <w:color w:val="auto"/>
          <w:sz w:val="36"/>
          <w:szCs w:val="36"/>
          <w:highlight w:val="none"/>
        </w:rPr>
      </w:pPr>
    </w:p>
    <w:p w14:paraId="7A2EDA39">
      <w:pPr>
        <w:pStyle w:val="2"/>
        <w:spacing w:line="600" w:lineRule="exact"/>
        <w:jc w:val="center"/>
        <w:rPr>
          <w:rFonts w:ascii="黑体" w:hAnsi="黑体" w:eastAsia="黑体"/>
          <w:bCs/>
          <w:color w:val="auto"/>
          <w:sz w:val="36"/>
          <w:szCs w:val="36"/>
          <w:highlight w:val="none"/>
        </w:rPr>
      </w:pPr>
      <w:bookmarkStart w:id="1" w:name="_Toc8146"/>
      <w:r>
        <w:rPr>
          <w:rFonts w:hint="eastAsia" w:ascii="黑体" w:hAnsi="黑体" w:eastAsia="黑体"/>
          <w:bCs/>
          <w:color w:val="auto"/>
          <w:sz w:val="36"/>
          <w:szCs w:val="36"/>
          <w:highlight w:val="none"/>
        </w:rPr>
        <w:t>目    录</w:t>
      </w:r>
      <w:bookmarkEnd w:id="0"/>
      <w:bookmarkEnd w:id="1"/>
    </w:p>
    <w:p w14:paraId="0270F332">
      <w:pPr>
        <w:jc w:val="right"/>
        <w:rPr>
          <w:rFonts w:ascii="宋体" w:hAnsi="宋体" w:cs="宋体"/>
          <w:color w:val="auto"/>
          <w:highlight w:val="none"/>
        </w:rPr>
      </w:pPr>
    </w:p>
    <w:p w14:paraId="2189FC8A">
      <w:pPr>
        <w:pStyle w:val="32"/>
        <w:tabs>
          <w:tab w:val="right" w:leader="dot" w:pos="9638"/>
          <w:tab w:val="clear" w:pos="9628"/>
        </w:tabs>
      </w:pPr>
      <w:r>
        <w:rPr>
          <w:rFonts w:hint="eastAsia" w:ascii="宋体" w:hAnsi="宋体" w:cs="宋体"/>
          <w:b/>
          <w:color w:val="auto"/>
          <w:szCs w:val="21"/>
          <w:highlight w:val="none"/>
        </w:rPr>
        <w:fldChar w:fldCharType="begin"/>
      </w:r>
      <w:r>
        <w:rPr>
          <w:rFonts w:hint="eastAsia" w:ascii="宋体" w:hAnsi="宋体" w:cs="宋体"/>
          <w:color w:val="auto"/>
          <w:szCs w:val="21"/>
          <w:highlight w:val="none"/>
        </w:rPr>
        <w:instrText xml:space="preserve"> TOC \o "1-3" \h \z \u </w:instrText>
      </w:r>
      <w:r>
        <w:rPr>
          <w:rFonts w:hint="eastAsia" w:ascii="宋体" w:hAnsi="宋体" w:cs="宋体"/>
          <w:b/>
          <w:color w:val="auto"/>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_Toc8146 </w:instrText>
      </w:r>
      <w:r>
        <w:rPr>
          <w:rFonts w:hint="eastAsia" w:ascii="宋体" w:hAnsi="宋体" w:cs="宋体"/>
          <w:szCs w:val="21"/>
          <w:highlight w:val="none"/>
        </w:rPr>
        <w:fldChar w:fldCharType="separate"/>
      </w:r>
      <w:r>
        <w:rPr>
          <w:rFonts w:hint="eastAsia" w:ascii="黑体" w:hAnsi="黑体" w:eastAsia="黑体"/>
          <w:bCs/>
          <w:szCs w:val="36"/>
          <w:highlight w:val="none"/>
        </w:rPr>
        <w:t>目    录</w:t>
      </w:r>
      <w:r>
        <w:tab/>
      </w:r>
      <w:r>
        <w:fldChar w:fldCharType="begin"/>
      </w:r>
      <w:r>
        <w:instrText xml:space="preserve"> PAGEREF _Toc8146 \h </w:instrText>
      </w:r>
      <w:r>
        <w:fldChar w:fldCharType="separate"/>
      </w:r>
      <w:r>
        <w:t>2</w:t>
      </w:r>
      <w:r>
        <w:fldChar w:fldCharType="end"/>
      </w:r>
      <w:r>
        <w:rPr>
          <w:rFonts w:hint="eastAsia" w:ascii="宋体" w:hAnsi="宋体" w:cs="宋体"/>
          <w:color w:val="auto"/>
          <w:szCs w:val="21"/>
          <w:highlight w:val="none"/>
        </w:rPr>
        <w:fldChar w:fldCharType="end"/>
      </w:r>
    </w:p>
    <w:p w14:paraId="4FB4F84D">
      <w:pPr>
        <w:pStyle w:val="32"/>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_Toc17962 </w:instrText>
      </w:r>
      <w:r>
        <w:rPr>
          <w:rFonts w:hint="eastAsia" w:ascii="宋体" w:hAnsi="宋体" w:cs="宋体"/>
          <w:bCs/>
          <w:caps/>
          <w:szCs w:val="21"/>
          <w:highlight w:val="none"/>
        </w:rPr>
        <w:fldChar w:fldCharType="separate"/>
      </w:r>
      <w:r>
        <w:rPr>
          <w:rFonts w:hint="eastAsia" w:ascii="黑体" w:hAnsi="黑体" w:eastAsia="黑体"/>
          <w:bCs/>
          <w:szCs w:val="36"/>
          <w:highlight w:val="none"/>
        </w:rPr>
        <w:t>第一部分   招标公告</w:t>
      </w:r>
      <w:r>
        <w:tab/>
      </w:r>
      <w:r>
        <w:fldChar w:fldCharType="begin"/>
      </w:r>
      <w:r>
        <w:instrText xml:space="preserve"> PAGEREF _Toc17962 \h </w:instrText>
      </w:r>
      <w:r>
        <w:fldChar w:fldCharType="separate"/>
      </w:r>
      <w:r>
        <w:t>3</w:t>
      </w:r>
      <w:r>
        <w:fldChar w:fldCharType="end"/>
      </w:r>
      <w:r>
        <w:rPr>
          <w:rFonts w:hint="eastAsia" w:ascii="宋体" w:hAnsi="宋体" w:cs="宋体"/>
          <w:bCs/>
          <w:caps/>
          <w:color w:val="auto"/>
          <w:szCs w:val="21"/>
          <w:highlight w:val="none"/>
        </w:rPr>
        <w:fldChar w:fldCharType="end"/>
      </w:r>
    </w:p>
    <w:p w14:paraId="557548AF">
      <w:pPr>
        <w:pStyle w:val="32"/>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_Toc26027 </w:instrText>
      </w:r>
      <w:r>
        <w:rPr>
          <w:rFonts w:hint="eastAsia" w:ascii="宋体" w:hAnsi="宋体" w:cs="宋体"/>
          <w:bCs/>
          <w:caps/>
          <w:szCs w:val="21"/>
          <w:highlight w:val="none"/>
        </w:rPr>
        <w:fldChar w:fldCharType="separate"/>
      </w:r>
      <w:r>
        <w:rPr>
          <w:rFonts w:hint="eastAsia" w:ascii="黑体" w:hAnsi="黑体" w:eastAsia="黑体"/>
          <w:bCs/>
          <w:szCs w:val="36"/>
          <w:highlight w:val="none"/>
        </w:rPr>
        <w:t>第二部分   投标人须知</w:t>
      </w:r>
      <w:r>
        <w:tab/>
      </w:r>
      <w:r>
        <w:fldChar w:fldCharType="begin"/>
      </w:r>
      <w:r>
        <w:instrText xml:space="preserve"> PAGEREF _Toc26027 \h </w:instrText>
      </w:r>
      <w:r>
        <w:fldChar w:fldCharType="separate"/>
      </w:r>
      <w:r>
        <w:t>6</w:t>
      </w:r>
      <w:r>
        <w:fldChar w:fldCharType="end"/>
      </w:r>
      <w:r>
        <w:rPr>
          <w:rFonts w:hint="eastAsia" w:ascii="宋体" w:hAnsi="宋体" w:cs="宋体"/>
          <w:bCs/>
          <w:caps/>
          <w:color w:val="auto"/>
          <w:szCs w:val="21"/>
          <w:highlight w:val="none"/>
        </w:rPr>
        <w:fldChar w:fldCharType="end"/>
      </w:r>
    </w:p>
    <w:p w14:paraId="2D45BC2A">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_Toc4536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投标人须知前附表</w:t>
      </w:r>
      <w:r>
        <w:tab/>
      </w:r>
      <w:r>
        <w:fldChar w:fldCharType="begin"/>
      </w:r>
      <w:r>
        <w:instrText xml:space="preserve"> PAGEREF _Toc4536 \h </w:instrText>
      </w:r>
      <w:r>
        <w:fldChar w:fldCharType="separate"/>
      </w:r>
      <w:r>
        <w:t>6</w:t>
      </w:r>
      <w:r>
        <w:fldChar w:fldCharType="end"/>
      </w:r>
      <w:r>
        <w:rPr>
          <w:rFonts w:hint="eastAsia" w:ascii="宋体" w:hAnsi="宋体" w:cs="宋体"/>
          <w:bCs/>
          <w:caps/>
          <w:color w:val="auto"/>
          <w:szCs w:val="21"/>
          <w:highlight w:val="none"/>
        </w:rPr>
        <w:fldChar w:fldCharType="end"/>
      </w:r>
    </w:p>
    <w:p w14:paraId="0D33B45A">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_Toc26450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一、 说   明</w:t>
      </w:r>
      <w:r>
        <w:tab/>
      </w:r>
      <w:r>
        <w:fldChar w:fldCharType="begin"/>
      </w:r>
      <w:r>
        <w:instrText xml:space="preserve"> PAGEREF _Toc26450 \h </w:instrText>
      </w:r>
      <w:r>
        <w:fldChar w:fldCharType="separate"/>
      </w:r>
      <w:r>
        <w:t>11</w:t>
      </w:r>
      <w:r>
        <w:fldChar w:fldCharType="end"/>
      </w:r>
      <w:r>
        <w:rPr>
          <w:rFonts w:hint="eastAsia" w:ascii="宋体" w:hAnsi="宋体" w:cs="宋体"/>
          <w:bCs/>
          <w:caps/>
          <w:color w:val="auto"/>
          <w:szCs w:val="21"/>
          <w:highlight w:val="none"/>
        </w:rPr>
        <w:fldChar w:fldCharType="end"/>
      </w:r>
    </w:p>
    <w:p w14:paraId="07349A69">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_Toc11506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二、 招标文件</w:t>
      </w:r>
      <w:r>
        <w:tab/>
      </w:r>
      <w:r>
        <w:fldChar w:fldCharType="begin"/>
      </w:r>
      <w:r>
        <w:instrText xml:space="preserve"> PAGEREF _Toc11506 \h </w:instrText>
      </w:r>
      <w:r>
        <w:fldChar w:fldCharType="separate"/>
      </w:r>
      <w:r>
        <w:t>11</w:t>
      </w:r>
      <w:r>
        <w:fldChar w:fldCharType="end"/>
      </w:r>
      <w:r>
        <w:rPr>
          <w:rFonts w:hint="eastAsia" w:ascii="宋体" w:hAnsi="宋体" w:cs="宋体"/>
          <w:bCs/>
          <w:caps/>
          <w:color w:val="auto"/>
          <w:szCs w:val="21"/>
          <w:highlight w:val="none"/>
        </w:rPr>
        <w:fldChar w:fldCharType="end"/>
      </w:r>
    </w:p>
    <w:p w14:paraId="6838D996">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_Toc19899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三、 投标文件的编制</w:t>
      </w:r>
      <w:r>
        <w:tab/>
      </w:r>
      <w:r>
        <w:fldChar w:fldCharType="begin"/>
      </w:r>
      <w:r>
        <w:instrText xml:space="preserve"> PAGEREF _Toc19899 \h </w:instrText>
      </w:r>
      <w:r>
        <w:fldChar w:fldCharType="separate"/>
      </w:r>
      <w:r>
        <w:t>12</w:t>
      </w:r>
      <w:r>
        <w:fldChar w:fldCharType="end"/>
      </w:r>
      <w:r>
        <w:rPr>
          <w:rFonts w:hint="eastAsia" w:ascii="宋体" w:hAnsi="宋体" w:cs="宋体"/>
          <w:bCs/>
          <w:caps/>
          <w:color w:val="auto"/>
          <w:szCs w:val="21"/>
          <w:highlight w:val="none"/>
        </w:rPr>
        <w:fldChar w:fldCharType="end"/>
      </w:r>
    </w:p>
    <w:p w14:paraId="3F174988">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_Toc1936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四、 投标文件的递交</w:t>
      </w:r>
      <w:r>
        <w:tab/>
      </w:r>
      <w:r>
        <w:fldChar w:fldCharType="begin"/>
      </w:r>
      <w:r>
        <w:instrText xml:space="preserve"> PAGEREF _Toc1936 \h </w:instrText>
      </w:r>
      <w:r>
        <w:fldChar w:fldCharType="separate"/>
      </w:r>
      <w:r>
        <w:t>14</w:t>
      </w:r>
      <w:r>
        <w:fldChar w:fldCharType="end"/>
      </w:r>
      <w:r>
        <w:rPr>
          <w:rFonts w:hint="eastAsia" w:ascii="宋体" w:hAnsi="宋体" w:cs="宋体"/>
          <w:bCs/>
          <w:caps/>
          <w:color w:val="auto"/>
          <w:szCs w:val="21"/>
          <w:highlight w:val="none"/>
        </w:rPr>
        <w:fldChar w:fldCharType="end"/>
      </w:r>
    </w:p>
    <w:p w14:paraId="52950EDD">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_Toc29169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五、 开标和评标</w:t>
      </w:r>
      <w:r>
        <w:tab/>
      </w:r>
      <w:r>
        <w:fldChar w:fldCharType="begin"/>
      </w:r>
      <w:r>
        <w:instrText xml:space="preserve"> PAGEREF _Toc29169 \h </w:instrText>
      </w:r>
      <w:r>
        <w:fldChar w:fldCharType="separate"/>
      </w:r>
      <w:r>
        <w:t>15</w:t>
      </w:r>
      <w:r>
        <w:fldChar w:fldCharType="end"/>
      </w:r>
      <w:r>
        <w:rPr>
          <w:rFonts w:hint="eastAsia" w:ascii="宋体" w:hAnsi="宋体" w:cs="宋体"/>
          <w:bCs/>
          <w:caps/>
          <w:color w:val="auto"/>
          <w:szCs w:val="21"/>
          <w:highlight w:val="none"/>
        </w:rPr>
        <w:fldChar w:fldCharType="end"/>
      </w:r>
    </w:p>
    <w:p w14:paraId="6D1F4196">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_Toc26082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六、 中标和合同</w:t>
      </w:r>
      <w:r>
        <w:tab/>
      </w:r>
      <w:r>
        <w:fldChar w:fldCharType="begin"/>
      </w:r>
      <w:r>
        <w:instrText xml:space="preserve"> PAGEREF _Toc26082 \h </w:instrText>
      </w:r>
      <w:r>
        <w:fldChar w:fldCharType="separate"/>
      </w:r>
      <w:r>
        <w:t>18</w:t>
      </w:r>
      <w:r>
        <w:fldChar w:fldCharType="end"/>
      </w:r>
      <w:r>
        <w:rPr>
          <w:rFonts w:hint="eastAsia" w:ascii="宋体" w:hAnsi="宋体" w:cs="宋体"/>
          <w:bCs/>
          <w:caps/>
          <w:color w:val="auto"/>
          <w:szCs w:val="21"/>
          <w:highlight w:val="none"/>
        </w:rPr>
        <w:fldChar w:fldCharType="end"/>
      </w:r>
    </w:p>
    <w:p w14:paraId="3041C3D5">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_Toc16582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七、 可中止电子交易活动的情形</w:t>
      </w:r>
      <w:r>
        <w:tab/>
      </w:r>
      <w:r>
        <w:fldChar w:fldCharType="begin"/>
      </w:r>
      <w:r>
        <w:instrText xml:space="preserve"> PAGEREF _Toc16582 \h </w:instrText>
      </w:r>
      <w:r>
        <w:fldChar w:fldCharType="separate"/>
      </w:r>
      <w:r>
        <w:t>19</w:t>
      </w:r>
      <w:r>
        <w:fldChar w:fldCharType="end"/>
      </w:r>
      <w:r>
        <w:rPr>
          <w:rFonts w:hint="eastAsia" w:ascii="宋体" w:hAnsi="宋体" w:cs="宋体"/>
          <w:bCs/>
          <w:caps/>
          <w:color w:val="auto"/>
          <w:szCs w:val="21"/>
          <w:highlight w:val="none"/>
        </w:rPr>
        <w:fldChar w:fldCharType="end"/>
      </w:r>
    </w:p>
    <w:p w14:paraId="6EEB2FF8">
      <w:pPr>
        <w:pStyle w:val="32"/>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_Toc23591 </w:instrText>
      </w:r>
      <w:r>
        <w:rPr>
          <w:rFonts w:hint="eastAsia" w:ascii="宋体" w:hAnsi="宋体" w:cs="宋体"/>
          <w:bCs/>
          <w:caps/>
          <w:szCs w:val="21"/>
          <w:highlight w:val="none"/>
        </w:rPr>
        <w:fldChar w:fldCharType="separate"/>
      </w:r>
      <w:r>
        <w:rPr>
          <w:rFonts w:hint="eastAsia" w:ascii="黑体" w:hAnsi="黑体" w:eastAsia="黑体"/>
          <w:bCs/>
          <w:szCs w:val="36"/>
          <w:highlight w:val="none"/>
        </w:rPr>
        <w:t xml:space="preserve">第三部分 </w:t>
      </w:r>
      <w:r>
        <w:rPr>
          <w:rFonts w:ascii="黑体" w:hAnsi="黑体" w:eastAsia="黑体"/>
          <w:bCs/>
          <w:szCs w:val="36"/>
          <w:highlight w:val="none"/>
        </w:rPr>
        <w:t xml:space="preserve"> </w:t>
      </w:r>
      <w:r>
        <w:rPr>
          <w:rFonts w:hint="eastAsia" w:ascii="黑体" w:hAnsi="黑体" w:eastAsia="黑体"/>
          <w:szCs w:val="36"/>
          <w:highlight w:val="none"/>
        </w:rPr>
        <w:t>主要合同条款</w:t>
      </w:r>
      <w:r>
        <w:tab/>
      </w:r>
      <w:r>
        <w:fldChar w:fldCharType="begin"/>
      </w:r>
      <w:r>
        <w:instrText xml:space="preserve"> PAGEREF _Toc23591 \h </w:instrText>
      </w:r>
      <w:r>
        <w:fldChar w:fldCharType="separate"/>
      </w:r>
      <w:r>
        <w:t>20</w:t>
      </w:r>
      <w:r>
        <w:fldChar w:fldCharType="end"/>
      </w:r>
      <w:r>
        <w:rPr>
          <w:rFonts w:hint="eastAsia" w:ascii="宋体" w:hAnsi="宋体" w:cs="宋体"/>
          <w:bCs/>
          <w:caps/>
          <w:color w:val="auto"/>
          <w:szCs w:val="21"/>
          <w:highlight w:val="none"/>
        </w:rPr>
        <w:fldChar w:fldCharType="end"/>
      </w:r>
    </w:p>
    <w:p w14:paraId="02E8892F">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_Toc21836 </w:instrText>
      </w:r>
      <w:r>
        <w:rPr>
          <w:rFonts w:hint="eastAsia" w:ascii="宋体" w:hAnsi="宋体" w:cs="宋体"/>
          <w:bCs/>
          <w:caps/>
          <w:szCs w:val="21"/>
          <w:highlight w:val="none"/>
        </w:rPr>
        <w:fldChar w:fldCharType="separate"/>
      </w:r>
      <w:r>
        <w:rPr>
          <w:rFonts w:hint="eastAsia" w:ascii="新宋体" w:hAnsi="新宋体" w:eastAsia="新宋体" w:cs="新宋体"/>
          <w:szCs w:val="22"/>
          <w:highlight w:val="none"/>
        </w:rPr>
        <w:t>医疗卫生机构廉洁购销合同</w:t>
      </w:r>
      <w:r>
        <w:tab/>
      </w:r>
      <w:r>
        <w:fldChar w:fldCharType="begin"/>
      </w:r>
      <w:r>
        <w:instrText xml:space="preserve"> PAGEREF _Toc21836 \h </w:instrText>
      </w:r>
      <w:r>
        <w:fldChar w:fldCharType="separate"/>
      </w:r>
      <w:r>
        <w:t>25</w:t>
      </w:r>
      <w:r>
        <w:fldChar w:fldCharType="end"/>
      </w:r>
      <w:r>
        <w:rPr>
          <w:rFonts w:hint="eastAsia" w:ascii="宋体" w:hAnsi="宋体" w:cs="宋体"/>
          <w:bCs/>
          <w:caps/>
          <w:color w:val="auto"/>
          <w:szCs w:val="21"/>
          <w:highlight w:val="none"/>
        </w:rPr>
        <w:fldChar w:fldCharType="end"/>
      </w:r>
    </w:p>
    <w:p w14:paraId="634A5FA0">
      <w:pPr>
        <w:pStyle w:val="32"/>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_Toc22961 </w:instrText>
      </w:r>
      <w:r>
        <w:rPr>
          <w:rFonts w:hint="eastAsia" w:ascii="宋体" w:hAnsi="宋体" w:cs="宋体"/>
          <w:bCs/>
          <w:caps/>
          <w:szCs w:val="21"/>
          <w:highlight w:val="none"/>
        </w:rPr>
        <w:fldChar w:fldCharType="separate"/>
      </w:r>
      <w:r>
        <w:rPr>
          <w:rFonts w:hint="eastAsia" w:ascii="黑体" w:hAnsi="黑体" w:eastAsia="黑体"/>
          <w:bCs/>
          <w:kern w:val="44"/>
          <w:szCs w:val="36"/>
          <w:highlight w:val="none"/>
        </w:rPr>
        <w:t>第四部分  附   件</w:t>
      </w:r>
      <w:r>
        <w:tab/>
      </w:r>
      <w:r>
        <w:fldChar w:fldCharType="begin"/>
      </w:r>
      <w:r>
        <w:instrText xml:space="preserve"> PAGEREF _Toc22961 \h </w:instrText>
      </w:r>
      <w:r>
        <w:fldChar w:fldCharType="separate"/>
      </w:r>
      <w:r>
        <w:t>26</w:t>
      </w:r>
      <w:r>
        <w:fldChar w:fldCharType="end"/>
      </w:r>
      <w:r>
        <w:rPr>
          <w:rFonts w:hint="eastAsia" w:ascii="宋体" w:hAnsi="宋体" w:cs="宋体"/>
          <w:bCs/>
          <w:caps/>
          <w:color w:val="auto"/>
          <w:szCs w:val="21"/>
          <w:highlight w:val="none"/>
        </w:rPr>
        <w:fldChar w:fldCharType="end"/>
      </w:r>
    </w:p>
    <w:p w14:paraId="64E925DC">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_Toc18416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附件一 投标函</w:t>
      </w:r>
      <w:r>
        <w:tab/>
      </w:r>
      <w:r>
        <w:fldChar w:fldCharType="begin"/>
      </w:r>
      <w:r>
        <w:instrText xml:space="preserve"> PAGEREF _Toc18416 \h </w:instrText>
      </w:r>
      <w:r>
        <w:fldChar w:fldCharType="separate"/>
      </w:r>
      <w:r>
        <w:t>26</w:t>
      </w:r>
      <w:r>
        <w:fldChar w:fldCharType="end"/>
      </w:r>
      <w:r>
        <w:rPr>
          <w:rFonts w:hint="eastAsia" w:ascii="宋体" w:hAnsi="宋体" w:cs="宋体"/>
          <w:bCs/>
          <w:caps/>
          <w:color w:val="auto"/>
          <w:szCs w:val="21"/>
          <w:highlight w:val="none"/>
        </w:rPr>
        <w:fldChar w:fldCharType="end"/>
      </w:r>
    </w:p>
    <w:p w14:paraId="1F3B0FEE">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_Toc27161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附件二 投标报价一览表</w:t>
      </w:r>
      <w:r>
        <w:tab/>
      </w:r>
      <w:r>
        <w:fldChar w:fldCharType="begin"/>
      </w:r>
      <w:r>
        <w:instrText xml:space="preserve"> PAGEREF _Toc27161 \h </w:instrText>
      </w:r>
      <w:r>
        <w:fldChar w:fldCharType="separate"/>
      </w:r>
      <w:r>
        <w:t>27</w:t>
      </w:r>
      <w:r>
        <w:fldChar w:fldCharType="end"/>
      </w:r>
      <w:r>
        <w:rPr>
          <w:rFonts w:hint="eastAsia" w:ascii="宋体" w:hAnsi="宋体" w:cs="宋体"/>
          <w:bCs/>
          <w:caps/>
          <w:color w:val="auto"/>
          <w:szCs w:val="21"/>
          <w:highlight w:val="none"/>
        </w:rPr>
        <w:fldChar w:fldCharType="end"/>
      </w:r>
    </w:p>
    <w:p w14:paraId="1359408E">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_Toc24412 </w:instrText>
      </w:r>
      <w:r>
        <w:rPr>
          <w:rFonts w:hint="eastAsia" w:ascii="宋体" w:hAnsi="宋体" w:cs="宋体"/>
          <w:bCs/>
          <w:caps/>
          <w:szCs w:val="21"/>
          <w:highlight w:val="none"/>
        </w:rPr>
        <w:fldChar w:fldCharType="separate"/>
      </w:r>
      <w:r>
        <w:rPr>
          <w:rFonts w:hint="eastAsia" w:ascii="宋体" w:hAnsi="宋体" w:eastAsia="宋体"/>
          <w:szCs w:val="24"/>
          <w:highlight w:val="none"/>
        </w:rPr>
        <w:t>附件三 投标分项报价表</w:t>
      </w:r>
      <w:r>
        <w:tab/>
      </w:r>
      <w:r>
        <w:fldChar w:fldCharType="begin"/>
      </w:r>
      <w:r>
        <w:instrText xml:space="preserve"> PAGEREF _Toc24412 \h </w:instrText>
      </w:r>
      <w:r>
        <w:fldChar w:fldCharType="separate"/>
      </w:r>
      <w:r>
        <w:t>28</w:t>
      </w:r>
      <w:r>
        <w:fldChar w:fldCharType="end"/>
      </w:r>
      <w:r>
        <w:rPr>
          <w:rFonts w:hint="eastAsia" w:ascii="宋体" w:hAnsi="宋体" w:cs="宋体"/>
          <w:bCs/>
          <w:caps/>
          <w:color w:val="auto"/>
          <w:szCs w:val="21"/>
          <w:highlight w:val="none"/>
        </w:rPr>
        <w:fldChar w:fldCharType="end"/>
      </w:r>
    </w:p>
    <w:p w14:paraId="4F01D376">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_Toc17672 </w:instrText>
      </w:r>
      <w:r>
        <w:rPr>
          <w:rFonts w:hint="eastAsia" w:ascii="宋体" w:hAnsi="宋体" w:cs="宋体"/>
          <w:bCs/>
          <w:caps/>
          <w:szCs w:val="21"/>
          <w:highlight w:val="none"/>
        </w:rPr>
        <w:fldChar w:fldCharType="separate"/>
      </w:r>
      <w:r>
        <w:rPr>
          <w:rFonts w:hint="eastAsia" w:ascii="宋体" w:hAnsi="宋体" w:eastAsia="宋体"/>
          <w:szCs w:val="24"/>
          <w:highlight w:val="none"/>
        </w:rPr>
        <w:t>附件四 资格证明文件</w:t>
      </w:r>
      <w:r>
        <w:tab/>
      </w:r>
      <w:r>
        <w:fldChar w:fldCharType="begin"/>
      </w:r>
      <w:r>
        <w:instrText xml:space="preserve"> PAGEREF _Toc17672 \h </w:instrText>
      </w:r>
      <w:r>
        <w:fldChar w:fldCharType="separate"/>
      </w:r>
      <w:r>
        <w:t>29</w:t>
      </w:r>
      <w:r>
        <w:fldChar w:fldCharType="end"/>
      </w:r>
      <w:r>
        <w:rPr>
          <w:rFonts w:hint="eastAsia" w:ascii="宋体" w:hAnsi="宋体" w:cs="宋体"/>
          <w:bCs/>
          <w:caps/>
          <w:color w:val="auto"/>
          <w:szCs w:val="21"/>
          <w:highlight w:val="none"/>
        </w:rPr>
        <w:fldChar w:fldCharType="end"/>
      </w:r>
    </w:p>
    <w:p w14:paraId="29EC7638">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_Toc31127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附件五 商务条款、技术规格偏离表</w:t>
      </w:r>
      <w:r>
        <w:tab/>
      </w:r>
      <w:r>
        <w:fldChar w:fldCharType="begin"/>
      </w:r>
      <w:r>
        <w:instrText xml:space="preserve"> PAGEREF _Toc31127 \h </w:instrText>
      </w:r>
      <w:r>
        <w:fldChar w:fldCharType="separate"/>
      </w:r>
      <w:r>
        <w:t>34</w:t>
      </w:r>
      <w:r>
        <w:fldChar w:fldCharType="end"/>
      </w:r>
      <w:r>
        <w:rPr>
          <w:rFonts w:hint="eastAsia" w:ascii="宋体" w:hAnsi="宋体" w:cs="宋体"/>
          <w:bCs/>
          <w:caps/>
          <w:color w:val="auto"/>
          <w:szCs w:val="21"/>
          <w:highlight w:val="none"/>
        </w:rPr>
        <w:fldChar w:fldCharType="end"/>
      </w:r>
    </w:p>
    <w:p w14:paraId="663EA070">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_Toc18790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rPr>
        <w:t xml:space="preserve"> 廉政承诺书</w:t>
      </w:r>
      <w:r>
        <w:tab/>
      </w:r>
      <w:r>
        <w:fldChar w:fldCharType="begin"/>
      </w:r>
      <w:r>
        <w:instrText xml:space="preserve"> PAGEREF _Toc18790 \h </w:instrText>
      </w:r>
      <w:r>
        <w:fldChar w:fldCharType="separate"/>
      </w:r>
      <w:r>
        <w:t>35</w:t>
      </w:r>
      <w:r>
        <w:fldChar w:fldCharType="end"/>
      </w:r>
      <w:r>
        <w:rPr>
          <w:rFonts w:hint="eastAsia" w:ascii="宋体" w:hAnsi="宋体" w:cs="宋体"/>
          <w:bCs/>
          <w:caps/>
          <w:color w:val="auto"/>
          <w:szCs w:val="21"/>
          <w:highlight w:val="none"/>
        </w:rPr>
        <w:fldChar w:fldCharType="end"/>
      </w:r>
    </w:p>
    <w:p w14:paraId="4D713595">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_Toc30457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七</w:t>
      </w:r>
      <w:r>
        <w:rPr>
          <w:rFonts w:hint="eastAsia" w:ascii="宋体" w:hAnsi="宋体" w:eastAsia="宋体" w:cs="宋体"/>
          <w:szCs w:val="24"/>
          <w:highlight w:val="none"/>
        </w:rPr>
        <w:t xml:space="preserve"> 投入主要人员情况表</w:t>
      </w:r>
      <w:r>
        <w:tab/>
      </w:r>
      <w:r>
        <w:fldChar w:fldCharType="begin"/>
      </w:r>
      <w:r>
        <w:instrText xml:space="preserve"> PAGEREF _Toc30457 \h </w:instrText>
      </w:r>
      <w:r>
        <w:fldChar w:fldCharType="separate"/>
      </w:r>
      <w:r>
        <w:t>36</w:t>
      </w:r>
      <w:r>
        <w:fldChar w:fldCharType="end"/>
      </w:r>
      <w:r>
        <w:rPr>
          <w:rFonts w:hint="eastAsia" w:ascii="宋体" w:hAnsi="宋体" w:cs="宋体"/>
          <w:bCs/>
          <w:caps/>
          <w:color w:val="auto"/>
          <w:szCs w:val="21"/>
          <w:highlight w:val="none"/>
        </w:rPr>
        <w:fldChar w:fldCharType="end"/>
      </w:r>
    </w:p>
    <w:p w14:paraId="46BF6B80">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_Toc9967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 xml:space="preserve">附件八 </w:t>
      </w:r>
      <w:r>
        <w:rPr>
          <w:rFonts w:hint="eastAsia" w:ascii="宋体" w:hAnsi="宋体" w:eastAsia="宋体"/>
          <w:szCs w:val="24"/>
          <w:highlight w:val="none"/>
        </w:rPr>
        <w:t>承诺投入的设备工具一览表</w:t>
      </w:r>
      <w:r>
        <w:tab/>
      </w:r>
      <w:r>
        <w:fldChar w:fldCharType="begin"/>
      </w:r>
      <w:r>
        <w:instrText xml:space="preserve"> PAGEREF _Toc9967 \h </w:instrText>
      </w:r>
      <w:r>
        <w:fldChar w:fldCharType="separate"/>
      </w:r>
      <w:r>
        <w:t>38</w:t>
      </w:r>
      <w:r>
        <w:fldChar w:fldCharType="end"/>
      </w:r>
      <w:r>
        <w:rPr>
          <w:rFonts w:hint="eastAsia" w:ascii="宋体" w:hAnsi="宋体" w:cs="宋体"/>
          <w:bCs/>
          <w:caps/>
          <w:color w:val="auto"/>
          <w:szCs w:val="21"/>
          <w:highlight w:val="none"/>
        </w:rPr>
        <w:fldChar w:fldCharType="end"/>
      </w:r>
    </w:p>
    <w:p w14:paraId="725A1FF9">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_Toc32238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九</w:t>
      </w:r>
      <w:r>
        <w:rPr>
          <w:rFonts w:hint="eastAsia" w:ascii="宋体" w:hAnsi="宋体" w:eastAsia="宋体" w:cs="宋体"/>
          <w:szCs w:val="24"/>
          <w:highlight w:val="none"/>
        </w:rPr>
        <w:t xml:space="preserve"> 同类项目业绩一览表</w:t>
      </w:r>
      <w:r>
        <w:tab/>
      </w:r>
      <w:r>
        <w:fldChar w:fldCharType="begin"/>
      </w:r>
      <w:r>
        <w:instrText xml:space="preserve"> PAGEREF _Toc32238 \h </w:instrText>
      </w:r>
      <w:r>
        <w:fldChar w:fldCharType="separate"/>
      </w:r>
      <w:r>
        <w:t>40</w:t>
      </w:r>
      <w:r>
        <w:fldChar w:fldCharType="end"/>
      </w:r>
      <w:r>
        <w:rPr>
          <w:rFonts w:hint="eastAsia" w:ascii="宋体" w:hAnsi="宋体" w:cs="宋体"/>
          <w:bCs/>
          <w:caps/>
          <w:color w:val="auto"/>
          <w:szCs w:val="21"/>
          <w:highlight w:val="none"/>
        </w:rPr>
        <w:fldChar w:fldCharType="end"/>
      </w:r>
    </w:p>
    <w:p w14:paraId="4503486B">
      <w:pPr>
        <w:pStyle w:val="34"/>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_Toc20861 </w:instrText>
      </w:r>
      <w:r>
        <w:rPr>
          <w:rFonts w:hint="eastAsia" w:ascii="宋体" w:hAnsi="宋体" w:cs="宋体"/>
          <w:bCs/>
          <w:caps/>
          <w:szCs w:val="21"/>
          <w:highlight w:val="none"/>
        </w:rPr>
        <w:fldChar w:fldCharType="separate"/>
      </w:r>
      <w:r>
        <w:rPr>
          <w:rFonts w:ascii="宋体" w:hAnsi="宋体" w:eastAsia="宋体"/>
          <w:szCs w:val="24"/>
          <w:highlight w:val="none"/>
        </w:rPr>
        <w:t>附件</w:t>
      </w:r>
      <w:r>
        <w:rPr>
          <w:rFonts w:hint="eastAsia" w:ascii="宋体" w:hAnsi="宋体" w:eastAsia="宋体"/>
          <w:szCs w:val="24"/>
          <w:highlight w:val="none"/>
          <w:lang w:val="en-US" w:eastAsia="zh-CN"/>
        </w:rPr>
        <w:t>十</w:t>
      </w:r>
      <w:r>
        <w:rPr>
          <w:rFonts w:hint="eastAsia" w:ascii="宋体" w:hAnsi="宋体" w:eastAsia="宋体"/>
          <w:szCs w:val="24"/>
          <w:highlight w:val="none"/>
        </w:rPr>
        <w:t xml:space="preserve"> 政府采购政策功能相关说明</w:t>
      </w:r>
      <w:r>
        <w:tab/>
      </w:r>
      <w:r>
        <w:fldChar w:fldCharType="begin"/>
      </w:r>
      <w:r>
        <w:instrText xml:space="preserve"> PAGEREF _Toc20861 \h </w:instrText>
      </w:r>
      <w:r>
        <w:fldChar w:fldCharType="separate"/>
      </w:r>
      <w:r>
        <w:t>41</w:t>
      </w:r>
      <w:r>
        <w:fldChar w:fldCharType="end"/>
      </w:r>
      <w:r>
        <w:rPr>
          <w:rFonts w:hint="eastAsia" w:ascii="宋体" w:hAnsi="宋体" w:cs="宋体"/>
          <w:bCs/>
          <w:caps/>
          <w:color w:val="auto"/>
          <w:szCs w:val="21"/>
          <w:highlight w:val="none"/>
        </w:rPr>
        <w:fldChar w:fldCharType="end"/>
      </w:r>
    </w:p>
    <w:p w14:paraId="27656A5C">
      <w:pPr>
        <w:pStyle w:val="32"/>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_Toc26012 </w:instrText>
      </w:r>
      <w:r>
        <w:rPr>
          <w:rFonts w:hint="eastAsia" w:ascii="宋体" w:hAnsi="宋体" w:cs="宋体"/>
          <w:bCs/>
          <w:caps/>
          <w:szCs w:val="21"/>
          <w:highlight w:val="none"/>
        </w:rPr>
        <w:fldChar w:fldCharType="separate"/>
      </w:r>
      <w:r>
        <w:rPr>
          <w:rFonts w:hint="eastAsia" w:ascii="黑体" w:hAnsi="黑体" w:eastAsia="黑体"/>
          <w:bCs/>
          <w:szCs w:val="36"/>
          <w:highlight w:val="none"/>
        </w:rPr>
        <w:t>第五部分  招标内容及要求</w:t>
      </w:r>
      <w:r>
        <w:tab/>
      </w:r>
      <w:r>
        <w:fldChar w:fldCharType="begin"/>
      </w:r>
      <w:r>
        <w:instrText xml:space="preserve"> PAGEREF _Toc26012 \h </w:instrText>
      </w:r>
      <w:r>
        <w:fldChar w:fldCharType="separate"/>
      </w:r>
      <w:r>
        <w:t>44</w:t>
      </w:r>
      <w:r>
        <w:fldChar w:fldCharType="end"/>
      </w:r>
      <w:r>
        <w:rPr>
          <w:rFonts w:hint="eastAsia" w:ascii="宋体" w:hAnsi="宋体" w:cs="宋体"/>
          <w:bCs/>
          <w:caps/>
          <w:color w:val="auto"/>
          <w:szCs w:val="21"/>
          <w:highlight w:val="none"/>
        </w:rPr>
        <w:fldChar w:fldCharType="end"/>
      </w:r>
    </w:p>
    <w:p w14:paraId="1BCFFDF1">
      <w:pPr>
        <w:pStyle w:val="32"/>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_Toc29574 </w:instrText>
      </w:r>
      <w:r>
        <w:rPr>
          <w:rFonts w:hint="eastAsia" w:ascii="宋体" w:hAnsi="宋体" w:cs="宋体"/>
          <w:bCs/>
          <w:caps/>
          <w:szCs w:val="21"/>
          <w:highlight w:val="none"/>
        </w:rPr>
        <w:fldChar w:fldCharType="separate"/>
      </w:r>
      <w:r>
        <w:rPr>
          <w:rFonts w:hint="eastAsia" w:ascii="黑体" w:hAnsi="黑体" w:eastAsia="黑体"/>
          <w:bCs/>
          <w:szCs w:val="36"/>
          <w:highlight w:val="none"/>
        </w:rPr>
        <w:t>第六部分  评标原则及方法</w:t>
      </w:r>
      <w:r>
        <w:tab/>
      </w:r>
      <w:r>
        <w:fldChar w:fldCharType="begin"/>
      </w:r>
      <w:r>
        <w:instrText xml:space="preserve"> PAGEREF _Toc29574 \h </w:instrText>
      </w:r>
      <w:r>
        <w:fldChar w:fldCharType="separate"/>
      </w:r>
      <w:r>
        <w:t>46</w:t>
      </w:r>
      <w:r>
        <w:fldChar w:fldCharType="end"/>
      </w:r>
      <w:r>
        <w:rPr>
          <w:rFonts w:hint="eastAsia" w:ascii="宋体" w:hAnsi="宋体" w:cs="宋体"/>
          <w:bCs/>
          <w:caps/>
          <w:color w:val="auto"/>
          <w:szCs w:val="21"/>
          <w:highlight w:val="none"/>
        </w:rPr>
        <w:fldChar w:fldCharType="end"/>
      </w:r>
    </w:p>
    <w:p w14:paraId="2922400E">
      <w:pPr>
        <w:ind w:right="110"/>
        <w:rPr>
          <w:rFonts w:ascii="宋体" w:hAnsi="宋体" w:cs="宋体"/>
          <w:bCs/>
          <w:caps/>
          <w:color w:val="auto"/>
          <w:szCs w:val="21"/>
          <w:highlight w:val="none"/>
        </w:rPr>
      </w:pPr>
      <w:r>
        <w:rPr>
          <w:rFonts w:hint="eastAsia" w:ascii="宋体" w:hAnsi="宋体" w:cs="宋体"/>
          <w:bCs/>
          <w:caps/>
          <w:color w:val="auto"/>
          <w:szCs w:val="21"/>
          <w:highlight w:val="none"/>
        </w:rPr>
        <w:fldChar w:fldCharType="end"/>
      </w:r>
    </w:p>
    <w:p w14:paraId="19BCB511">
      <w:pPr>
        <w:spacing w:line="360" w:lineRule="exact"/>
        <w:ind w:right="110"/>
        <w:rPr>
          <w:rFonts w:ascii="宋体" w:hAnsi="宋体" w:cs="宋体"/>
          <w:b/>
          <w:color w:val="auto"/>
          <w:sz w:val="22"/>
          <w:szCs w:val="22"/>
          <w:highlight w:val="none"/>
          <w:u w:val="singl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备注：招标文件中带“▲”并加下划线的内容为实质性要求或者条款；带有下划线或深色底纹的内容，为招标文件的着重提醒内容，请投标人审慎阅读。</w:t>
      </w:r>
    </w:p>
    <w:p w14:paraId="63C370B5">
      <w:pPr>
        <w:spacing w:line="360" w:lineRule="exact"/>
        <w:ind w:right="110"/>
        <w:rPr>
          <w:rFonts w:ascii="宋体" w:hAnsi="宋体" w:cs="宋体"/>
          <w:b/>
          <w:color w:val="auto"/>
          <w:sz w:val="22"/>
          <w:szCs w:val="22"/>
          <w:highlight w:val="none"/>
          <w:u w:val="single"/>
        </w:rPr>
      </w:pPr>
    </w:p>
    <w:p w14:paraId="2B3CD016">
      <w:pPr>
        <w:spacing w:line="360" w:lineRule="exact"/>
        <w:ind w:right="110"/>
        <w:rPr>
          <w:rFonts w:ascii="宋体" w:hAnsi="宋体" w:cs="宋体"/>
          <w:b/>
          <w:color w:val="auto"/>
          <w:sz w:val="22"/>
          <w:szCs w:val="22"/>
          <w:highlight w:val="none"/>
          <w:u w:val="single"/>
        </w:rPr>
      </w:pPr>
    </w:p>
    <w:p w14:paraId="4000B942">
      <w:pPr>
        <w:spacing w:line="360" w:lineRule="exact"/>
        <w:ind w:right="110"/>
        <w:rPr>
          <w:rFonts w:ascii="宋体" w:hAnsi="宋体" w:cs="宋体"/>
          <w:b/>
          <w:color w:val="auto"/>
          <w:sz w:val="22"/>
          <w:szCs w:val="22"/>
          <w:highlight w:val="none"/>
          <w:u w:val="single"/>
        </w:rPr>
      </w:pPr>
    </w:p>
    <w:p w14:paraId="5F28F149">
      <w:pPr>
        <w:spacing w:line="360" w:lineRule="exact"/>
        <w:ind w:right="110"/>
        <w:rPr>
          <w:rFonts w:ascii="宋体" w:hAnsi="宋体" w:cs="宋体"/>
          <w:b/>
          <w:color w:val="auto"/>
          <w:sz w:val="22"/>
          <w:szCs w:val="22"/>
          <w:highlight w:val="none"/>
          <w:u w:val="single"/>
        </w:rPr>
      </w:pPr>
    </w:p>
    <w:p w14:paraId="5EA5E1F9">
      <w:pPr>
        <w:spacing w:line="360" w:lineRule="exact"/>
        <w:ind w:right="110"/>
        <w:rPr>
          <w:rFonts w:ascii="宋体" w:hAnsi="宋体" w:cs="宋体"/>
          <w:b/>
          <w:color w:val="auto"/>
          <w:sz w:val="22"/>
          <w:szCs w:val="22"/>
          <w:highlight w:val="none"/>
          <w:u w:val="single"/>
        </w:rPr>
      </w:pPr>
    </w:p>
    <w:p w14:paraId="1520B9B7">
      <w:pPr>
        <w:spacing w:line="360" w:lineRule="exact"/>
        <w:ind w:right="110"/>
        <w:rPr>
          <w:rFonts w:ascii="宋体" w:hAnsi="宋体" w:cs="宋体"/>
          <w:b/>
          <w:color w:val="auto"/>
          <w:sz w:val="22"/>
          <w:szCs w:val="22"/>
          <w:highlight w:val="none"/>
          <w:u w:val="single"/>
        </w:rPr>
      </w:pPr>
    </w:p>
    <w:p w14:paraId="67CC6260">
      <w:pPr>
        <w:spacing w:line="360" w:lineRule="exact"/>
        <w:ind w:right="110"/>
        <w:rPr>
          <w:rFonts w:ascii="宋体" w:hAnsi="宋体" w:cs="宋体"/>
          <w:b/>
          <w:color w:val="auto"/>
          <w:sz w:val="22"/>
          <w:szCs w:val="22"/>
          <w:highlight w:val="none"/>
          <w:u w:val="single"/>
        </w:rPr>
      </w:pPr>
    </w:p>
    <w:p w14:paraId="7578EB95">
      <w:pPr>
        <w:spacing w:line="360" w:lineRule="exact"/>
        <w:ind w:right="110"/>
        <w:rPr>
          <w:rFonts w:ascii="宋体" w:hAnsi="宋体" w:cs="宋体"/>
          <w:b/>
          <w:color w:val="auto"/>
          <w:sz w:val="22"/>
          <w:szCs w:val="22"/>
          <w:highlight w:val="none"/>
          <w:u w:val="single"/>
        </w:rPr>
      </w:pPr>
    </w:p>
    <w:p w14:paraId="0D2842AC">
      <w:pPr>
        <w:pStyle w:val="39"/>
        <w:ind w:left="420" w:firstLine="480"/>
        <w:rPr>
          <w:color w:val="auto"/>
          <w:highlight w:val="none"/>
        </w:rPr>
      </w:pPr>
    </w:p>
    <w:p w14:paraId="2EAFF510">
      <w:pPr>
        <w:pStyle w:val="19"/>
        <w:ind w:firstLine="210"/>
        <w:rPr>
          <w:color w:val="auto"/>
          <w:highlight w:val="none"/>
        </w:rPr>
      </w:pPr>
    </w:p>
    <w:p w14:paraId="6B9F7A80">
      <w:pPr>
        <w:pStyle w:val="39"/>
        <w:ind w:left="420" w:firstLine="480"/>
        <w:rPr>
          <w:color w:val="auto"/>
          <w:highlight w:val="none"/>
        </w:rPr>
      </w:pPr>
    </w:p>
    <w:p w14:paraId="51265689">
      <w:pPr>
        <w:rPr>
          <w:rFonts w:ascii="黑体" w:hAnsi="黑体" w:eastAsia="黑体"/>
          <w:bCs/>
          <w:color w:val="auto"/>
          <w:sz w:val="36"/>
          <w:szCs w:val="36"/>
          <w:highlight w:val="none"/>
        </w:rPr>
      </w:pPr>
    </w:p>
    <w:p w14:paraId="5C7DE1B5">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5514735D">
      <w:pPr>
        <w:pStyle w:val="2"/>
        <w:spacing w:line="600" w:lineRule="exact"/>
        <w:jc w:val="center"/>
        <w:rPr>
          <w:rFonts w:ascii="黑体" w:hAnsi="黑体" w:eastAsia="黑体"/>
          <w:bCs/>
          <w:color w:val="auto"/>
          <w:sz w:val="36"/>
          <w:szCs w:val="36"/>
          <w:highlight w:val="none"/>
        </w:rPr>
      </w:pPr>
      <w:bookmarkStart w:id="2" w:name="_Toc17962"/>
      <w:r>
        <w:rPr>
          <w:rFonts w:hint="eastAsia" w:ascii="黑体" w:hAnsi="黑体" w:eastAsia="黑体"/>
          <w:bCs/>
          <w:color w:val="auto"/>
          <w:sz w:val="36"/>
          <w:szCs w:val="36"/>
          <w:highlight w:val="none"/>
        </w:rPr>
        <w:t>第一部分   招标公告</w:t>
      </w:r>
      <w:bookmarkEnd w:id="2"/>
    </w:p>
    <w:p w14:paraId="5A423023">
      <w:pPr>
        <w:pBdr>
          <w:top w:val="single" w:color="auto" w:sz="4" w:space="1"/>
          <w:left w:val="single" w:color="auto" w:sz="4" w:space="4"/>
          <w:bottom w:val="single" w:color="auto" w:sz="4" w:space="1"/>
          <w:right w:val="single" w:color="auto" w:sz="4" w:space="4"/>
        </w:pBdr>
        <w:spacing w:line="440" w:lineRule="exact"/>
        <w:rPr>
          <w:rFonts w:ascii="宋体" w:hAnsi="宋体"/>
          <w:color w:val="auto"/>
          <w:sz w:val="22"/>
          <w:szCs w:val="22"/>
          <w:highlight w:val="none"/>
        </w:rPr>
      </w:pPr>
      <w:r>
        <w:rPr>
          <w:rFonts w:hint="eastAsia" w:ascii="宋体" w:hAnsi="宋体"/>
          <w:color w:val="auto"/>
          <w:sz w:val="22"/>
          <w:szCs w:val="22"/>
          <w:highlight w:val="none"/>
        </w:rPr>
        <w:t>项目概况</w:t>
      </w:r>
    </w:p>
    <w:p w14:paraId="4BBF5803">
      <w:pPr>
        <w:pBdr>
          <w:top w:val="single" w:color="auto" w:sz="4" w:space="1"/>
          <w:left w:val="single" w:color="auto" w:sz="4" w:space="4"/>
          <w:bottom w:val="single" w:color="auto" w:sz="4" w:space="1"/>
          <w:right w:val="single" w:color="auto" w:sz="4" w:space="4"/>
        </w:pBd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u w:val="single"/>
          <w:lang w:eastAsia="zh-CN"/>
        </w:rPr>
        <w:t>2026年绿化养护采购</w:t>
      </w:r>
      <w:r>
        <w:rPr>
          <w:rFonts w:hint="eastAsia" w:ascii="宋体" w:hAnsi="宋体"/>
          <w:color w:val="auto"/>
          <w:sz w:val="22"/>
          <w:szCs w:val="22"/>
          <w:highlight w:val="none"/>
        </w:rPr>
        <w:t>招标项目的潜在投标人应在</w:t>
      </w:r>
      <w:r>
        <w:rPr>
          <w:color w:val="auto"/>
          <w:highlight w:val="none"/>
        </w:rPr>
        <w:fldChar w:fldCharType="begin"/>
      </w:r>
      <w:r>
        <w:rPr>
          <w:color w:val="auto"/>
          <w:highlight w:val="none"/>
        </w:rPr>
        <w:instrText xml:space="preserve"> HYPERLINK "https://www.zcygov.cn）获取（下载）招标文件，并于2023年" </w:instrText>
      </w:r>
      <w:r>
        <w:rPr>
          <w:color w:val="auto"/>
          <w:highlight w:val="none"/>
        </w:rPr>
        <w:fldChar w:fldCharType="separate"/>
      </w:r>
      <w:r>
        <w:rPr>
          <w:rFonts w:hint="eastAsia"/>
          <w:color w:val="auto"/>
          <w:highlight w:val="none"/>
          <w:u w:val="single"/>
        </w:rPr>
        <w:t>乐采云</w:t>
      </w:r>
      <w:r>
        <w:rPr>
          <w:rFonts w:hint="eastAsia" w:ascii="宋体" w:hAnsi="宋体" w:cs="宋体"/>
          <w:color w:val="auto"/>
          <w:sz w:val="22"/>
          <w:szCs w:val="22"/>
          <w:highlight w:val="none"/>
          <w:u w:val="single"/>
        </w:rPr>
        <w:t>平台</w:t>
      </w:r>
      <w:r>
        <w:rPr>
          <w:rFonts w:hint="eastAsia" w:ascii="宋体" w:hAnsi="宋体" w:cs="宋体"/>
          <w:color w:val="auto"/>
          <w:sz w:val="22"/>
          <w:szCs w:val="22"/>
          <w:highlight w:val="none"/>
        </w:rPr>
        <w:t>（https://www.lecaiyun.com/）</w:t>
      </w:r>
      <w:r>
        <w:rPr>
          <w:rStyle w:val="48"/>
          <w:rFonts w:hint="eastAsia" w:ascii="宋体" w:hAnsi="宋体" w:cs="宋体"/>
          <w:color w:val="auto"/>
          <w:sz w:val="22"/>
          <w:szCs w:val="22"/>
          <w:highlight w:val="none"/>
        </w:rPr>
        <w:t>获</w:t>
      </w:r>
      <w:r>
        <w:rPr>
          <w:rStyle w:val="48"/>
          <w:rFonts w:hint="eastAsia" w:ascii="宋体" w:hAnsi="宋体"/>
          <w:color w:val="auto"/>
          <w:sz w:val="22"/>
          <w:szCs w:val="22"/>
          <w:highlight w:val="none"/>
        </w:rPr>
        <w:t>取（下载）招标文件，并于</w:t>
      </w:r>
      <w:r>
        <w:rPr>
          <w:rStyle w:val="48"/>
          <w:rFonts w:ascii="宋体" w:hAnsi="宋体"/>
          <w:color w:val="auto"/>
          <w:sz w:val="22"/>
          <w:szCs w:val="22"/>
          <w:highlight w:val="none"/>
        </w:rPr>
        <w:t>202</w:t>
      </w:r>
      <w:r>
        <w:rPr>
          <w:rStyle w:val="48"/>
          <w:rFonts w:hint="eastAsia" w:ascii="宋体" w:hAnsi="宋体"/>
          <w:color w:val="auto"/>
          <w:sz w:val="22"/>
          <w:szCs w:val="22"/>
          <w:highlight w:val="none"/>
        </w:rPr>
        <w:t>6</w:t>
      </w:r>
      <w:r>
        <w:rPr>
          <w:rStyle w:val="48"/>
          <w:rFonts w:hint="eastAsia" w:ascii="宋体" w:hAnsi="宋体"/>
          <w:bCs/>
          <w:color w:val="auto"/>
          <w:sz w:val="22"/>
          <w:szCs w:val="22"/>
          <w:highlight w:val="none"/>
        </w:rPr>
        <w:t>年</w:t>
      </w:r>
      <w:r>
        <w:rPr>
          <w:rStyle w:val="48"/>
          <w:rFonts w:hint="eastAsia" w:ascii="宋体" w:hAnsi="宋体"/>
          <w:bCs/>
          <w:color w:val="auto"/>
          <w:sz w:val="22"/>
          <w:szCs w:val="22"/>
          <w:highlight w:val="none"/>
        </w:rPr>
        <w:fldChar w:fldCharType="end"/>
      </w:r>
      <w:r>
        <w:rPr>
          <w:rFonts w:hint="eastAsia" w:ascii="宋体" w:hAnsi="宋体"/>
          <w:color w:val="auto"/>
          <w:sz w:val="22"/>
          <w:szCs w:val="22"/>
          <w:highlight w:val="none"/>
          <w:u w:val="single"/>
          <w:lang w:val="en-US" w:eastAsia="zh-CN"/>
        </w:rPr>
        <w:t>05</w:t>
      </w:r>
      <w:r>
        <w:rPr>
          <w:rFonts w:hint="eastAsia" w:ascii="宋体" w:hAnsi="宋体"/>
          <w:bCs/>
          <w:color w:val="auto"/>
          <w:sz w:val="22"/>
          <w:szCs w:val="22"/>
          <w:highlight w:val="none"/>
        </w:rPr>
        <w:t>月</w:t>
      </w:r>
      <w:r>
        <w:rPr>
          <w:rFonts w:hint="eastAsia" w:ascii="宋体" w:hAnsi="宋体"/>
          <w:bCs/>
          <w:color w:val="auto"/>
          <w:sz w:val="22"/>
          <w:szCs w:val="22"/>
          <w:highlight w:val="none"/>
          <w:u w:val="single"/>
          <w:lang w:val="en-US" w:eastAsia="zh-CN"/>
        </w:rPr>
        <w:t>27</w:t>
      </w:r>
      <w:r>
        <w:rPr>
          <w:rFonts w:hint="eastAsia" w:ascii="宋体" w:hAnsi="宋体"/>
          <w:bCs/>
          <w:color w:val="auto"/>
          <w:sz w:val="22"/>
          <w:szCs w:val="22"/>
          <w:highlight w:val="none"/>
        </w:rPr>
        <w:t>日</w:t>
      </w:r>
      <w:r>
        <w:rPr>
          <w:rFonts w:hint="eastAsia" w:ascii="宋体" w:hAnsi="宋体"/>
          <w:bCs/>
          <w:color w:val="auto"/>
          <w:sz w:val="22"/>
          <w:szCs w:val="22"/>
          <w:highlight w:val="none"/>
          <w:u w:val="single"/>
        </w:rPr>
        <w:t>09</w:t>
      </w:r>
      <w:r>
        <w:rPr>
          <w:rFonts w:hint="eastAsia" w:ascii="宋体" w:hAnsi="宋体"/>
          <w:bCs/>
          <w:color w:val="auto"/>
          <w:sz w:val="22"/>
          <w:szCs w:val="22"/>
          <w:highlight w:val="none"/>
        </w:rPr>
        <w:t>点</w:t>
      </w:r>
      <w:r>
        <w:rPr>
          <w:rFonts w:ascii="宋体" w:hAnsi="宋体"/>
          <w:bCs/>
          <w:color w:val="auto"/>
          <w:sz w:val="22"/>
          <w:szCs w:val="22"/>
          <w:highlight w:val="none"/>
          <w:u w:val="single"/>
        </w:rPr>
        <w:t>30</w:t>
      </w:r>
      <w:r>
        <w:rPr>
          <w:rFonts w:hint="eastAsia" w:ascii="宋体" w:hAnsi="宋体"/>
          <w:bCs/>
          <w:color w:val="auto"/>
          <w:sz w:val="22"/>
          <w:szCs w:val="22"/>
          <w:highlight w:val="none"/>
        </w:rPr>
        <w:t>分（北京时间）前递交（上传）投标</w:t>
      </w:r>
      <w:r>
        <w:rPr>
          <w:rFonts w:ascii="宋体" w:hAnsi="宋体"/>
          <w:bCs/>
          <w:color w:val="auto"/>
          <w:sz w:val="22"/>
          <w:szCs w:val="22"/>
          <w:highlight w:val="none"/>
        </w:rPr>
        <w:t>文件</w:t>
      </w:r>
      <w:r>
        <w:rPr>
          <w:rFonts w:hint="eastAsia" w:ascii="宋体" w:hAnsi="宋体"/>
          <w:color w:val="auto"/>
          <w:sz w:val="22"/>
          <w:szCs w:val="22"/>
          <w:highlight w:val="none"/>
        </w:rPr>
        <w:t>。</w:t>
      </w:r>
    </w:p>
    <w:p w14:paraId="679DC143">
      <w:pPr>
        <w:widowControl/>
        <w:spacing w:line="440" w:lineRule="exact"/>
        <w:rPr>
          <w:rFonts w:ascii="宋体" w:hAnsi="宋体" w:cs="宋体"/>
          <w:b/>
          <w:color w:val="auto"/>
          <w:sz w:val="22"/>
          <w:szCs w:val="22"/>
          <w:highlight w:val="none"/>
          <w:lang w:bidi="ar"/>
        </w:rPr>
      </w:pPr>
      <w:bookmarkStart w:id="3" w:name="_Toc28359002"/>
      <w:bookmarkStart w:id="4" w:name="_Toc35393621"/>
      <w:bookmarkStart w:id="5" w:name="_Toc35393790"/>
      <w:bookmarkStart w:id="6" w:name="_Toc28359079"/>
      <w:bookmarkStart w:id="7" w:name="_Hlk24379207"/>
      <w:bookmarkStart w:id="8" w:name="_Toc230773774"/>
      <w:r>
        <w:rPr>
          <w:rFonts w:hint="eastAsia" w:ascii="宋体" w:hAnsi="宋体" w:cs="宋体"/>
          <w:b/>
          <w:color w:val="auto"/>
          <w:sz w:val="22"/>
          <w:szCs w:val="22"/>
          <w:highlight w:val="none"/>
          <w:lang w:bidi="ar"/>
        </w:rPr>
        <w:t>一、项目基本情况</w:t>
      </w:r>
      <w:bookmarkEnd w:id="3"/>
      <w:bookmarkEnd w:id="4"/>
      <w:bookmarkEnd w:id="5"/>
      <w:bookmarkEnd w:id="6"/>
    </w:p>
    <w:p w14:paraId="379C7367">
      <w:pPr>
        <w:spacing w:line="440" w:lineRule="exact"/>
        <w:ind w:firstLine="440" w:firstLineChars="200"/>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项目编号：</w:t>
      </w:r>
      <w:r>
        <w:rPr>
          <w:rFonts w:hint="eastAsia" w:ascii="宋体" w:hAnsi="宋体"/>
          <w:color w:val="auto"/>
          <w:sz w:val="22"/>
          <w:szCs w:val="22"/>
          <w:highlight w:val="none"/>
          <w:lang w:eastAsia="zh-CN"/>
        </w:rPr>
        <w:t>WZZF2026(FZC)-04-081（GK）</w:t>
      </w:r>
    </w:p>
    <w:p w14:paraId="5B61279F">
      <w:pPr>
        <w:spacing w:line="440" w:lineRule="exact"/>
        <w:ind w:firstLine="440" w:firstLineChars="200"/>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项目名称：</w:t>
      </w:r>
      <w:r>
        <w:rPr>
          <w:rFonts w:hint="eastAsia" w:ascii="宋体" w:hAnsi="宋体"/>
          <w:color w:val="auto"/>
          <w:sz w:val="22"/>
          <w:szCs w:val="22"/>
          <w:highlight w:val="none"/>
          <w:lang w:eastAsia="zh-CN"/>
        </w:rPr>
        <w:t>2026年绿化养护采购</w:t>
      </w:r>
    </w:p>
    <w:bookmarkEnd w:id="7"/>
    <w:p w14:paraId="0422C728">
      <w:pPr>
        <w:spacing w:line="440" w:lineRule="exact"/>
        <w:ind w:firstLine="440" w:firstLineChars="200"/>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预算金额（元）：</w:t>
      </w:r>
      <w:r>
        <w:rPr>
          <w:rFonts w:hint="eastAsia" w:ascii="宋体" w:hAnsi="宋体"/>
          <w:color w:val="auto"/>
          <w:sz w:val="22"/>
          <w:szCs w:val="22"/>
          <w:highlight w:val="none"/>
          <w:lang w:val="en-US" w:eastAsia="zh-CN"/>
        </w:rPr>
        <w:t>260000</w:t>
      </w:r>
    </w:p>
    <w:p w14:paraId="2D7F7835">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rPr>
        <w:t>最高限价（元）：</w:t>
      </w:r>
      <w:r>
        <w:rPr>
          <w:rFonts w:hint="eastAsia" w:ascii="宋体" w:hAnsi="宋体"/>
          <w:color w:val="auto"/>
          <w:sz w:val="22"/>
          <w:szCs w:val="22"/>
          <w:highlight w:val="none"/>
          <w:lang w:val="en-US" w:eastAsia="zh-CN"/>
        </w:rPr>
        <w:t>260000</w:t>
      </w:r>
    </w:p>
    <w:p w14:paraId="66283399">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采购需求：</w:t>
      </w:r>
    </w:p>
    <w:p w14:paraId="511A0B02">
      <w:pPr>
        <w:spacing w:line="440" w:lineRule="exact"/>
        <w:ind w:firstLine="440" w:firstLineChars="200"/>
        <w:rPr>
          <w:color w:val="auto"/>
          <w:highlight w:val="none"/>
        </w:rPr>
      </w:pPr>
      <w:r>
        <w:rPr>
          <w:rFonts w:hint="eastAsia" w:ascii="宋体" w:hAnsi="宋体"/>
          <w:color w:val="auto"/>
          <w:sz w:val="22"/>
          <w:szCs w:val="22"/>
          <w:highlight w:val="none"/>
        </w:rPr>
        <w:t>标项一：</w:t>
      </w:r>
    </w:p>
    <w:p w14:paraId="75115478">
      <w:pPr>
        <w:spacing w:line="440" w:lineRule="exact"/>
        <w:ind w:firstLine="440" w:firstLineChars="200"/>
        <w:rPr>
          <w:rFonts w:hint="eastAsia" w:eastAsia="宋体"/>
          <w:color w:val="auto"/>
          <w:highlight w:val="none"/>
          <w:lang w:eastAsia="zh-CN"/>
        </w:rPr>
      </w:pPr>
      <w:r>
        <w:rPr>
          <w:rFonts w:hint="eastAsia" w:ascii="宋体" w:hAnsi="宋体"/>
          <w:color w:val="auto"/>
          <w:sz w:val="22"/>
          <w:szCs w:val="22"/>
          <w:highlight w:val="none"/>
        </w:rPr>
        <w:t>标项名称：</w:t>
      </w:r>
      <w:r>
        <w:rPr>
          <w:rFonts w:hint="eastAsia" w:ascii="宋体" w:hAnsi="宋体"/>
          <w:color w:val="auto"/>
          <w:sz w:val="22"/>
          <w:szCs w:val="22"/>
          <w:highlight w:val="none"/>
          <w:lang w:eastAsia="zh-CN"/>
        </w:rPr>
        <w:t>2026年绿化养护采购</w:t>
      </w:r>
    </w:p>
    <w:p w14:paraId="6160BA73">
      <w:pPr>
        <w:spacing w:line="440" w:lineRule="exact"/>
        <w:ind w:firstLine="440" w:firstLineChars="200"/>
        <w:rPr>
          <w:color w:val="auto"/>
          <w:highlight w:val="none"/>
        </w:rPr>
      </w:pPr>
      <w:r>
        <w:rPr>
          <w:rFonts w:hint="eastAsia" w:ascii="宋体" w:hAnsi="宋体"/>
          <w:color w:val="auto"/>
          <w:sz w:val="22"/>
          <w:szCs w:val="22"/>
          <w:highlight w:val="none"/>
        </w:rPr>
        <w:t>数量:1项</w:t>
      </w:r>
    </w:p>
    <w:p w14:paraId="495C00A5">
      <w:pPr>
        <w:spacing w:line="440" w:lineRule="exact"/>
        <w:ind w:firstLine="440" w:firstLineChars="200"/>
        <w:rPr>
          <w:color w:val="auto"/>
          <w:highlight w:val="none"/>
        </w:rPr>
      </w:pPr>
      <w:r>
        <w:rPr>
          <w:rFonts w:hint="eastAsia" w:ascii="宋体" w:hAnsi="宋体"/>
          <w:color w:val="auto"/>
          <w:sz w:val="22"/>
          <w:szCs w:val="22"/>
          <w:highlight w:val="none"/>
        </w:rPr>
        <w:t>预算金额（元）：</w:t>
      </w:r>
      <w:r>
        <w:rPr>
          <w:rFonts w:hint="eastAsia" w:ascii="宋体" w:hAnsi="宋体"/>
          <w:color w:val="auto"/>
          <w:sz w:val="22"/>
          <w:szCs w:val="22"/>
          <w:highlight w:val="none"/>
          <w:lang w:val="en-US" w:eastAsia="zh-CN"/>
        </w:rPr>
        <w:t>260000</w:t>
      </w:r>
    </w:p>
    <w:p w14:paraId="0860E07D">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简要规格描述或项目基本概况介绍、用途：温州市第七人民医院</w:t>
      </w:r>
      <w:r>
        <w:rPr>
          <w:rFonts w:hint="eastAsia" w:ascii="宋体" w:hAnsi="宋体"/>
          <w:color w:val="auto"/>
          <w:sz w:val="22"/>
          <w:szCs w:val="22"/>
          <w:highlight w:val="none"/>
          <w:lang w:eastAsia="zh-CN"/>
        </w:rPr>
        <w:t>2026年绿化养护采购</w:t>
      </w:r>
      <w:r>
        <w:rPr>
          <w:rFonts w:hint="eastAsia" w:ascii="宋体" w:hAnsi="宋体"/>
          <w:color w:val="auto"/>
          <w:sz w:val="22"/>
          <w:szCs w:val="22"/>
          <w:highlight w:val="none"/>
        </w:rPr>
        <w:t>，详见招标文件第五部分。</w:t>
      </w:r>
    </w:p>
    <w:p w14:paraId="4D4D3E08">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备注：</w:t>
      </w:r>
    </w:p>
    <w:p w14:paraId="5277096D">
      <w:pPr>
        <w:adjustRightInd w:val="0"/>
        <w:snapToGrid w:val="0"/>
        <w:spacing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olor w:val="auto"/>
          <w:sz w:val="22"/>
          <w:szCs w:val="22"/>
          <w:highlight w:val="none"/>
        </w:rPr>
        <w:t>合同履行期限：</w:t>
      </w:r>
      <w:r>
        <w:rPr>
          <w:rFonts w:hint="eastAsia" w:ascii="宋体" w:hAnsi="宋体"/>
          <w:color w:val="auto"/>
          <w:sz w:val="22"/>
          <w:szCs w:val="22"/>
          <w:highlight w:val="none"/>
          <w:lang w:val="en-US" w:eastAsia="zh-CN"/>
        </w:rPr>
        <w:t>2年</w:t>
      </w:r>
      <w:r>
        <w:rPr>
          <w:rFonts w:hint="eastAsia" w:ascii="宋体" w:hAnsi="宋体"/>
          <w:color w:val="auto"/>
          <w:szCs w:val="21"/>
          <w:highlight w:val="none"/>
          <w:lang w:val="en-US" w:eastAsia="zh-CN"/>
        </w:rPr>
        <w:t>。</w:t>
      </w:r>
    </w:p>
    <w:p w14:paraId="3BD74534">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本项目（</w:t>
      </w:r>
      <w:r>
        <w:rPr>
          <w:rFonts w:hint="eastAsia" w:ascii="宋体" w:hAnsi="宋体"/>
          <w:color w:val="auto"/>
          <w:sz w:val="22"/>
          <w:szCs w:val="22"/>
          <w:highlight w:val="none"/>
          <w:lang w:val="en-US" w:eastAsia="zh-CN"/>
        </w:rPr>
        <w:t>否</w:t>
      </w:r>
      <w:r>
        <w:rPr>
          <w:rFonts w:hint="eastAsia" w:ascii="宋体" w:hAnsi="宋体"/>
          <w:color w:val="auto"/>
          <w:sz w:val="22"/>
          <w:szCs w:val="22"/>
          <w:highlight w:val="none"/>
        </w:rPr>
        <w:t>）接受联合体投标。</w:t>
      </w:r>
    </w:p>
    <w:p w14:paraId="56AC0E9B">
      <w:pPr>
        <w:widowControl/>
        <w:spacing w:line="440" w:lineRule="exact"/>
        <w:rPr>
          <w:rFonts w:ascii="宋体" w:hAnsi="宋体" w:cs="宋体"/>
          <w:b/>
          <w:color w:val="auto"/>
          <w:sz w:val="22"/>
          <w:szCs w:val="22"/>
          <w:highlight w:val="none"/>
          <w:lang w:bidi="ar"/>
        </w:rPr>
      </w:pPr>
      <w:bookmarkStart w:id="9" w:name="_Toc28359003"/>
      <w:bookmarkStart w:id="10" w:name="_Toc35393791"/>
      <w:bookmarkStart w:id="11" w:name="_Toc35393622"/>
      <w:bookmarkStart w:id="12" w:name="_Toc28359080"/>
      <w:r>
        <w:rPr>
          <w:rFonts w:hint="eastAsia" w:ascii="宋体" w:hAnsi="宋体" w:cs="宋体"/>
          <w:b/>
          <w:color w:val="auto"/>
          <w:sz w:val="22"/>
          <w:szCs w:val="22"/>
          <w:highlight w:val="none"/>
          <w:lang w:bidi="ar"/>
        </w:rPr>
        <w:t>二、申请人的资格要求：</w:t>
      </w:r>
      <w:bookmarkEnd w:id="9"/>
      <w:bookmarkEnd w:id="10"/>
      <w:bookmarkEnd w:id="11"/>
      <w:bookmarkEnd w:id="12"/>
    </w:p>
    <w:p w14:paraId="423CED07">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6D7D75B0">
      <w:pPr>
        <w:spacing w:line="440" w:lineRule="exact"/>
        <w:ind w:firstLine="440" w:firstLineChars="200"/>
        <w:rPr>
          <w:rFonts w:ascii="宋体" w:hAnsi="宋体"/>
          <w:color w:val="auto"/>
          <w:sz w:val="22"/>
          <w:szCs w:val="22"/>
          <w:highlight w:val="none"/>
          <w:u w:val="single"/>
        </w:rPr>
      </w:pPr>
      <w:bookmarkStart w:id="13" w:name="_Toc28359081"/>
      <w:bookmarkStart w:id="14" w:name="_Toc28359004"/>
      <w:r>
        <w:rPr>
          <w:rFonts w:ascii="宋体" w:hAnsi="宋体"/>
          <w:color w:val="auto"/>
          <w:sz w:val="22"/>
          <w:szCs w:val="22"/>
          <w:highlight w:val="none"/>
        </w:rPr>
        <w:t>2</w:t>
      </w:r>
      <w:r>
        <w:rPr>
          <w:rFonts w:hint="eastAsia" w:ascii="宋体" w:hAnsi="宋体"/>
          <w:color w:val="auto"/>
          <w:sz w:val="22"/>
          <w:szCs w:val="22"/>
          <w:highlight w:val="none"/>
        </w:rPr>
        <w:t>.落实政府采购政策需满足的资格要求：供应商为中小企业/小微企业</w:t>
      </w:r>
      <w:r>
        <w:rPr>
          <w:rFonts w:hint="eastAsia" w:ascii="宋体" w:hAnsi="宋体" w:cs="宋体"/>
          <w:color w:val="auto"/>
          <w:sz w:val="22"/>
          <w:szCs w:val="22"/>
          <w:highlight w:val="none"/>
        </w:rPr>
        <w:t>；</w:t>
      </w:r>
    </w:p>
    <w:p w14:paraId="4A1C9B70">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rPr>
        <w:t>3.本项目的特定资格要求：无。</w:t>
      </w:r>
    </w:p>
    <w:p w14:paraId="74EE0E96">
      <w:pPr>
        <w:widowControl/>
        <w:spacing w:line="440" w:lineRule="exact"/>
        <w:rPr>
          <w:rFonts w:ascii="宋体" w:hAnsi="宋体" w:cs="宋体"/>
          <w:b/>
          <w:color w:val="auto"/>
          <w:sz w:val="22"/>
          <w:szCs w:val="22"/>
          <w:highlight w:val="none"/>
          <w:lang w:bidi="ar"/>
        </w:rPr>
      </w:pPr>
      <w:bookmarkStart w:id="15" w:name="_Toc35393623"/>
      <w:bookmarkStart w:id="16" w:name="_Toc35393792"/>
      <w:r>
        <w:rPr>
          <w:rFonts w:hint="eastAsia" w:ascii="宋体" w:hAnsi="宋体" w:cs="宋体"/>
          <w:b/>
          <w:color w:val="auto"/>
          <w:sz w:val="22"/>
          <w:szCs w:val="22"/>
          <w:highlight w:val="none"/>
          <w:lang w:bidi="ar"/>
        </w:rPr>
        <w:t>三、获取招标文件</w:t>
      </w:r>
      <w:bookmarkEnd w:id="13"/>
      <w:bookmarkEnd w:id="14"/>
      <w:bookmarkEnd w:id="15"/>
      <w:bookmarkEnd w:id="16"/>
    </w:p>
    <w:p w14:paraId="7C498D1D">
      <w:pPr>
        <w:pStyle w:val="36"/>
        <w:spacing w:before="0" w:beforeAutospacing="0" w:after="0" w:afterAutospacing="0" w:line="440" w:lineRule="exact"/>
        <w:ind w:firstLine="440" w:firstLineChars="200"/>
        <w:rPr>
          <w:color w:val="auto"/>
          <w:sz w:val="22"/>
          <w:szCs w:val="22"/>
          <w:highlight w:val="none"/>
          <w:lang w:bidi="ar"/>
        </w:rPr>
      </w:pPr>
      <w:r>
        <w:rPr>
          <w:rFonts w:hint="eastAsia"/>
          <w:color w:val="auto"/>
          <w:sz w:val="22"/>
          <w:szCs w:val="22"/>
          <w:highlight w:val="none"/>
          <w:lang w:bidi="ar"/>
        </w:rPr>
        <w:t>时间：2026年</w:t>
      </w:r>
      <w:r>
        <w:rPr>
          <w:rFonts w:hint="eastAsia"/>
          <w:color w:val="auto"/>
          <w:sz w:val="22"/>
          <w:szCs w:val="22"/>
          <w:highlight w:val="none"/>
          <w:u w:val="single"/>
          <w:lang w:val="en-US" w:eastAsia="zh-CN" w:bidi="ar"/>
        </w:rPr>
        <w:t>05</w:t>
      </w:r>
      <w:r>
        <w:rPr>
          <w:rFonts w:hint="eastAsia"/>
          <w:color w:val="auto"/>
          <w:sz w:val="22"/>
          <w:szCs w:val="22"/>
          <w:highlight w:val="none"/>
          <w:lang w:bidi="ar"/>
        </w:rPr>
        <w:t>月</w:t>
      </w:r>
      <w:r>
        <w:rPr>
          <w:rFonts w:hint="eastAsia"/>
          <w:color w:val="auto"/>
          <w:sz w:val="22"/>
          <w:szCs w:val="22"/>
          <w:highlight w:val="none"/>
          <w:u w:val="single"/>
          <w:lang w:val="en-US" w:eastAsia="zh-CN" w:bidi="ar"/>
        </w:rPr>
        <w:t>06</w:t>
      </w:r>
      <w:r>
        <w:rPr>
          <w:rFonts w:hint="eastAsia"/>
          <w:color w:val="auto"/>
          <w:sz w:val="22"/>
          <w:szCs w:val="22"/>
          <w:highlight w:val="none"/>
          <w:lang w:bidi="ar"/>
        </w:rPr>
        <w:t>日至2026年</w:t>
      </w:r>
      <w:r>
        <w:rPr>
          <w:rFonts w:hint="eastAsia"/>
          <w:color w:val="auto"/>
          <w:sz w:val="22"/>
          <w:szCs w:val="22"/>
          <w:highlight w:val="none"/>
          <w:u w:val="single"/>
          <w:lang w:val="en-US" w:eastAsia="zh-CN" w:bidi="ar"/>
        </w:rPr>
        <w:t>05</w:t>
      </w:r>
      <w:r>
        <w:rPr>
          <w:rFonts w:hint="eastAsia"/>
          <w:color w:val="auto"/>
          <w:sz w:val="22"/>
          <w:szCs w:val="22"/>
          <w:highlight w:val="none"/>
          <w:lang w:bidi="ar"/>
        </w:rPr>
        <w:t>月</w:t>
      </w:r>
      <w:r>
        <w:rPr>
          <w:rFonts w:hint="eastAsia"/>
          <w:color w:val="auto"/>
          <w:sz w:val="22"/>
          <w:szCs w:val="22"/>
          <w:highlight w:val="none"/>
          <w:u w:val="single"/>
          <w:lang w:val="en-US" w:eastAsia="zh-CN" w:bidi="ar"/>
        </w:rPr>
        <w:t>27</w:t>
      </w:r>
      <w:r>
        <w:rPr>
          <w:rFonts w:hint="eastAsia"/>
          <w:color w:val="auto"/>
          <w:sz w:val="22"/>
          <w:szCs w:val="22"/>
          <w:highlight w:val="none"/>
          <w:lang w:bidi="ar"/>
        </w:rPr>
        <w:t>日，每天上午00:00至12:00，下午12:00至23:59（北京时间，线上获取法定节假日均可，线下获取文件法定节假日除外）</w:t>
      </w:r>
    </w:p>
    <w:p w14:paraId="18AFFB41">
      <w:pPr>
        <w:pStyle w:val="36"/>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地点（网址）：乐采云平台（https://www.lecaiyun.com/）</w:t>
      </w:r>
    </w:p>
    <w:p w14:paraId="7A6FE5BB">
      <w:pPr>
        <w:pStyle w:val="36"/>
        <w:spacing w:before="0" w:beforeAutospacing="0" w:after="0" w:afterAutospacing="0" w:line="440" w:lineRule="exact"/>
        <w:rPr>
          <w:color w:val="auto"/>
          <w:sz w:val="22"/>
          <w:szCs w:val="22"/>
          <w:highlight w:val="none"/>
          <w:u w:val="single"/>
          <w:lang w:bidi="ar"/>
        </w:rPr>
      </w:pPr>
      <w:r>
        <w:rPr>
          <w:rFonts w:hint="eastAsia"/>
          <w:color w:val="auto"/>
          <w:sz w:val="22"/>
          <w:szCs w:val="22"/>
          <w:highlight w:val="none"/>
          <w:lang w:bidi="ar"/>
        </w:rPr>
        <w:t>  方式：供应商登录乐采云平台https://www.lecaiyun.com/在线申请获取采购文件（进入“项目采购”应用，在获取采购文件菜单中选择项目，申请获取采购文件）</w:t>
      </w:r>
    </w:p>
    <w:p w14:paraId="2171A27D">
      <w:pPr>
        <w:pStyle w:val="36"/>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售价（元）：0 </w:t>
      </w:r>
    </w:p>
    <w:p w14:paraId="237120E3">
      <w:pPr>
        <w:widowControl/>
        <w:spacing w:line="440" w:lineRule="exact"/>
        <w:rPr>
          <w:rFonts w:ascii="宋体" w:hAnsi="宋体" w:cs="宋体"/>
          <w:color w:val="auto"/>
          <w:sz w:val="22"/>
          <w:szCs w:val="22"/>
          <w:highlight w:val="none"/>
          <w:lang w:bidi="ar"/>
        </w:rPr>
      </w:pPr>
      <w:r>
        <w:rPr>
          <w:rFonts w:hint="eastAsia" w:ascii="宋体" w:hAnsi="宋体" w:cs="宋体"/>
          <w:b/>
          <w:color w:val="auto"/>
          <w:sz w:val="22"/>
          <w:szCs w:val="22"/>
          <w:highlight w:val="none"/>
          <w:lang w:bidi="ar"/>
        </w:rPr>
        <w:t>四、提交投标文件截止时间、开标时间和地点</w:t>
      </w:r>
    </w:p>
    <w:p w14:paraId="0D0C820D">
      <w:pPr>
        <w:pStyle w:val="36"/>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提交投标文件截止时间：2026年</w:t>
      </w:r>
      <w:r>
        <w:rPr>
          <w:rFonts w:hint="eastAsia"/>
          <w:color w:val="auto"/>
          <w:sz w:val="22"/>
          <w:szCs w:val="22"/>
          <w:highlight w:val="none"/>
          <w:u w:val="single"/>
          <w:lang w:val="en-US" w:eastAsia="zh-CN" w:bidi="ar"/>
        </w:rPr>
        <w:t>05</w:t>
      </w:r>
      <w:r>
        <w:rPr>
          <w:rFonts w:hint="eastAsia"/>
          <w:color w:val="auto"/>
          <w:sz w:val="22"/>
          <w:szCs w:val="22"/>
          <w:highlight w:val="none"/>
          <w:lang w:bidi="ar"/>
        </w:rPr>
        <w:t>月</w:t>
      </w:r>
      <w:r>
        <w:rPr>
          <w:rFonts w:hint="eastAsia"/>
          <w:color w:val="auto"/>
          <w:sz w:val="22"/>
          <w:szCs w:val="22"/>
          <w:highlight w:val="none"/>
          <w:u w:val="single"/>
          <w:lang w:val="en-US" w:eastAsia="zh-CN" w:bidi="ar"/>
        </w:rPr>
        <w:t>27</w:t>
      </w:r>
      <w:r>
        <w:rPr>
          <w:rFonts w:hint="eastAsia"/>
          <w:color w:val="auto"/>
          <w:sz w:val="22"/>
          <w:szCs w:val="22"/>
          <w:highlight w:val="none"/>
          <w:lang w:bidi="ar"/>
        </w:rPr>
        <w:t>日09:30（北京时间）</w:t>
      </w:r>
    </w:p>
    <w:p w14:paraId="48057CF7">
      <w:pPr>
        <w:pStyle w:val="36"/>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投标地点（网址）：请登录乐采云投标客户端投标</w:t>
      </w:r>
    </w:p>
    <w:p w14:paraId="4DFCD359">
      <w:pPr>
        <w:pStyle w:val="36"/>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开标时间：2026年</w:t>
      </w:r>
      <w:r>
        <w:rPr>
          <w:rFonts w:hint="eastAsia"/>
          <w:color w:val="auto"/>
          <w:sz w:val="22"/>
          <w:szCs w:val="22"/>
          <w:highlight w:val="none"/>
          <w:u w:val="single"/>
          <w:lang w:val="en-US" w:eastAsia="zh-CN" w:bidi="ar"/>
        </w:rPr>
        <w:t>05</w:t>
      </w:r>
      <w:r>
        <w:rPr>
          <w:rFonts w:hint="eastAsia"/>
          <w:color w:val="auto"/>
          <w:sz w:val="22"/>
          <w:szCs w:val="22"/>
          <w:highlight w:val="none"/>
          <w:lang w:bidi="ar"/>
        </w:rPr>
        <w:t>月</w:t>
      </w:r>
      <w:r>
        <w:rPr>
          <w:rFonts w:hint="eastAsia"/>
          <w:color w:val="auto"/>
          <w:sz w:val="22"/>
          <w:szCs w:val="22"/>
          <w:highlight w:val="none"/>
          <w:u w:val="single"/>
          <w:lang w:val="en-US" w:eastAsia="zh-CN" w:bidi="ar"/>
        </w:rPr>
        <w:t>27</w:t>
      </w:r>
      <w:r>
        <w:rPr>
          <w:rFonts w:hint="eastAsia"/>
          <w:color w:val="auto"/>
          <w:sz w:val="22"/>
          <w:szCs w:val="22"/>
          <w:highlight w:val="none"/>
          <w:lang w:bidi="ar"/>
        </w:rPr>
        <w:t>日09:30（北京时间）</w:t>
      </w:r>
    </w:p>
    <w:p w14:paraId="346951D5">
      <w:pPr>
        <w:pStyle w:val="36"/>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开标地点（网址）：</w:t>
      </w:r>
      <w:r>
        <w:rPr>
          <w:rFonts w:hint="eastAsia"/>
          <w:color w:val="auto"/>
          <w:sz w:val="22"/>
          <w:highlight w:val="none"/>
          <w:lang w:bidi="ar"/>
        </w:rPr>
        <w:t>乐采云平台(https://www.lecaiyun.com/)在线开标</w:t>
      </w:r>
      <w:r>
        <w:rPr>
          <w:rFonts w:hint="eastAsia"/>
          <w:color w:val="auto"/>
          <w:sz w:val="22"/>
          <w:highlight w:val="none"/>
        </w:rPr>
        <w:t>，</w:t>
      </w:r>
      <w:r>
        <w:rPr>
          <w:rFonts w:hint="eastAsia"/>
          <w:color w:val="auto"/>
          <w:sz w:val="22"/>
          <w:szCs w:val="22"/>
          <w:highlight w:val="none"/>
          <w:lang w:bidi="ar"/>
        </w:rPr>
        <w:t>温州市瓯海区南塘一组团1幢（商务楼）1504室</w:t>
      </w:r>
    </w:p>
    <w:p w14:paraId="64488960">
      <w:pPr>
        <w:widowControl/>
        <w:spacing w:line="440" w:lineRule="exact"/>
        <w:rPr>
          <w:rFonts w:ascii="宋体" w:hAnsi="宋体" w:cs="宋体"/>
          <w:b/>
          <w:color w:val="auto"/>
          <w:sz w:val="22"/>
          <w:szCs w:val="22"/>
          <w:highlight w:val="none"/>
          <w:lang w:bidi="ar"/>
        </w:rPr>
      </w:pPr>
      <w:bookmarkStart w:id="17" w:name="_Toc35393625"/>
      <w:bookmarkStart w:id="18" w:name="_Toc28359007"/>
      <w:bookmarkStart w:id="19" w:name="_Toc28359084"/>
      <w:bookmarkStart w:id="20" w:name="_Toc35393794"/>
      <w:r>
        <w:rPr>
          <w:rFonts w:hint="eastAsia" w:ascii="宋体" w:hAnsi="宋体" w:cs="宋体"/>
          <w:b/>
          <w:color w:val="auto"/>
          <w:sz w:val="22"/>
          <w:szCs w:val="22"/>
          <w:highlight w:val="none"/>
          <w:lang w:bidi="ar"/>
        </w:rPr>
        <w:t>五、公告期限</w:t>
      </w:r>
      <w:bookmarkEnd w:id="17"/>
      <w:bookmarkEnd w:id="18"/>
      <w:bookmarkEnd w:id="19"/>
      <w:bookmarkEnd w:id="20"/>
    </w:p>
    <w:p w14:paraId="6DAC629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自本公告发布之日起5个工作日。</w:t>
      </w:r>
    </w:p>
    <w:p w14:paraId="17773EC8">
      <w:pPr>
        <w:widowControl/>
        <w:spacing w:line="440" w:lineRule="exact"/>
        <w:rPr>
          <w:rFonts w:ascii="宋体" w:hAnsi="宋体" w:cs="宋体"/>
          <w:b/>
          <w:color w:val="auto"/>
          <w:sz w:val="22"/>
          <w:szCs w:val="22"/>
          <w:highlight w:val="none"/>
          <w:lang w:bidi="ar"/>
        </w:rPr>
      </w:pPr>
      <w:bookmarkStart w:id="21" w:name="_Toc35393626"/>
      <w:bookmarkStart w:id="22" w:name="_Toc35393795"/>
      <w:r>
        <w:rPr>
          <w:rFonts w:hint="eastAsia" w:ascii="宋体" w:hAnsi="宋体" w:cs="宋体"/>
          <w:b/>
          <w:color w:val="auto"/>
          <w:sz w:val="22"/>
          <w:szCs w:val="22"/>
          <w:highlight w:val="none"/>
          <w:lang w:bidi="ar"/>
        </w:rPr>
        <w:t>六、其他补充事宜</w:t>
      </w:r>
      <w:bookmarkEnd w:id="21"/>
      <w:bookmarkEnd w:id="22"/>
    </w:p>
    <w:p w14:paraId="4CE0BC64">
      <w:pPr>
        <w:tabs>
          <w:tab w:val="left" w:pos="360"/>
        </w:tabs>
        <w:spacing w:line="440" w:lineRule="exact"/>
        <w:ind w:firstLine="440" w:firstLineChars="200"/>
        <w:rPr>
          <w:rFonts w:ascii="新宋体" w:hAnsi="新宋体" w:eastAsia="新宋体" w:cs="新宋体"/>
          <w:color w:val="auto"/>
          <w:sz w:val="22"/>
          <w:szCs w:val="22"/>
          <w:highlight w:val="none"/>
        </w:rPr>
      </w:pPr>
      <w:bookmarkStart w:id="23" w:name="_Hlk47793939"/>
      <w:r>
        <w:rPr>
          <w:rFonts w:hint="eastAsia" w:ascii="新宋体" w:hAnsi="新宋体" w:eastAsia="新宋体" w:cs="新宋体"/>
          <w:color w:val="auto"/>
          <w:sz w:val="22"/>
          <w:szCs w:val="22"/>
          <w:highlight w:val="none"/>
        </w:rPr>
        <w:t>1.本项目通过“乐采云平台（https://www.lecaiyun.com/）”实行在线投标响应（电子投标），供应商应先安装“乐采云电子交易客户端”，并按照本招标文件和“乐采云平台”的要求，通过“乐采云电子交易客户端”编制并加密投标文件。供应商未按规定加密的投标文件，“乐采云平台”将予以拒收。</w:t>
      </w:r>
    </w:p>
    <w:p w14:paraId="71461F88">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“乐采云电子交易客户端”请自行前往“乐采云平台”进行下载；通过“乐采云平台”参与在线投标时如遇平台技术问题详询95763。</w:t>
      </w:r>
    </w:p>
    <w:p w14:paraId="12035FAD">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为确保网上操作合法、有效和安全，投标人应当在投标截止时间前完成在“乐采云平台”的身份认证，确保在电子投标过程中能够对相关数据电文进行加密和使用电子签章。使用“乐采云电子交易客户端”需要提前申领CA数字证书，申领流程请自行前往“乐采云平台”进行查阅。</w:t>
      </w:r>
    </w:p>
    <w:p w14:paraId="3BDE07A4">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3.投标人应当在投标截止时间前，将生成的“电子加密投标文件”上传递交至“乐采云平台”。投标截止时间以后上传递交的投标文件将被“乐采云平台”拒收。</w:t>
      </w:r>
    </w:p>
    <w:p w14:paraId="2DB57B81">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通过“乐采云平台”上传递交的“电子加密投标文件”无法按时解密，投标人递交了备份投标文件的，以备份投标文件为依据，否则视为投标文件撤回。通过“乐采云平台”上传递交的“电子加密投标文件”已按时解密的，“备份投标文件”自动失效。投标人仅递交备份投标文件的，投标无效。</w:t>
      </w:r>
    </w:p>
    <w:p w14:paraId="418A1BD1">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供应商认为招标文件使自己的权益受到损害的，可以自获取到招标文件之日（公告期限截止日之后获取到招标文件的，以公告期限截止日为准）起7个工作日内，且应当在投标截止时间之前以书面形式向招标人和招标代理机构提出质疑。质疑供应商对招标人、招标代理机构的答复不满意或者招标人、招标代理机构未在规定的时间内作出答复的，可以在答复期满后十五个工作日内向采购监督管理部门投诉。</w:t>
      </w:r>
    </w:p>
    <w:p w14:paraId="1083299F">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6.书面质疑受理地点：</w:t>
      </w:r>
      <w:r>
        <w:rPr>
          <w:rFonts w:hint="eastAsia" w:ascii="宋体" w:hAnsi="宋体" w:cs="宋体"/>
          <w:color w:val="auto"/>
          <w:sz w:val="22"/>
          <w:szCs w:val="22"/>
          <w:highlight w:val="none"/>
          <w:lang w:bidi="ar"/>
        </w:rPr>
        <w:t>温州市瓯海区南塘一组团1幢（商务楼）1504室</w:t>
      </w:r>
      <w:r>
        <w:rPr>
          <w:rFonts w:hint="eastAsia" w:ascii="新宋体" w:hAnsi="新宋体" w:eastAsia="新宋体" w:cs="新宋体"/>
          <w:color w:val="auto"/>
          <w:sz w:val="22"/>
          <w:szCs w:val="22"/>
          <w:highlight w:val="none"/>
        </w:rPr>
        <w:t>，联系人：诸葛先生</w:t>
      </w:r>
    </w:p>
    <w:p w14:paraId="11D2E1A8">
      <w:pPr>
        <w:pStyle w:val="36"/>
        <w:spacing w:before="0" w:beforeAutospacing="0" w:after="0" w:afterAutospacing="0" w:line="440" w:lineRule="exact"/>
        <w:ind w:firstLine="440" w:firstLineChars="200"/>
        <w:rPr>
          <w:color w:val="auto"/>
          <w:sz w:val="22"/>
          <w:szCs w:val="22"/>
          <w:highlight w:val="none"/>
        </w:rPr>
      </w:pPr>
      <w:r>
        <w:rPr>
          <w:rFonts w:hint="eastAsia" w:ascii="新宋体" w:hAnsi="新宋体" w:eastAsia="新宋体" w:cs="新宋体"/>
          <w:color w:val="auto"/>
          <w:sz w:val="22"/>
          <w:szCs w:val="22"/>
          <w:highlight w:val="none"/>
        </w:rPr>
        <w:t>7.</w:t>
      </w:r>
      <w:r>
        <w:rPr>
          <w:rFonts w:hint="eastAsia"/>
          <w:color w:val="auto"/>
          <w:sz w:val="22"/>
          <w:szCs w:val="22"/>
          <w:highlight w:val="none"/>
        </w:rPr>
        <w:t>招标公告附件的招标文件仅供阅览使用，未按照本公告规定的方式获取采购文件的潜在供应商提起的质疑采购组织机构将不予受理、答复。</w:t>
      </w:r>
    </w:p>
    <w:p w14:paraId="2C1E0412">
      <w:pPr>
        <w:widowControl/>
        <w:spacing w:line="440" w:lineRule="exact"/>
        <w:rPr>
          <w:rFonts w:ascii="宋体" w:hAnsi="宋体" w:cs="宋体"/>
          <w:color w:val="auto"/>
          <w:sz w:val="22"/>
          <w:szCs w:val="22"/>
          <w:highlight w:val="none"/>
          <w:lang w:bidi="ar"/>
        </w:rPr>
      </w:pPr>
      <w:r>
        <w:rPr>
          <w:rFonts w:hint="eastAsia" w:ascii="宋体" w:hAnsi="宋体" w:cs="宋体"/>
          <w:b/>
          <w:color w:val="auto"/>
          <w:sz w:val="22"/>
          <w:szCs w:val="22"/>
          <w:highlight w:val="none"/>
          <w:lang w:bidi="ar"/>
        </w:rPr>
        <w:t>七、对本次招标提出询问、质疑、投诉，请按以下方式联系</w:t>
      </w:r>
    </w:p>
    <w:bookmarkEnd w:id="23"/>
    <w:p w14:paraId="1ABCFA83">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rPr>
        <w:t>　　</w:t>
      </w:r>
      <w:r>
        <w:rPr>
          <w:rFonts w:hint="eastAsia" w:ascii="宋体" w:hAnsi="宋体" w:cs="宋体"/>
          <w:color w:val="auto"/>
          <w:sz w:val="22"/>
          <w:szCs w:val="22"/>
          <w:highlight w:val="none"/>
          <w:lang w:bidi="ar"/>
        </w:rPr>
        <w:t>1.采购人信息</w:t>
      </w:r>
    </w:p>
    <w:p w14:paraId="1101605C">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xml:space="preserve">  </w:t>
      </w:r>
      <w:r>
        <w:rPr>
          <w:rFonts w:ascii="宋体" w:hAnsi="宋体" w:cs="宋体"/>
          <w:color w:val="auto"/>
          <w:sz w:val="22"/>
          <w:szCs w:val="22"/>
          <w:highlight w:val="none"/>
          <w:lang w:bidi="ar"/>
        </w:rPr>
        <w:t xml:space="preserve"> </w:t>
      </w:r>
      <w:r>
        <w:rPr>
          <w:rFonts w:hint="eastAsia" w:ascii="宋体" w:hAnsi="宋体" w:cs="宋体"/>
          <w:color w:val="auto"/>
          <w:sz w:val="22"/>
          <w:szCs w:val="22"/>
          <w:highlight w:val="none"/>
          <w:lang w:bidi="ar"/>
        </w:rPr>
        <w:t> 名    称：温州市第七人民医院</w:t>
      </w:r>
    </w:p>
    <w:p w14:paraId="25A082DA">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地    址：温州市瓯海区学士前路</w:t>
      </w:r>
    </w:p>
    <w:p w14:paraId="0F804DA1">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w:t>
      </w:r>
      <w:bookmarkStart w:id="24" w:name="_Hlk47793869"/>
      <w:r>
        <w:rPr>
          <w:rFonts w:hint="eastAsia" w:ascii="宋体" w:hAnsi="宋体" w:cs="宋体"/>
          <w:color w:val="auto"/>
          <w:sz w:val="22"/>
          <w:szCs w:val="22"/>
          <w:highlight w:val="none"/>
          <w:lang w:bidi="ar"/>
        </w:rPr>
        <w:t xml:space="preserve"> 项目联系人（询问）：王女士 </w:t>
      </w:r>
    </w:p>
    <w:p w14:paraId="5D67127F">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项目联系方式（询问）：0577-89870153</w:t>
      </w:r>
    </w:p>
    <w:p w14:paraId="7E0330DA">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质疑联系人：王女士</w:t>
      </w:r>
    </w:p>
    <w:p w14:paraId="308E543B">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质疑联系方式：0577-89870153</w:t>
      </w:r>
    </w:p>
    <w:bookmarkEnd w:id="24"/>
    <w:p w14:paraId="51B42FE3">
      <w:pPr>
        <w:widowControl/>
        <w:spacing w:line="440" w:lineRule="exact"/>
        <w:ind w:firstLine="440" w:firstLineChars="200"/>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2.采购代理机构信息</w:t>
      </w:r>
    </w:p>
    <w:p w14:paraId="7550F891">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名    称：温州正风招标代理有限公司</w:t>
      </w:r>
    </w:p>
    <w:p w14:paraId="347F51FF">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地    址：温州市瓯海区南塘一组团1幢（商务楼）1504室</w:t>
      </w:r>
    </w:p>
    <w:p w14:paraId="7E4F5EEB">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项目联系人（询问）：</w:t>
      </w:r>
      <w:r>
        <w:rPr>
          <w:rFonts w:hint="eastAsia" w:ascii="宋体" w:hAnsi="宋体" w:cs="宋体"/>
          <w:color w:val="auto"/>
          <w:sz w:val="22"/>
          <w:szCs w:val="22"/>
          <w:highlight w:val="none"/>
        </w:rPr>
        <w:t>刘慧聪、诸葛晓斌</w:t>
      </w:r>
    </w:p>
    <w:p w14:paraId="1A333BA1">
      <w:pPr>
        <w:widowControl/>
        <w:spacing w:line="440" w:lineRule="exact"/>
        <w:ind w:firstLine="660" w:firstLineChars="300"/>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项目联系方式（询问）：</w:t>
      </w:r>
      <w:r>
        <w:rPr>
          <w:rFonts w:hint="eastAsia" w:ascii="宋体" w:hAnsi="宋体" w:cs="宋体"/>
          <w:color w:val="auto"/>
          <w:sz w:val="22"/>
          <w:szCs w:val="22"/>
          <w:highlight w:val="none"/>
        </w:rPr>
        <w:t>15858517848、13506646781</w:t>
      </w:r>
    </w:p>
    <w:p w14:paraId="31462DB3">
      <w:pPr>
        <w:widowControl/>
        <w:spacing w:line="440" w:lineRule="exact"/>
        <w:ind w:firstLine="660"/>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质疑联系人：</w:t>
      </w:r>
      <w:r>
        <w:rPr>
          <w:rFonts w:hint="eastAsia" w:ascii="宋体" w:hAnsi="宋体" w:cs="宋体"/>
          <w:color w:val="auto"/>
          <w:sz w:val="22"/>
          <w:szCs w:val="22"/>
          <w:highlight w:val="none"/>
        </w:rPr>
        <w:t>胡丽丽</w:t>
      </w:r>
    </w:p>
    <w:p w14:paraId="33B2CA56">
      <w:pPr>
        <w:widowControl/>
        <w:spacing w:line="440" w:lineRule="exact"/>
        <w:ind w:firstLine="660"/>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质疑联系方式：0577-88119278</w:t>
      </w:r>
    </w:p>
    <w:p w14:paraId="2309FA52">
      <w:pPr>
        <w:widowControl/>
        <w:spacing w:line="440" w:lineRule="exact"/>
        <w:ind w:firstLine="440" w:firstLineChars="200"/>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3.采购监督管理部门</w:t>
      </w:r>
    </w:p>
    <w:p w14:paraId="5E42A8CA">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名    称：温州市第七人民医院纪检监察室</w:t>
      </w:r>
    </w:p>
    <w:p w14:paraId="062F56E4">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地    址：温州市瓯海区学士前路</w:t>
      </w:r>
    </w:p>
    <w:p w14:paraId="03631D0E">
      <w:pPr>
        <w:spacing w:line="440" w:lineRule="exact"/>
        <w:ind w:right="440" w:firstLine="660" w:firstLineChars="300"/>
        <w:rPr>
          <w:rFonts w:ascii="宋体" w:hAnsi="宋体" w:cs="宋体"/>
          <w:color w:val="auto"/>
          <w:sz w:val="22"/>
          <w:szCs w:val="22"/>
          <w:highlight w:val="none"/>
        </w:rPr>
      </w:pPr>
      <w:r>
        <w:rPr>
          <w:rFonts w:hint="eastAsia" w:ascii="宋体" w:hAnsi="宋体" w:cs="宋体"/>
          <w:color w:val="auto"/>
          <w:sz w:val="22"/>
          <w:szCs w:val="22"/>
          <w:highlight w:val="none"/>
          <w:lang w:bidi="ar"/>
        </w:rPr>
        <w:t>监督投诉电话：0577-89870113</w:t>
      </w:r>
    </w:p>
    <w:p w14:paraId="0EFB0274">
      <w:pPr>
        <w:widowControl/>
        <w:spacing w:line="440" w:lineRule="exact"/>
        <w:jc w:val="righ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温州市第七人民医院</w:t>
      </w:r>
    </w:p>
    <w:p w14:paraId="70395830">
      <w:pPr>
        <w:widowControl/>
        <w:spacing w:line="440" w:lineRule="exact"/>
        <w:jc w:val="righ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温州正风招标代理有限公司</w:t>
      </w:r>
    </w:p>
    <w:p w14:paraId="55084450">
      <w:pPr>
        <w:widowControl/>
        <w:spacing w:line="440" w:lineRule="exact"/>
        <w:jc w:val="righ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2026年</w:t>
      </w:r>
      <w:r>
        <w:rPr>
          <w:rFonts w:hint="eastAsia" w:ascii="宋体" w:hAnsi="宋体" w:cs="宋体"/>
          <w:color w:val="auto"/>
          <w:sz w:val="22"/>
          <w:szCs w:val="22"/>
          <w:highlight w:val="none"/>
          <w:u w:val="single"/>
          <w:lang w:val="en-US" w:eastAsia="zh-CN" w:bidi="ar"/>
        </w:rPr>
        <w:t>05</w:t>
      </w:r>
      <w:r>
        <w:rPr>
          <w:rFonts w:hint="eastAsia" w:ascii="宋体" w:hAnsi="宋体" w:cs="宋体"/>
          <w:color w:val="auto"/>
          <w:sz w:val="22"/>
          <w:szCs w:val="22"/>
          <w:highlight w:val="none"/>
          <w:lang w:bidi="ar"/>
        </w:rPr>
        <w:t>月</w:t>
      </w:r>
      <w:r>
        <w:rPr>
          <w:rFonts w:hint="eastAsia" w:ascii="宋体" w:hAnsi="宋体" w:cs="宋体"/>
          <w:color w:val="auto"/>
          <w:sz w:val="22"/>
          <w:szCs w:val="22"/>
          <w:highlight w:val="none"/>
          <w:u w:val="single"/>
          <w:lang w:val="en-US" w:eastAsia="zh-CN" w:bidi="ar"/>
        </w:rPr>
        <w:t>06</w:t>
      </w:r>
      <w:r>
        <w:rPr>
          <w:rFonts w:hint="eastAsia" w:ascii="宋体" w:hAnsi="宋体" w:cs="宋体"/>
          <w:color w:val="auto"/>
          <w:sz w:val="22"/>
          <w:szCs w:val="22"/>
          <w:highlight w:val="none"/>
          <w:lang w:bidi="ar"/>
        </w:rPr>
        <w:t>日</w:t>
      </w:r>
    </w:p>
    <w:p w14:paraId="0419A26D">
      <w:pPr>
        <w:pStyle w:val="36"/>
        <w:spacing w:before="75" w:after="75"/>
        <w:rPr>
          <w:color w:val="auto"/>
          <w:sz w:val="22"/>
          <w:szCs w:val="22"/>
          <w:highlight w:val="none"/>
        </w:rPr>
      </w:pPr>
      <w:r>
        <w:rPr>
          <w:rFonts w:hint="eastAsia"/>
          <w:color w:val="auto"/>
          <w:sz w:val="22"/>
          <w:szCs w:val="22"/>
          <w:highlight w:val="none"/>
        </w:rPr>
        <w:br w:type="page"/>
      </w:r>
    </w:p>
    <w:p w14:paraId="3DB876EE">
      <w:pPr>
        <w:pStyle w:val="2"/>
        <w:spacing w:line="600" w:lineRule="exact"/>
        <w:jc w:val="center"/>
        <w:rPr>
          <w:rFonts w:ascii="黑体" w:hAnsi="黑体" w:eastAsia="黑体"/>
          <w:bCs/>
          <w:color w:val="auto"/>
          <w:sz w:val="36"/>
          <w:szCs w:val="36"/>
          <w:highlight w:val="none"/>
        </w:rPr>
      </w:pPr>
      <w:bookmarkStart w:id="25" w:name="_Toc26027"/>
      <w:r>
        <w:rPr>
          <w:rFonts w:hint="eastAsia" w:ascii="黑体" w:hAnsi="黑体" w:eastAsia="黑体"/>
          <w:bCs/>
          <w:color w:val="auto"/>
          <w:sz w:val="36"/>
          <w:szCs w:val="36"/>
          <w:highlight w:val="none"/>
        </w:rPr>
        <w:t>第二部分   投标人须知</w:t>
      </w:r>
      <w:bookmarkEnd w:id="8"/>
      <w:bookmarkEnd w:id="25"/>
    </w:p>
    <w:p w14:paraId="5A73F929">
      <w:pPr>
        <w:pStyle w:val="3"/>
        <w:tabs>
          <w:tab w:val="left" w:pos="840"/>
        </w:tabs>
        <w:spacing w:line="680" w:lineRule="exact"/>
        <w:jc w:val="center"/>
        <w:rPr>
          <w:rFonts w:ascii="宋体" w:hAnsi="宋体" w:eastAsia="宋体" w:cs="宋体"/>
          <w:color w:val="auto"/>
          <w:sz w:val="28"/>
          <w:szCs w:val="28"/>
          <w:highlight w:val="none"/>
        </w:rPr>
      </w:pPr>
      <w:bookmarkStart w:id="26" w:name="_Toc4536"/>
      <w:bookmarkStart w:id="27" w:name="_Toc486600281"/>
      <w:r>
        <w:rPr>
          <w:rFonts w:hint="eastAsia" w:ascii="宋体" w:hAnsi="宋体" w:eastAsia="宋体" w:cs="宋体"/>
          <w:color w:val="auto"/>
          <w:sz w:val="28"/>
          <w:szCs w:val="28"/>
          <w:highlight w:val="none"/>
        </w:rPr>
        <w:t>投标人须知前附表</w:t>
      </w:r>
      <w:bookmarkEnd w:id="26"/>
      <w:bookmarkEnd w:id="27"/>
    </w:p>
    <w:tbl>
      <w:tblPr>
        <w:tblStyle w:val="40"/>
        <w:tblW w:w="10008" w:type="dxa"/>
        <w:tblInd w:w="0" w:type="dxa"/>
        <w:tblLayout w:type="fixed"/>
        <w:tblCellMar>
          <w:top w:w="0" w:type="dxa"/>
          <w:left w:w="108" w:type="dxa"/>
          <w:bottom w:w="0" w:type="dxa"/>
          <w:right w:w="108" w:type="dxa"/>
        </w:tblCellMar>
      </w:tblPr>
      <w:tblGrid>
        <w:gridCol w:w="1001"/>
        <w:gridCol w:w="1712"/>
        <w:gridCol w:w="7295"/>
      </w:tblGrid>
      <w:tr w14:paraId="1E85007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0AE56FA">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019FB9D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条款名称</w:t>
            </w:r>
          </w:p>
        </w:tc>
        <w:tc>
          <w:tcPr>
            <w:tcW w:w="7295" w:type="dxa"/>
            <w:tcBorders>
              <w:top w:val="single" w:color="auto" w:sz="4" w:space="0"/>
              <w:left w:val="single" w:color="auto" w:sz="4" w:space="0"/>
              <w:bottom w:val="single" w:color="auto" w:sz="4" w:space="0"/>
              <w:right w:val="single" w:color="auto" w:sz="4" w:space="0"/>
            </w:tcBorders>
            <w:vAlign w:val="center"/>
          </w:tcPr>
          <w:p w14:paraId="7E999A2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编列内容</w:t>
            </w:r>
          </w:p>
        </w:tc>
      </w:tr>
      <w:tr w14:paraId="4CB37E4D">
        <w:tblPrEx>
          <w:tblCellMar>
            <w:top w:w="0" w:type="dxa"/>
            <w:left w:w="108" w:type="dxa"/>
            <w:bottom w:w="0" w:type="dxa"/>
            <w:right w:w="108" w:type="dxa"/>
          </w:tblCellMar>
        </w:tblPrEx>
        <w:trPr>
          <w:trHeight w:val="467" w:hRule="atLeast"/>
        </w:trPr>
        <w:tc>
          <w:tcPr>
            <w:tcW w:w="1001" w:type="dxa"/>
            <w:tcBorders>
              <w:top w:val="single" w:color="auto" w:sz="4" w:space="0"/>
              <w:left w:val="single" w:color="auto" w:sz="4" w:space="0"/>
              <w:bottom w:val="single" w:color="auto" w:sz="4" w:space="0"/>
              <w:right w:val="single" w:color="auto" w:sz="4" w:space="0"/>
            </w:tcBorders>
            <w:vAlign w:val="center"/>
          </w:tcPr>
          <w:p w14:paraId="4EF68E7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712" w:type="dxa"/>
            <w:tcBorders>
              <w:top w:val="single" w:color="auto" w:sz="4" w:space="0"/>
              <w:left w:val="single" w:color="auto" w:sz="4" w:space="0"/>
              <w:bottom w:val="single" w:color="auto" w:sz="4" w:space="0"/>
              <w:right w:val="single" w:color="auto" w:sz="4" w:space="0"/>
            </w:tcBorders>
            <w:vAlign w:val="center"/>
          </w:tcPr>
          <w:p w14:paraId="42AD0E3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项目名称、编号</w:t>
            </w:r>
          </w:p>
        </w:tc>
        <w:tc>
          <w:tcPr>
            <w:tcW w:w="7295" w:type="dxa"/>
            <w:tcBorders>
              <w:top w:val="single" w:color="auto" w:sz="4" w:space="0"/>
              <w:left w:val="single" w:color="auto" w:sz="4" w:space="0"/>
              <w:bottom w:val="single" w:color="auto" w:sz="4" w:space="0"/>
              <w:right w:val="single" w:color="auto" w:sz="4" w:space="0"/>
            </w:tcBorders>
            <w:vAlign w:val="center"/>
          </w:tcPr>
          <w:p w14:paraId="34C5A6BC">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见第一部分“招标公告”</w:t>
            </w:r>
          </w:p>
        </w:tc>
      </w:tr>
      <w:tr w14:paraId="46425A93">
        <w:tblPrEx>
          <w:tblCellMar>
            <w:top w:w="0" w:type="dxa"/>
            <w:left w:w="108" w:type="dxa"/>
            <w:bottom w:w="0" w:type="dxa"/>
            <w:right w:w="108" w:type="dxa"/>
          </w:tblCellMar>
        </w:tblPrEx>
        <w:trPr>
          <w:trHeight w:val="488" w:hRule="atLeast"/>
        </w:trPr>
        <w:tc>
          <w:tcPr>
            <w:tcW w:w="1001" w:type="dxa"/>
            <w:tcBorders>
              <w:top w:val="single" w:color="auto" w:sz="4" w:space="0"/>
              <w:left w:val="single" w:color="auto" w:sz="4" w:space="0"/>
              <w:bottom w:val="single" w:color="auto" w:sz="4" w:space="0"/>
              <w:right w:val="single" w:color="auto" w:sz="4" w:space="0"/>
            </w:tcBorders>
            <w:vAlign w:val="center"/>
          </w:tcPr>
          <w:p w14:paraId="6D73D31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712" w:type="dxa"/>
            <w:tcBorders>
              <w:top w:val="single" w:color="auto" w:sz="4" w:space="0"/>
              <w:left w:val="single" w:color="auto" w:sz="4" w:space="0"/>
              <w:bottom w:val="single" w:color="auto" w:sz="4" w:space="0"/>
              <w:right w:val="single" w:color="auto" w:sz="4" w:space="0"/>
            </w:tcBorders>
            <w:vAlign w:val="center"/>
          </w:tcPr>
          <w:p w14:paraId="2BE81AE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采购内容</w:t>
            </w:r>
          </w:p>
        </w:tc>
        <w:tc>
          <w:tcPr>
            <w:tcW w:w="7295" w:type="dxa"/>
            <w:tcBorders>
              <w:top w:val="single" w:color="auto" w:sz="4" w:space="0"/>
              <w:left w:val="single" w:color="auto" w:sz="4" w:space="0"/>
              <w:bottom w:val="single" w:color="auto" w:sz="4" w:space="0"/>
              <w:right w:val="single" w:color="auto" w:sz="4" w:space="0"/>
            </w:tcBorders>
            <w:vAlign w:val="center"/>
          </w:tcPr>
          <w:p w14:paraId="4F53A2C1">
            <w:pPr>
              <w:tabs>
                <w:tab w:val="left" w:pos="851"/>
                <w:tab w:val="center" w:pos="5812"/>
                <w:tab w:val="decimal" w:pos="6804"/>
                <w:tab w:val="decimal" w:pos="8789"/>
              </w:tabs>
              <w:adjustRightInd w:val="0"/>
              <w:snapToGrid w:val="0"/>
              <w:spacing w:line="360" w:lineRule="exact"/>
              <w:rPr>
                <w:color w:val="auto"/>
                <w:sz w:val="22"/>
                <w:szCs w:val="22"/>
                <w:highlight w:val="none"/>
              </w:rPr>
            </w:pPr>
            <w:r>
              <w:rPr>
                <w:rFonts w:hint="eastAsia" w:ascii="宋体" w:hAnsi="宋体" w:cs="宋体"/>
                <w:color w:val="auto"/>
                <w:sz w:val="22"/>
                <w:szCs w:val="22"/>
                <w:highlight w:val="none"/>
              </w:rPr>
              <w:t>见第一部分“招标公告”</w:t>
            </w:r>
          </w:p>
        </w:tc>
      </w:tr>
      <w:tr w14:paraId="03D2C002">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1EEEA78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712" w:type="dxa"/>
            <w:tcBorders>
              <w:top w:val="single" w:color="auto" w:sz="4" w:space="0"/>
              <w:left w:val="single" w:color="auto" w:sz="4" w:space="0"/>
              <w:bottom w:val="single" w:color="auto" w:sz="4" w:space="0"/>
              <w:right w:val="single" w:color="auto" w:sz="4" w:space="0"/>
            </w:tcBorders>
            <w:vAlign w:val="center"/>
          </w:tcPr>
          <w:p w14:paraId="5B5C510A">
            <w:pPr>
              <w:spacing w:line="360" w:lineRule="exact"/>
              <w:jc w:val="center"/>
              <w:rPr>
                <w:rFonts w:hAnsi="宋体"/>
                <w:b/>
                <w:bCs/>
                <w:color w:val="auto"/>
                <w:sz w:val="22"/>
                <w:szCs w:val="22"/>
                <w:highlight w:val="none"/>
              </w:rPr>
            </w:pPr>
            <w:r>
              <w:rPr>
                <w:rFonts w:hint="eastAsia" w:ascii="宋体" w:hAnsi="宋体" w:cs="宋体"/>
                <w:color w:val="auto"/>
                <w:sz w:val="22"/>
                <w:szCs w:val="22"/>
                <w:highlight w:val="none"/>
              </w:rPr>
              <w:t>采购预算</w:t>
            </w:r>
          </w:p>
        </w:tc>
        <w:tc>
          <w:tcPr>
            <w:tcW w:w="7295" w:type="dxa"/>
            <w:tcBorders>
              <w:top w:val="single" w:color="auto" w:sz="4" w:space="0"/>
              <w:left w:val="single" w:color="auto" w:sz="4" w:space="0"/>
              <w:bottom w:val="single" w:color="auto" w:sz="4" w:space="0"/>
              <w:right w:val="single" w:color="auto" w:sz="4" w:space="0"/>
            </w:tcBorders>
            <w:vAlign w:val="center"/>
          </w:tcPr>
          <w:p w14:paraId="2D6682EB">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采购预算见第一部分“招标公告”。</w:t>
            </w:r>
          </w:p>
        </w:tc>
      </w:tr>
      <w:tr w14:paraId="27C2FB01">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2A3BCB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712" w:type="dxa"/>
            <w:tcBorders>
              <w:top w:val="single" w:color="auto" w:sz="4" w:space="0"/>
              <w:left w:val="single" w:color="auto" w:sz="4" w:space="0"/>
              <w:bottom w:val="single" w:color="auto" w:sz="4" w:space="0"/>
              <w:right w:val="single" w:color="auto" w:sz="4" w:space="0"/>
            </w:tcBorders>
            <w:vAlign w:val="center"/>
          </w:tcPr>
          <w:p w14:paraId="70354CC9">
            <w:pPr>
              <w:spacing w:line="360" w:lineRule="exact"/>
              <w:jc w:val="center"/>
              <w:rPr>
                <w:rFonts w:hint="eastAsia" w:ascii="宋体" w:hAnsi="宋体" w:eastAsia="宋体" w:cs="宋体"/>
                <w:color w:val="auto"/>
                <w:sz w:val="22"/>
                <w:szCs w:val="22"/>
                <w:highlight w:val="none"/>
                <w:lang w:eastAsia="zh-CN"/>
              </w:rPr>
            </w:pPr>
            <w:r>
              <w:rPr>
                <w:rFonts w:hint="eastAsia" w:ascii="宋体" w:hAnsi="宋体"/>
                <w:color w:val="auto"/>
                <w:sz w:val="22"/>
                <w:szCs w:val="22"/>
                <w:highlight w:val="none"/>
                <w:lang w:val="en-US" w:eastAsia="zh-CN"/>
              </w:rPr>
              <w:t>服务期限</w:t>
            </w:r>
          </w:p>
        </w:tc>
        <w:tc>
          <w:tcPr>
            <w:tcW w:w="7295" w:type="dxa"/>
            <w:tcBorders>
              <w:top w:val="single" w:color="auto" w:sz="4" w:space="0"/>
              <w:left w:val="single" w:color="auto" w:sz="4" w:space="0"/>
              <w:bottom w:val="single" w:color="auto" w:sz="4" w:space="0"/>
              <w:right w:val="single" w:color="auto" w:sz="4" w:space="0"/>
            </w:tcBorders>
            <w:vAlign w:val="center"/>
          </w:tcPr>
          <w:p w14:paraId="27F685CE">
            <w:pPr>
              <w:pStyle w:val="16"/>
              <w:spacing w:line="36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2年，具体以合同约定为准。</w:t>
            </w:r>
          </w:p>
        </w:tc>
      </w:tr>
      <w:tr w14:paraId="4F393CE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BB5EB5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712" w:type="dxa"/>
            <w:tcBorders>
              <w:top w:val="single" w:color="auto" w:sz="4" w:space="0"/>
              <w:left w:val="single" w:color="auto" w:sz="4" w:space="0"/>
              <w:bottom w:val="single" w:color="auto" w:sz="4" w:space="0"/>
              <w:right w:val="single" w:color="auto" w:sz="4" w:space="0"/>
            </w:tcBorders>
            <w:vAlign w:val="center"/>
          </w:tcPr>
          <w:p w14:paraId="3225734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投标人资格要求</w:t>
            </w:r>
          </w:p>
        </w:tc>
        <w:tc>
          <w:tcPr>
            <w:tcW w:w="7295" w:type="dxa"/>
            <w:tcBorders>
              <w:top w:val="single" w:color="auto" w:sz="4" w:space="0"/>
              <w:left w:val="single" w:color="auto" w:sz="4" w:space="0"/>
              <w:bottom w:val="single" w:color="auto" w:sz="4" w:space="0"/>
              <w:right w:val="single" w:color="auto" w:sz="4" w:space="0"/>
            </w:tcBorders>
            <w:vAlign w:val="center"/>
          </w:tcPr>
          <w:p w14:paraId="02C88FE6">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见第一部分“招标公告”</w:t>
            </w:r>
          </w:p>
        </w:tc>
      </w:tr>
      <w:tr w14:paraId="70D7840B">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58B983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712" w:type="dxa"/>
            <w:tcBorders>
              <w:top w:val="single" w:color="auto" w:sz="4" w:space="0"/>
              <w:left w:val="single" w:color="auto" w:sz="4" w:space="0"/>
              <w:bottom w:val="single" w:color="auto" w:sz="4" w:space="0"/>
              <w:right w:val="single" w:color="auto" w:sz="4" w:space="0"/>
            </w:tcBorders>
            <w:vAlign w:val="center"/>
          </w:tcPr>
          <w:p w14:paraId="66D3D44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295" w:type="dxa"/>
            <w:tcBorders>
              <w:top w:val="single" w:color="auto" w:sz="4" w:space="0"/>
              <w:left w:val="single" w:color="auto" w:sz="4" w:space="0"/>
              <w:bottom w:val="single" w:color="auto" w:sz="4" w:space="0"/>
              <w:right w:val="single" w:color="auto" w:sz="4" w:space="0"/>
            </w:tcBorders>
            <w:vAlign w:val="center"/>
          </w:tcPr>
          <w:p w14:paraId="0C9E2172">
            <w:pPr>
              <w:spacing w:line="360" w:lineRule="exact"/>
              <w:rPr>
                <w:rFonts w:ascii="宋体" w:hAnsi="宋体" w:cs="宋体"/>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宋体"/>
                <w:color w:val="auto"/>
                <w:sz w:val="22"/>
                <w:szCs w:val="22"/>
                <w:highlight w:val="none"/>
              </w:rPr>
              <w:t>不接受</w:t>
            </w:r>
          </w:p>
          <w:p w14:paraId="6B1E1F2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sym w:font="Wingdings 2" w:char="0052"/>
            </w:r>
            <w:r>
              <w:rPr>
                <w:rFonts w:hint="eastAsia" w:ascii="宋体" w:hAnsi="宋体" w:cs="宋体"/>
                <w:color w:val="auto"/>
                <w:sz w:val="22"/>
                <w:szCs w:val="22"/>
                <w:highlight w:val="none"/>
              </w:rPr>
              <w:t>接受，应满足下列要求：无。</w:t>
            </w:r>
          </w:p>
        </w:tc>
      </w:tr>
      <w:tr w14:paraId="68EA26EF">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1F242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712" w:type="dxa"/>
            <w:tcBorders>
              <w:top w:val="single" w:color="auto" w:sz="4" w:space="0"/>
              <w:left w:val="single" w:color="auto" w:sz="4" w:space="0"/>
              <w:bottom w:val="single" w:color="auto" w:sz="4" w:space="0"/>
              <w:right w:val="single" w:color="auto" w:sz="4" w:space="0"/>
            </w:tcBorders>
            <w:vAlign w:val="center"/>
          </w:tcPr>
          <w:p w14:paraId="67D1430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295" w:type="dxa"/>
            <w:tcBorders>
              <w:top w:val="single" w:color="auto" w:sz="4" w:space="0"/>
              <w:left w:val="single" w:color="auto" w:sz="4" w:space="0"/>
              <w:bottom w:val="single" w:color="auto" w:sz="4" w:space="0"/>
              <w:right w:val="single" w:color="auto" w:sz="4" w:space="0"/>
            </w:tcBorders>
            <w:vAlign w:val="center"/>
          </w:tcPr>
          <w:p w14:paraId="150A6AA2">
            <w:pPr>
              <w:spacing w:line="360" w:lineRule="exact"/>
              <w:rPr>
                <w:rFonts w:ascii="宋体" w:hAnsi="宋体" w:cs="宋体"/>
                <w:color w:val="auto"/>
                <w:szCs w:val="22"/>
                <w:highlight w:val="none"/>
              </w:rPr>
            </w:pPr>
            <w:r>
              <w:rPr>
                <w:rFonts w:hint="eastAsia" w:ascii="宋体" w:hAnsi="宋体" w:cs="宋体"/>
                <w:color w:val="auto"/>
                <w:szCs w:val="22"/>
                <w:highlight w:val="none"/>
              </w:rPr>
              <w:sym w:font="Wingdings 2" w:char="00A3"/>
            </w:r>
            <w:r>
              <w:rPr>
                <w:rFonts w:hint="eastAsia" w:ascii="宋体" w:hAnsi="宋体" w:cs="宋体"/>
                <w:color w:val="auto"/>
                <w:szCs w:val="22"/>
                <w:highlight w:val="none"/>
              </w:rPr>
              <w:t>组织，时间：</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,地点：</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，联系方式</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29FF8723">
            <w:pPr>
              <w:spacing w:line="360" w:lineRule="exact"/>
              <w:rPr>
                <w:rFonts w:ascii="宋体" w:hAnsi="宋体" w:cs="宋体"/>
                <w:color w:val="auto"/>
                <w:sz w:val="22"/>
                <w:szCs w:val="22"/>
                <w:highlight w:val="none"/>
              </w:rPr>
            </w:pPr>
            <w:r>
              <w:rPr>
                <w:rFonts w:hint="eastAsia" w:ascii="宋体" w:hAnsi="宋体" w:cs="宋体"/>
                <w:bCs/>
                <w:snapToGrid w:val="0"/>
                <w:color w:val="auto"/>
                <w:szCs w:val="22"/>
                <w:highlight w:val="none"/>
              </w:rPr>
              <w:sym w:font="Wingdings" w:char="00FE"/>
            </w:r>
            <w:r>
              <w:rPr>
                <w:rFonts w:hint="eastAsia" w:ascii="宋体" w:hAnsi="宋体" w:cs="宋体"/>
                <w:color w:val="auto"/>
                <w:szCs w:val="22"/>
                <w:highlight w:val="none"/>
              </w:rPr>
              <w:t>不组织</w:t>
            </w:r>
          </w:p>
        </w:tc>
      </w:tr>
      <w:tr w14:paraId="6275C77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9D8F02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712" w:type="dxa"/>
            <w:tcBorders>
              <w:top w:val="single" w:color="auto" w:sz="4" w:space="0"/>
              <w:left w:val="single" w:color="auto" w:sz="4" w:space="0"/>
              <w:bottom w:val="single" w:color="auto" w:sz="4" w:space="0"/>
              <w:right w:val="single" w:color="auto" w:sz="4" w:space="0"/>
            </w:tcBorders>
            <w:vAlign w:val="center"/>
          </w:tcPr>
          <w:p w14:paraId="2645AA1B">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开标前答疑会</w:t>
            </w:r>
          </w:p>
        </w:tc>
        <w:tc>
          <w:tcPr>
            <w:tcW w:w="7295" w:type="dxa"/>
            <w:tcBorders>
              <w:top w:val="single" w:color="auto" w:sz="4" w:space="0"/>
              <w:left w:val="single" w:color="auto" w:sz="4" w:space="0"/>
              <w:bottom w:val="single" w:color="auto" w:sz="4" w:space="0"/>
              <w:right w:val="single" w:color="auto" w:sz="4" w:space="0"/>
            </w:tcBorders>
            <w:vAlign w:val="center"/>
          </w:tcPr>
          <w:p w14:paraId="2505FFFE">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仿宋"/>
                <w:color w:val="auto"/>
                <w:sz w:val="22"/>
                <w:szCs w:val="22"/>
                <w:highlight w:val="none"/>
              </w:rPr>
              <w:t>不组织。</w:t>
            </w:r>
          </w:p>
          <w:p w14:paraId="7EBFD46F">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xml:space="preserve"> 组织，时间：,地点：，联系人：，联系方式</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w:t>
            </w:r>
          </w:p>
        </w:tc>
      </w:tr>
      <w:tr w14:paraId="7373444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B9B05B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712" w:type="dxa"/>
            <w:tcBorders>
              <w:top w:val="single" w:color="auto" w:sz="4" w:space="0"/>
              <w:left w:val="single" w:color="auto" w:sz="4" w:space="0"/>
              <w:bottom w:val="single" w:color="auto" w:sz="4" w:space="0"/>
              <w:right w:val="single" w:color="auto" w:sz="4" w:space="0"/>
            </w:tcBorders>
            <w:vAlign w:val="center"/>
          </w:tcPr>
          <w:p w14:paraId="57FA6EC3">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分包与转包</w:t>
            </w:r>
          </w:p>
        </w:tc>
        <w:tc>
          <w:tcPr>
            <w:tcW w:w="7295" w:type="dxa"/>
            <w:tcBorders>
              <w:top w:val="single" w:color="auto" w:sz="4" w:space="0"/>
              <w:left w:val="single" w:color="auto" w:sz="4" w:space="0"/>
              <w:bottom w:val="single" w:color="auto" w:sz="4" w:space="0"/>
              <w:right w:val="single" w:color="auto" w:sz="4" w:space="0"/>
            </w:tcBorders>
            <w:vAlign w:val="center"/>
          </w:tcPr>
          <w:p w14:paraId="5663245A">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（1）分包：</w:t>
            </w:r>
          </w:p>
          <w:p w14:paraId="502F0E32">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同意将非主体、非关键性的工作分包。</w:t>
            </w:r>
          </w:p>
          <w:p w14:paraId="1E8B1F6D">
            <w:pPr>
              <w:spacing w:line="360" w:lineRule="exact"/>
              <w:rPr>
                <w:rFonts w:ascii="宋体" w:hAnsi="宋体" w:cs="仿宋"/>
                <w:bCs/>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bCs/>
                <w:color w:val="auto"/>
                <w:sz w:val="22"/>
                <w:szCs w:val="22"/>
                <w:highlight w:val="none"/>
              </w:rPr>
              <w:t>不同意分包。</w:t>
            </w:r>
          </w:p>
          <w:p w14:paraId="607BBE1E">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（2）转包：本项目不允许转包。</w:t>
            </w:r>
          </w:p>
        </w:tc>
      </w:tr>
      <w:tr w14:paraId="104AFA6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CE29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712" w:type="dxa"/>
            <w:tcBorders>
              <w:top w:val="single" w:color="auto" w:sz="4" w:space="0"/>
              <w:left w:val="single" w:color="auto" w:sz="4" w:space="0"/>
              <w:bottom w:val="single" w:color="auto" w:sz="4" w:space="0"/>
              <w:right w:val="single" w:color="auto" w:sz="4" w:space="0"/>
            </w:tcBorders>
            <w:vAlign w:val="center"/>
          </w:tcPr>
          <w:p w14:paraId="34E2F59E">
            <w:pPr>
              <w:autoSpaceDE w:val="0"/>
              <w:autoSpaceDN w:val="0"/>
              <w:adjustRightInd w:val="0"/>
              <w:snapToGrid w:val="0"/>
              <w:spacing w:line="360" w:lineRule="exact"/>
              <w:jc w:val="center"/>
              <w:rPr>
                <w:rFonts w:ascii="宋体" w:hAnsi="宋体" w:cs="仿宋"/>
                <w:bCs/>
                <w:color w:val="auto"/>
                <w:sz w:val="22"/>
                <w:szCs w:val="22"/>
                <w:highlight w:val="none"/>
              </w:rPr>
            </w:pPr>
            <w:r>
              <w:rPr>
                <w:rFonts w:hint="eastAsia" w:ascii="宋体" w:hAnsi="宋体" w:cs="宋体"/>
                <w:snapToGrid w:val="0"/>
                <w:color w:val="auto"/>
                <w:szCs w:val="22"/>
                <w:highlight w:val="none"/>
              </w:rPr>
              <w:t>报价要求</w:t>
            </w:r>
          </w:p>
        </w:tc>
        <w:tc>
          <w:tcPr>
            <w:tcW w:w="7295" w:type="dxa"/>
            <w:tcBorders>
              <w:top w:val="single" w:color="auto" w:sz="4" w:space="0"/>
              <w:left w:val="single" w:color="auto" w:sz="4" w:space="0"/>
              <w:bottom w:val="single" w:color="auto" w:sz="4" w:space="0"/>
              <w:right w:val="single" w:color="auto" w:sz="4" w:space="0"/>
            </w:tcBorders>
            <w:vAlign w:val="center"/>
          </w:tcPr>
          <w:p w14:paraId="1C02054B">
            <w:pPr>
              <w:adjustRightInd w:val="0"/>
              <w:snapToGrid w:val="0"/>
              <w:spacing w:line="360" w:lineRule="exact"/>
              <w:rPr>
                <w:rFonts w:ascii="宋体" w:hAnsi="宋体" w:cs="宋体"/>
                <w:b/>
                <w:bCs/>
                <w:color w:val="auto"/>
                <w:szCs w:val="22"/>
                <w:highlight w:val="none"/>
              </w:rPr>
            </w:pPr>
            <w:r>
              <w:rPr>
                <w:rFonts w:hint="eastAsia" w:ascii="宋体" w:hAnsi="宋体" w:cs="宋体"/>
                <w:b/>
                <w:bCs/>
                <w:color w:val="auto"/>
                <w:szCs w:val="22"/>
                <w:highlight w:val="none"/>
              </w:rPr>
              <w:t>本项目采用人民币报价</w:t>
            </w:r>
          </w:p>
          <w:p w14:paraId="089DAE1F">
            <w:pPr>
              <w:adjustRightInd w:val="0"/>
              <w:snapToGrid w:val="0"/>
              <w:spacing w:line="360" w:lineRule="exact"/>
              <w:rPr>
                <w:rFonts w:ascii="宋体" w:hAnsi="宋体" w:cs="仿宋"/>
                <w:bCs/>
                <w:color w:val="auto"/>
                <w:sz w:val="22"/>
                <w:szCs w:val="22"/>
                <w:highlight w:val="none"/>
              </w:rPr>
            </w:pPr>
            <w:r>
              <w:rPr>
                <w:rFonts w:hint="eastAsia" w:ascii="宋体" w:hAnsi="宋体" w:cs="宋体"/>
                <w:snapToGrid w:val="0"/>
                <w:color w:val="auto"/>
                <w:szCs w:val="22"/>
                <w:highlight w:val="none"/>
              </w:rPr>
              <w:t>客户端填写的报价与以pdf格式上传文件中的报价不一致的，应以Pdf格式上传文件中的报价为准。</w:t>
            </w:r>
          </w:p>
        </w:tc>
      </w:tr>
      <w:tr w14:paraId="06F6038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9EB3E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1712" w:type="dxa"/>
            <w:tcBorders>
              <w:top w:val="single" w:color="auto" w:sz="4" w:space="0"/>
              <w:left w:val="single" w:color="auto" w:sz="4" w:space="0"/>
              <w:bottom w:val="single" w:color="auto" w:sz="4" w:space="0"/>
              <w:right w:val="single" w:color="auto" w:sz="4" w:space="0"/>
            </w:tcBorders>
            <w:vAlign w:val="center"/>
          </w:tcPr>
          <w:p w14:paraId="2042BC7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7295" w:type="dxa"/>
            <w:tcBorders>
              <w:top w:val="single" w:color="auto" w:sz="4" w:space="0"/>
              <w:left w:val="single" w:color="auto" w:sz="4" w:space="0"/>
              <w:bottom w:val="single" w:color="auto" w:sz="4" w:space="0"/>
              <w:right w:val="single" w:color="auto" w:sz="4" w:space="0"/>
            </w:tcBorders>
            <w:vAlign w:val="center"/>
          </w:tcPr>
          <w:p w14:paraId="00076F7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偏差允许幅度及其处理方法：允许细微偏差，不允许重大偏差。由评标委员会判断，细微偏差要求投标人在评标结束前予以澄清、说明或补正，不接受要求进行的，评标委员会有权</w:t>
            </w:r>
            <w:r>
              <w:rPr>
                <w:rFonts w:hint="eastAsia" w:ascii="宋体" w:hAnsi="宋体" w:cs="宋体"/>
                <w:color w:val="auto"/>
                <w:sz w:val="22"/>
                <w:szCs w:val="22"/>
                <w:highlight w:val="none"/>
                <w:lang w:val="en-US" w:eastAsia="zh-CN"/>
              </w:rPr>
              <w:t>作</w:t>
            </w:r>
            <w:r>
              <w:rPr>
                <w:rFonts w:hint="eastAsia" w:ascii="宋体" w:hAnsi="宋体" w:cs="宋体"/>
                <w:color w:val="auto"/>
                <w:sz w:val="22"/>
                <w:szCs w:val="22"/>
                <w:highlight w:val="none"/>
              </w:rPr>
              <w:t>无效标处理，详见评标方法。</w:t>
            </w:r>
          </w:p>
        </w:tc>
      </w:tr>
      <w:tr w14:paraId="2C42228C">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500E4A1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1712" w:type="dxa"/>
            <w:tcBorders>
              <w:top w:val="single" w:color="auto" w:sz="4" w:space="0"/>
              <w:left w:val="single" w:color="auto" w:sz="4" w:space="0"/>
              <w:bottom w:val="single" w:color="auto" w:sz="4" w:space="0"/>
              <w:right w:val="single" w:color="auto" w:sz="4" w:space="0"/>
            </w:tcBorders>
            <w:vAlign w:val="center"/>
          </w:tcPr>
          <w:p w14:paraId="0C5A8317">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投标有效期</w:t>
            </w:r>
          </w:p>
        </w:tc>
        <w:tc>
          <w:tcPr>
            <w:tcW w:w="7295" w:type="dxa"/>
            <w:tcBorders>
              <w:top w:val="single" w:color="auto" w:sz="4" w:space="0"/>
              <w:left w:val="single" w:color="auto" w:sz="4" w:space="0"/>
              <w:bottom w:val="single" w:color="auto" w:sz="4" w:space="0"/>
              <w:right w:val="single" w:color="auto" w:sz="4" w:space="0"/>
            </w:tcBorders>
            <w:vAlign w:val="center"/>
          </w:tcPr>
          <w:p w14:paraId="42B5DEA8">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 xml:space="preserve">投标有效期为从提交投标文件的截止之日起 </w:t>
            </w:r>
            <w:r>
              <w:rPr>
                <w:rFonts w:ascii="宋体" w:hAnsi="宋体" w:cs="仿宋"/>
                <w:color w:val="auto"/>
                <w:sz w:val="22"/>
                <w:szCs w:val="22"/>
                <w:highlight w:val="none"/>
              </w:rPr>
              <w:t>90</w:t>
            </w:r>
            <w:r>
              <w:rPr>
                <w:rFonts w:hint="eastAsia" w:ascii="宋体" w:hAnsi="宋体" w:cs="仿宋"/>
                <w:color w:val="auto"/>
                <w:sz w:val="22"/>
                <w:szCs w:val="22"/>
                <w:highlight w:val="none"/>
              </w:rPr>
              <w:t>天</w:t>
            </w:r>
          </w:p>
        </w:tc>
      </w:tr>
      <w:tr w14:paraId="62EFFE3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419F3C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712" w:type="dxa"/>
            <w:tcBorders>
              <w:top w:val="single" w:color="auto" w:sz="4" w:space="0"/>
              <w:left w:val="single" w:color="auto" w:sz="4" w:space="0"/>
              <w:bottom w:val="single" w:color="auto" w:sz="4" w:space="0"/>
              <w:right w:val="single" w:color="auto" w:sz="4" w:space="0"/>
            </w:tcBorders>
            <w:vAlign w:val="center"/>
          </w:tcPr>
          <w:p w14:paraId="5E75D2B5">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合同签订时间</w:t>
            </w:r>
          </w:p>
        </w:tc>
        <w:tc>
          <w:tcPr>
            <w:tcW w:w="7295" w:type="dxa"/>
            <w:tcBorders>
              <w:top w:val="single" w:color="auto" w:sz="4" w:space="0"/>
              <w:left w:val="single" w:color="auto" w:sz="4" w:space="0"/>
              <w:bottom w:val="single" w:color="auto" w:sz="4" w:space="0"/>
              <w:right w:val="single" w:color="auto" w:sz="4" w:space="0"/>
            </w:tcBorders>
            <w:vAlign w:val="center"/>
          </w:tcPr>
          <w:p w14:paraId="0BBF411B">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中标通知书发出之日起30天内。</w:t>
            </w:r>
          </w:p>
        </w:tc>
      </w:tr>
      <w:tr w14:paraId="037FBEAA">
        <w:tblPrEx>
          <w:tblCellMar>
            <w:top w:w="0" w:type="dxa"/>
            <w:left w:w="108" w:type="dxa"/>
            <w:bottom w:w="0" w:type="dxa"/>
            <w:right w:w="108" w:type="dxa"/>
          </w:tblCellMar>
        </w:tblPrEx>
        <w:trPr>
          <w:trHeight w:val="273" w:hRule="atLeast"/>
        </w:trPr>
        <w:tc>
          <w:tcPr>
            <w:tcW w:w="1001" w:type="dxa"/>
            <w:tcBorders>
              <w:top w:val="single" w:color="auto" w:sz="4" w:space="0"/>
              <w:left w:val="single" w:color="auto" w:sz="4" w:space="0"/>
              <w:bottom w:val="single" w:color="auto" w:sz="4" w:space="0"/>
              <w:right w:val="single" w:color="auto" w:sz="4" w:space="0"/>
            </w:tcBorders>
            <w:vAlign w:val="center"/>
          </w:tcPr>
          <w:p w14:paraId="3F9BD30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1712" w:type="dxa"/>
            <w:tcBorders>
              <w:top w:val="single" w:color="auto" w:sz="4" w:space="0"/>
              <w:left w:val="single" w:color="auto" w:sz="4" w:space="0"/>
              <w:bottom w:val="single" w:color="auto" w:sz="4" w:space="0"/>
              <w:right w:val="single" w:color="auto" w:sz="4" w:space="0"/>
            </w:tcBorders>
            <w:vAlign w:val="center"/>
          </w:tcPr>
          <w:p w14:paraId="3166656E">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提交投标文件截止时间、开标时间和地点</w:t>
            </w:r>
          </w:p>
        </w:tc>
        <w:tc>
          <w:tcPr>
            <w:tcW w:w="7295" w:type="dxa"/>
            <w:tcBorders>
              <w:top w:val="single" w:color="auto" w:sz="4" w:space="0"/>
              <w:left w:val="single" w:color="auto" w:sz="4" w:space="0"/>
              <w:bottom w:val="single" w:color="auto" w:sz="4" w:space="0"/>
              <w:right w:val="single" w:color="auto" w:sz="4" w:space="0"/>
            </w:tcBorders>
            <w:vAlign w:val="center"/>
          </w:tcPr>
          <w:p w14:paraId="44F5D212">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详见第一部分“招标公告”</w:t>
            </w:r>
          </w:p>
        </w:tc>
      </w:tr>
      <w:tr w14:paraId="7B43433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77C698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1712" w:type="dxa"/>
            <w:tcBorders>
              <w:top w:val="single" w:color="auto" w:sz="4" w:space="0"/>
              <w:left w:val="single" w:color="auto" w:sz="4" w:space="0"/>
              <w:bottom w:val="single" w:color="auto" w:sz="4" w:space="0"/>
              <w:right w:val="single" w:color="auto" w:sz="4" w:space="0"/>
            </w:tcBorders>
            <w:vAlign w:val="center"/>
          </w:tcPr>
          <w:p w14:paraId="588F112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295" w:type="dxa"/>
            <w:tcBorders>
              <w:top w:val="single" w:color="auto" w:sz="4" w:space="0"/>
              <w:left w:val="single" w:color="auto" w:sz="4" w:space="0"/>
              <w:bottom w:val="single" w:color="auto" w:sz="4" w:space="0"/>
              <w:right w:val="single" w:color="auto" w:sz="4" w:space="0"/>
            </w:tcBorders>
            <w:vAlign w:val="center"/>
          </w:tcPr>
          <w:p w14:paraId="42A8AE48">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详见第二部分“投标人须知”第三款</w:t>
            </w:r>
          </w:p>
        </w:tc>
      </w:tr>
      <w:tr w14:paraId="457A6E7A">
        <w:tblPrEx>
          <w:tblCellMar>
            <w:top w:w="0" w:type="dxa"/>
            <w:left w:w="108" w:type="dxa"/>
            <w:bottom w:w="0" w:type="dxa"/>
            <w:right w:w="108" w:type="dxa"/>
          </w:tblCellMar>
        </w:tblPrEx>
        <w:trPr>
          <w:trHeight w:val="358" w:hRule="atLeast"/>
        </w:trPr>
        <w:tc>
          <w:tcPr>
            <w:tcW w:w="1001" w:type="dxa"/>
            <w:tcBorders>
              <w:top w:val="single" w:color="auto" w:sz="4" w:space="0"/>
              <w:left w:val="single" w:color="auto" w:sz="4" w:space="0"/>
              <w:bottom w:val="single" w:color="auto" w:sz="4" w:space="0"/>
              <w:right w:val="single" w:color="auto" w:sz="4" w:space="0"/>
            </w:tcBorders>
            <w:vAlign w:val="center"/>
          </w:tcPr>
          <w:p w14:paraId="50AF619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1712" w:type="dxa"/>
            <w:tcBorders>
              <w:top w:val="single" w:color="auto" w:sz="4" w:space="0"/>
              <w:left w:val="single" w:color="auto" w:sz="4" w:space="0"/>
              <w:bottom w:val="single" w:color="auto" w:sz="4" w:space="0"/>
              <w:right w:val="single" w:color="auto" w:sz="4" w:space="0"/>
            </w:tcBorders>
            <w:vAlign w:val="center"/>
          </w:tcPr>
          <w:p w14:paraId="304675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295" w:type="dxa"/>
            <w:tcBorders>
              <w:top w:val="single" w:color="auto" w:sz="4" w:space="0"/>
              <w:left w:val="single" w:color="auto" w:sz="4" w:space="0"/>
              <w:bottom w:val="single" w:color="auto" w:sz="4" w:space="0"/>
              <w:right w:val="single" w:color="auto" w:sz="4" w:space="0"/>
            </w:tcBorders>
            <w:vAlign w:val="center"/>
          </w:tcPr>
          <w:p w14:paraId="4E8CF958">
            <w:pPr>
              <w:pStyle w:val="26"/>
              <w:snapToGrid w:val="0"/>
              <w:spacing w:line="360" w:lineRule="exact"/>
              <w:rPr>
                <w:rFonts w:hAnsi="宋体" w:cs="宋体"/>
                <w:b/>
                <w:bCs/>
                <w:color w:val="auto"/>
                <w:highlight w:val="none"/>
              </w:rPr>
            </w:pPr>
            <w:r>
              <w:rPr>
                <w:rFonts w:hint="eastAsia" w:hAnsi="宋体" w:cs="宋体"/>
                <w:b/>
                <w:bCs/>
                <w:color w:val="auto"/>
                <w:highlight w:val="none"/>
              </w:rPr>
              <w:t>本项目实行网上电子投标。</w:t>
            </w:r>
          </w:p>
          <w:p w14:paraId="661197F6">
            <w:pPr>
              <w:pStyle w:val="26"/>
              <w:snapToGrid w:val="0"/>
              <w:spacing w:line="360" w:lineRule="exact"/>
              <w:rPr>
                <w:rFonts w:hAnsi="宋体" w:cs="宋体"/>
                <w:b/>
                <w:bCs/>
                <w:color w:val="auto"/>
                <w:szCs w:val="22"/>
                <w:highlight w:val="none"/>
              </w:rPr>
            </w:pPr>
            <w:r>
              <w:rPr>
                <w:rFonts w:hint="eastAsia" w:hAnsi="宋体" w:cs="宋体"/>
                <w:b/>
                <w:bCs/>
                <w:color w:val="auto"/>
                <w:szCs w:val="22"/>
                <w:highlight w:val="none"/>
              </w:rPr>
              <w:t>供应商应准备电子响应文件、以介质存储的数据电文形式的备份响应文件二类：</w:t>
            </w:r>
          </w:p>
          <w:p w14:paraId="5C231F30">
            <w:pPr>
              <w:pStyle w:val="26"/>
              <w:snapToGrid w:val="0"/>
              <w:spacing w:line="360" w:lineRule="exact"/>
              <w:ind w:firstLine="211" w:firstLineChars="100"/>
              <w:rPr>
                <w:rFonts w:hAnsi="宋体" w:cs="宋体"/>
                <w:b/>
                <w:bCs/>
                <w:color w:val="auto"/>
                <w:szCs w:val="22"/>
                <w:highlight w:val="none"/>
              </w:rPr>
            </w:pPr>
            <w:r>
              <w:rPr>
                <w:rFonts w:hint="eastAsia" w:hAnsi="宋体" w:cs="宋体"/>
                <w:b/>
                <w:bCs/>
                <w:color w:val="auto"/>
                <w:szCs w:val="22"/>
                <w:highlight w:val="none"/>
              </w:rPr>
              <w:t>(1)电子响应文件：通过乐采云电子交易客户端（乐采云投标客户端）完成响应文件编制后生成并加密的数据电文形式的响应文件（文件扩展名为.jmbs）</w:t>
            </w:r>
            <w:r>
              <w:rPr>
                <w:rFonts w:hint="eastAsia" w:hAnsi="宋体" w:cs="宋体"/>
                <w:b/>
                <w:bCs/>
                <w:color w:val="auto"/>
                <w:szCs w:val="22"/>
                <w:highlight w:val="none"/>
                <w:lang w:val="zh-CN"/>
              </w:rPr>
              <w:t>。</w:t>
            </w:r>
          </w:p>
          <w:p w14:paraId="391ACCE9">
            <w:pPr>
              <w:spacing w:line="360" w:lineRule="exact"/>
              <w:ind w:firstLine="211" w:firstLineChars="100"/>
              <w:rPr>
                <w:rStyle w:val="43"/>
                <w:rFonts w:ascii="宋体" w:hAnsi="宋体" w:cs="宋体"/>
                <w:color w:val="auto"/>
                <w:szCs w:val="22"/>
                <w:highlight w:val="none"/>
              </w:rPr>
            </w:pPr>
            <w:r>
              <w:rPr>
                <w:rFonts w:hint="eastAsia" w:ascii="宋体" w:hAnsi="宋体" w:cs="宋体"/>
                <w:b/>
                <w:bCs/>
                <w:color w:val="auto"/>
                <w:szCs w:val="22"/>
                <w:highlight w:val="none"/>
              </w:rPr>
              <w:t>(2)以介质存储的数据电文形式的备份响应文件：</w:t>
            </w:r>
            <w:r>
              <w:rPr>
                <w:rStyle w:val="43"/>
                <w:rFonts w:hint="eastAsia" w:ascii="宋体" w:hAnsi="宋体" w:cs="宋体"/>
                <w:color w:val="auto"/>
                <w:szCs w:val="22"/>
                <w:highlight w:val="none"/>
              </w:rPr>
              <w:t>与“电子响应文件”同时生成的数据电文形式的备份响应文件(文件扩展名为.bfbs)</w:t>
            </w:r>
            <w:r>
              <w:rPr>
                <w:rFonts w:hint="eastAsia" w:ascii="宋体" w:hAnsi="宋体" w:cs="宋体"/>
                <w:b/>
                <w:bCs/>
                <w:color w:val="auto"/>
                <w:szCs w:val="22"/>
                <w:highlight w:val="none"/>
              </w:rPr>
              <w:t>，投标文件提交截止时间前以</w:t>
            </w:r>
            <w:r>
              <w:rPr>
                <w:rFonts w:hint="eastAsia" w:ascii="宋体" w:hAnsi="宋体" w:cs="宋体"/>
                <w:b/>
                <w:bCs/>
                <w:color w:val="auto"/>
                <w:szCs w:val="22"/>
                <w:highlight w:val="none"/>
                <w:lang w:val="zh-CN"/>
              </w:rPr>
              <w:t>电子邮件方式传送至</w:t>
            </w:r>
            <w:r>
              <w:rPr>
                <w:rFonts w:hint="eastAsia" w:ascii="宋体" w:hAnsi="宋体" w:cs="宋体"/>
                <w:b/>
                <w:bCs/>
                <w:color w:val="auto"/>
                <w:szCs w:val="22"/>
                <w:highlight w:val="none"/>
              </w:rPr>
              <w:t>温州正风招标代理</w:t>
            </w:r>
            <w:r>
              <w:rPr>
                <w:rFonts w:hint="eastAsia" w:ascii="宋体" w:hAnsi="宋体" w:cs="宋体"/>
                <w:b/>
                <w:bCs/>
                <w:color w:val="auto"/>
                <w:szCs w:val="22"/>
                <w:highlight w:val="none"/>
                <w:lang w:val="zh-CN"/>
              </w:rPr>
              <w:t>有限公司电子邮箱</w:t>
            </w:r>
            <w:r>
              <w:rPr>
                <w:rFonts w:hint="eastAsia" w:ascii="宋体" w:hAnsi="宋体"/>
                <w:b/>
                <w:bCs/>
                <w:color w:val="auto"/>
                <w:szCs w:val="22"/>
                <w:highlight w:val="none"/>
                <w:u w:val="single"/>
              </w:rPr>
              <w:t>41396739@qq.com</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递交</w:t>
            </w:r>
            <w:r>
              <w:rPr>
                <w:rFonts w:hint="eastAsia" w:ascii="宋体" w:hAnsi="宋体" w:cs="宋体"/>
                <w:b/>
                <w:bCs/>
                <w:color w:val="auto"/>
                <w:szCs w:val="22"/>
                <w:highlight w:val="none"/>
              </w:rPr>
              <w:t>1</w:t>
            </w:r>
            <w:r>
              <w:rPr>
                <w:rFonts w:hint="eastAsia" w:ascii="宋体" w:hAnsi="宋体" w:cs="宋体"/>
                <w:b/>
                <w:bCs/>
                <w:color w:val="auto"/>
                <w:szCs w:val="22"/>
                <w:highlight w:val="none"/>
                <w:lang w:val="zh-CN"/>
              </w:rPr>
              <w:t>份</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传送的备份响应文件需打包压缩并加密</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加密密码由供应商自行保管</w:t>
            </w:r>
            <w:r>
              <w:rPr>
                <w:rFonts w:hint="eastAsia" w:ascii="宋体" w:hAnsi="宋体" w:cs="宋体"/>
                <w:b/>
                <w:bCs/>
                <w:color w:val="auto"/>
                <w:szCs w:val="22"/>
                <w:highlight w:val="none"/>
              </w:rPr>
              <w:t>，未加密导致投标信息泄露的风险由供应商自行承担。</w:t>
            </w:r>
          </w:p>
          <w:p w14:paraId="2251F52B">
            <w:pPr>
              <w:pStyle w:val="26"/>
              <w:snapToGrid w:val="0"/>
              <w:spacing w:line="360" w:lineRule="exact"/>
              <w:rPr>
                <w:rFonts w:hAnsi="宋体" w:cs="宋体"/>
                <w:color w:val="auto"/>
                <w:sz w:val="22"/>
                <w:szCs w:val="22"/>
                <w:highlight w:val="none"/>
              </w:rPr>
            </w:pPr>
            <w:r>
              <w:rPr>
                <w:rFonts w:hint="eastAsia" w:hAnsi="宋体" w:cs="宋体"/>
                <w:b/>
                <w:bCs/>
                <w:color w:val="auto"/>
                <w:highlight w:val="none"/>
              </w:rPr>
              <w:t>响应文件由报价文件、</w:t>
            </w:r>
            <w:r>
              <w:rPr>
                <w:rFonts w:hint="eastAsia" w:hAnsi="宋体" w:cs="宋体"/>
                <w:b/>
                <w:color w:val="auto"/>
                <w:highlight w:val="none"/>
              </w:rPr>
              <w:t>资格文件、商务和</w:t>
            </w:r>
            <w:r>
              <w:rPr>
                <w:rFonts w:hint="eastAsia" w:hAnsi="宋体" w:cs="宋体"/>
                <w:b/>
                <w:bCs/>
                <w:color w:val="auto"/>
                <w:highlight w:val="none"/>
              </w:rPr>
              <w:t>技术文件三部分组成。</w:t>
            </w:r>
          </w:p>
        </w:tc>
      </w:tr>
      <w:tr w14:paraId="717A342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D1B5C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1712" w:type="dxa"/>
            <w:tcBorders>
              <w:top w:val="single" w:color="auto" w:sz="4" w:space="0"/>
              <w:left w:val="single" w:color="auto" w:sz="4" w:space="0"/>
              <w:bottom w:val="single" w:color="auto" w:sz="4" w:space="0"/>
              <w:right w:val="single" w:color="auto" w:sz="4" w:space="0"/>
            </w:tcBorders>
            <w:vAlign w:val="center"/>
          </w:tcPr>
          <w:p w14:paraId="5181F00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开评标程序</w:t>
            </w:r>
          </w:p>
        </w:tc>
        <w:tc>
          <w:tcPr>
            <w:tcW w:w="7295" w:type="dxa"/>
            <w:tcBorders>
              <w:top w:val="single" w:color="auto" w:sz="4" w:space="0"/>
              <w:left w:val="single" w:color="auto" w:sz="4" w:space="0"/>
              <w:bottom w:val="single" w:color="auto" w:sz="4" w:space="0"/>
              <w:right w:val="single" w:color="auto" w:sz="4" w:space="0"/>
            </w:tcBorders>
            <w:vAlign w:val="center"/>
          </w:tcPr>
          <w:p w14:paraId="417F9B5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待开标→投标文件在线解密→代理机构或采购人在线资格性审查→评标委员会在线评标→系统公开商务技术文件评审结果→系统公开报价情况→评标委员会对报价情况进行评审→系统公布评审结果。</w:t>
            </w:r>
          </w:p>
          <w:p w14:paraId="44545C10">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上述程序将根据乐采云电子评标系统的调整而变动。</w:t>
            </w:r>
          </w:p>
        </w:tc>
      </w:tr>
      <w:tr w14:paraId="116463A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AC04FE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1712" w:type="dxa"/>
            <w:tcBorders>
              <w:top w:val="single" w:color="auto" w:sz="4" w:space="0"/>
              <w:left w:val="single" w:color="auto" w:sz="4" w:space="0"/>
              <w:bottom w:val="single" w:color="auto" w:sz="4" w:space="0"/>
              <w:right w:val="single" w:color="auto" w:sz="4" w:space="0"/>
            </w:tcBorders>
            <w:vAlign w:val="center"/>
          </w:tcPr>
          <w:p w14:paraId="12F3E2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评标委员会</w:t>
            </w:r>
          </w:p>
          <w:p w14:paraId="20D31B0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的组建</w:t>
            </w:r>
          </w:p>
        </w:tc>
        <w:tc>
          <w:tcPr>
            <w:tcW w:w="7295" w:type="dxa"/>
            <w:tcBorders>
              <w:top w:val="single" w:color="auto" w:sz="4" w:space="0"/>
              <w:left w:val="single" w:color="auto" w:sz="4" w:space="0"/>
              <w:bottom w:val="single" w:color="auto" w:sz="4" w:space="0"/>
              <w:right w:val="single" w:color="auto" w:sz="4" w:space="0"/>
            </w:tcBorders>
            <w:vAlign w:val="center"/>
          </w:tcPr>
          <w:p w14:paraId="1E2720E1">
            <w:pPr>
              <w:spacing w:line="360" w:lineRule="exact"/>
              <w:rPr>
                <w:rFonts w:ascii="宋体" w:hAnsi="宋体" w:cs="宋体"/>
                <w:color w:val="auto"/>
                <w:sz w:val="22"/>
                <w:szCs w:val="22"/>
                <w:highlight w:val="none"/>
              </w:rPr>
            </w:pPr>
            <w:r>
              <w:rPr>
                <w:rFonts w:hint="eastAsia" w:ascii="宋体" w:hAnsi="宋体"/>
                <w:color w:val="auto"/>
                <w:sz w:val="22"/>
                <w:szCs w:val="22"/>
                <w:highlight w:val="none"/>
              </w:rPr>
              <w:t>评标委员会成员由采购人代表和有关技术、经济等方面的专家组成，成员人数为5人或以上单数，除采购人代表外的专家将在乐采云的评标专家库中随机抽取产生。</w:t>
            </w:r>
          </w:p>
        </w:tc>
      </w:tr>
      <w:tr w14:paraId="037A371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B6143E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1712" w:type="dxa"/>
            <w:tcBorders>
              <w:top w:val="single" w:color="auto" w:sz="4" w:space="0"/>
              <w:left w:val="single" w:color="auto" w:sz="4" w:space="0"/>
              <w:bottom w:val="single" w:color="auto" w:sz="4" w:space="0"/>
              <w:right w:val="single" w:color="auto" w:sz="4" w:space="0"/>
            </w:tcBorders>
            <w:vAlign w:val="center"/>
          </w:tcPr>
          <w:p w14:paraId="0851AA1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履约担保</w:t>
            </w:r>
          </w:p>
        </w:tc>
        <w:tc>
          <w:tcPr>
            <w:tcW w:w="7295" w:type="dxa"/>
            <w:tcBorders>
              <w:top w:val="single" w:color="auto" w:sz="4" w:space="0"/>
              <w:left w:val="single" w:color="auto" w:sz="4" w:space="0"/>
              <w:bottom w:val="single" w:color="auto" w:sz="4" w:space="0"/>
              <w:right w:val="single" w:color="auto" w:sz="4" w:space="0"/>
            </w:tcBorders>
            <w:vAlign w:val="center"/>
          </w:tcPr>
          <w:p w14:paraId="6B4B1C4D">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本项目无履约保证金。</w:t>
            </w:r>
          </w:p>
        </w:tc>
      </w:tr>
      <w:tr w14:paraId="147D76D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E65FCB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20</w:t>
            </w:r>
          </w:p>
        </w:tc>
        <w:tc>
          <w:tcPr>
            <w:tcW w:w="1712" w:type="dxa"/>
            <w:tcBorders>
              <w:top w:val="single" w:color="auto" w:sz="4" w:space="0"/>
              <w:left w:val="single" w:color="auto" w:sz="4" w:space="0"/>
              <w:bottom w:val="single" w:color="auto" w:sz="4" w:space="0"/>
              <w:right w:val="single" w:color="auto" w:sz="4" w:space="0"/>
            </w:tcBorders>
            <w:vAlign w:val="center"/>
          </w:tcPr>
          <w:p w14:paraId="48475A8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投标文件无效标条款</w:t>
            </w:r>
          </w:p>
        </w:tc>
        <w:tc>
          <w:tcPr>
            <w:tcW w:w="7295" w:type="dxa"/>
            <w:tcBorders>
              <w:top w:val="single" w:color="auto" w:sz="4" w:space="0"/>
              <w:left w:val="single" w:color="auto" w:sz="4" w:space="0"/>
              <w:bottom w:val="single" w:color="auto" w:sz="4" w:space="0"/>
              <w:right w:val="single" w:color="auto" w:sz="4" w:space="0"/>
            </w:tcBorders>
            <w:vAlign w:val="center"/>
          </w:tcPr>
          <w:p w14:paraId="19BC6B5D">
            <w:pPr>
              <w:spacing w:line="360" w:lineRule="exact"/>
              <w:rPr>
                <w:rFonts w:ascii="宋体" w:hAnsi="宋体" w:cs="宋体"/>
                <w:b/>
                <w:color w:val="auto"/>
                <w:sz w:val="22"/>
                <w:szCs w:val="22"/>
                <w:highlight w:val="none"/>
              </w:rPr>
            </w:pPr>
            <w:r>
              <w:rPr>
                <w:rFonts w:hint="eastAsia" w:ascii="宋体" w:hAnsi="宋体" w:cs="宋体"/>
                <w:b/>
                <w:color w:val="auto"/>
                <w:sz w:val="22"/>
                <w:szCs w:val="22"/>
                <w:highlight w:val="none"/>
              </w:rPr>
              <w:t>详见招标文件第1</w:t>
            </w:r>
            <w:r>
              <w:rPr>
                <w:rFonts w:hint="eastAsia" w:ascii="宋体" w:hAnsi="宋体" w:cs="宋体"/>
                <w:b/>
                <w:color w:val="auto"/>
                <w:sz w:val="22"/>
                <w:szCs w:val="22"/>
                <w:highlight w:val="none"/>
                <w:lang w:val="en-US" w:eastAsia="zh-CN"/>
              </w:rPr>
              <w:t>6</w:t>
            </w:r>
            <w:r>
              <w:rPr>
                <w:rFonts w:hint="eastAsia" w:ascii="宋体" w:hAnsi="宋体" w:cs="宋体"/>
                <w:b/>
                <w:color w:val="auto"/>
                <w:sz w:val="22"/>
                <w:szCs w:val="22"/>
                <w:highlight w:val="none"/>
              </w:rPr>
              <w:t>页，第7点。</w:t>
            </w:r>
          </w:p>
        </w:tc>
      </w:tr>
      <w:tr w14:paraId="5AD86C4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A3430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1712" w:type="dxa"/>
            <w:tcBorders>
              <w:top w:val="single" w:color="auto" w:sz="4" w:space="0"/>
              <w:left w:val="single" w:color="auto" w:sz="4" w:space="0"/>
              <w:bottom w:val="single" w:color="auto" w:sz="4" w:space="0"/>
              <w:right w:val="single" w:color="auto" w:sz="4" w:space="0"/>
            </w:tcBorders>
            <w:vAlign w:val="center"/>
          </w:tcPr>
          <w:p w14:paraId="65AE6C5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供应商信用信息查询</w:t>
            </w:r>
          </w:p>
        </w:tc>
        <w:tc>
          <w:tcPr>
            <w:tcW w:w="7295" w:type="dxa"/>
            <w:tcBorders>
              <w:top w:val="single" w:color="auto" w:sz="4" w:space="0"/>
              <w:left w:val="single" w:color="auto" w:sz="4" w:space="0"/>
              <w:bottom w:val="single" w:color="auto" w:sz="4" w:space="0"/>
              <w:right w:val="single" w:color="auto" w:sz="4" w:space="0"/>
            </w:tcBorders>
            <w:vAlign w:val="center"/>
          </w:tcPr>
          <w:p w14:paraId="00EB4991">
            <w:pPr>
              <w:adjustRightInd w:val="0"/>
              <w:snapToGrid w:val="0"/>
              <w:spacing w:line="3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根据财库[2016]125号《关于在政府采购活动中查询及使用信用记录有关问题的通知》要求，采购代理机构会对供应商信用记录进行查询并甄别。</w:t>
            </w:r>
          </w:p>
          <w:p w14:paraId="0936BD9C">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1.信用信息查询的截止时点：响应文件递交截止时间；</w:t>
            </w:r>
          </w:p>
          <w:p w14:paraId="672A3502">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8"/>
                <w:rFonts w:hint="eastAsia" w:ascii="宋体" w:hAnsi="宋体" w:cs="宋体"/>
                <w:color w:val="auto"/>
                <w:sz w:val="22"/>
                <w:szCs w:val="22"/>
                <w:highlight w:val="none"/>
              </w:rPr>
              <w:t>www.creditchina.gov.cn</w:t>
            </w:r>
            <w:r>
              <w:rPr>
                <w:rStyle w:val="48"/>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8"/>
                <w:rFonts w:hint="eastAsia" w:ascii="宋体" w:hAnsi="宋体" w:cs="宋体"/>
                <w:color w:val="auto"/>
                <w:sz w:val="22"/>
                <w:szCs w:val="22"/>
                <w:highlight w:val="none"/>
              </w:rPr>
              <w:t>www.ccgp.gov.cn</w:t>
            </w:r>
            <w:r>
              <w:rPr>
                <w:rStyle w:val="48"/>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14:paraId="58DD7AB9">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3.信用信息的使用规则：供应商存在不良信用记录的，其投标将被作为无效投标被拒绝；</w:t>
            </w:r>
          </w:p>
          <w:p w14:paraId="3E0C47B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395BB8D">
        <w:tblPrEx>
          <w:tblCellMar>
            <w:top w:w="0" w:type="dxa"/>
            <w:left w:w="108" w:type="dxa"/>
            <w:bottom w:w="0" w:type="dxa"/>
            <w:right w:w="108" w:type="dxa"/>
          </w:tblCellMar>
        </w:tblPrEx>
        <w:trPr>
          <w:trHeight w:val="442" w:hRule="atLeast"/>
        </w:trPr>
        <w:tc>
          <w:tcPr>
            <w:tcW w:w="1001" w:type="dxa"/>
            <w:tcBorders>
              <w:top w:val="single" w:color="auto" w:sz="4" w:space="0"/>
              <w:left w:val="single" w:color="auto" w:sz="4" w:space="0"/>
              <w:bottom w:val="single" w:color="auto" w:sz="4" w:space="0"/>
              <w:right w:val="single" w:color="auto" w:sz="4" w:space="0"/>
            </w:tcBorders>
            <w:vAlign w:val="center"/>
          </w:tcPr>
          <w:p w14:paraId="3F5E9C4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1712" w:type="dxa"/>
            <w:tcBorders>
              <w:top w:val="single" w:color="auto" w:sz="4" w:space="0"/>
              <w:left w:val="single" w:color="auto" w:sz="4" w:space="0"/>
              <w:bottom w:val="single" w:color="auto" w:sz="4" w:space="0"/>
              <w:right w:val="single" w:color="auto" w:sz="4" w:space="0"/>
            </w:tcBorders>
            <w:vAlign w:val="center"/>
          </w:tcPr>
          <w:p w14:paraId="44AEDF7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政府采购节能环保产品</w:t>
            </w:r>
          </w:p>
        </w:tc>
        <w:tc>
          <w:tcPr>
            <w:tcW w:w="7295" w:type="dxa"/>
            <w:tcBorders>
              <w:top w:val="single" w:color="auto" w:sz="4" w:space="0"/>
              <w:left w:val="single" w:color="auto" w:sz="4" w:space="0"/>
              <w:bottom w:val="single" w:color="auto" w:sz="4" w:space="0"/>
              <w:right w:val="single" w:color="auto" w:sz="4" w:space="0"/>
            </w:tcBorders>
            <w:vAlign w:val="center"/>
          </w:tcPr>
          <w:p w14:paraId="420B1A01">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生态环境部市场监管总局关于调整优化节能产品、环境标志产品政府采购执行机制的通知》（财库〔2019〕9号）。</w:t>
            </w:r>
          </w:p>
          <w:p w14:paraId="1A8565B3">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产品属于政府强制采购节能品目的（详见《关于印发节能产品政府采购品目清单的通知》财库〔2019〕19号），供应商须按上款要求提供节能产品认证证书或规定网站证书查询截图。产品属于政府强制采购节能产品品目的，供应商未提供节能产品的，其投标将作无效标处理；本文件另有规定的除外。</w:t>
            </w:r>
          </w:p>
        </w:tc>
      </w:tr>
      <w:tr w14:paraId="4596659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0FA0D5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23</w:t>
            </w:r>
          </w:p>
        </w:tc>
        <w:tc>
          <w:tcPr>
            <w:tcW w:w="1712" w:type="dxa"/>
            <w:tcBorders>
              <w:top w:val="single" w:color="auto" w:sz="4" w:space="0"/>
              <w:left w:val="single" w:color="auto" w:sz="4" w:space="0"/>
              <w:bottom w:val="single" w:color="auto" w:sz="4" w:space="0"/>
              <w:right w:val="single" w:color="auto" w:sz="4" w:space="0"/>
            </w:tcBorders>
            <w:vAlign w:val="center"/>
          </w:tcPr>
          <w:p w14:paraId="7D0E47BF">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是否允许采购进口产品</w:t>
            </w:r>
          </w:p>
        </w:tc>
        <w:tc>
          <w:tcPr>
            <w:tcW w:w="7295" w:type="dxa"/>
            <w:tcBorders>
              <w:top w:val="single" w:color="auto" w:sz="4" w:space="0"/>
              <w:left w:val="single" w:color="auto" w:sz="4" w:space="0"/>
              <w:bottom w:val="single" w:color="auto" w:sz="4" w:space="0"/>
              <w:right w:val="single" w:color="auto" w:sz="4" w:space="0"/>
            </w:tcBorders>
            <w:vAlign w:val="center"/>
          </w:tcPr>
          <w:p w14:paraId="50FC999A">
            <w:pPr>
              <w:spacing w:line="360" w:lineRule="exact"/>
              <w:rPr>
                <w:rFonts w:ascii="宋体" w:hAnsi="宋体" w:cs="仿宋"/>
                <w:bCs/>
                <w:color w:val="auto"/>
                <w:sz w:val="22"/>
                <w:szCs w:val="22"/>
                <w:highlight w:val="none"/>
              </w:rPr>
            </w:pPr>
            <w:r>
              <w:rPr>
                <w:rFonts w:hint="eastAsia" w:ascii="宋体" w:hAnsi="宋体" w:cs="仿宋"/>
                <w:color w:val="auto"/>
                <w:sz w:val="22"/>
                <w:szCs w:val="22"/>
                <w:highlight w:val="none"/>
              </w:rPr>
              <w:sym w:font="Wingdings" w:char="F0FE"/>
            </w:r>
            <w:r>
              <w:rPr>
                <w:rFonts w:hint="eastAsia" w:ascii="宋体" w:hAnsi="宋体" w:cs="仿宋"/>
                <w:bCs/>
                <w:color w:val="auto"/>
                <w:sz w:val="22"/>
                <w:szCs w:val="22"/>
                <w:highlight w:val="none"/>
              </w:rPr>
              <w:t>本项目不允许采购进口产品。</w:t>
            </w:r>
          </w:p>
          <w:p w14:paraId="793DBA5C">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42EF156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84140E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EAEBCB6">
            <w:pPr>
              <w:spacing w:line="360" w:lineRule="exact"/>
              <w:jc w:val="center"/>
              <w:rPr>
                <w:rFonts w:ascii="宋体" w:hAnsi="宋体" w:cs="仿宋"/>
                <w:color w:val="auto"/>
                <w:sz w:val="22"/>
                <w:szCs w:val="22"/>
                <w:highlight w:val="none"/>
              </w:rPr>
            </w:pPr>
            <w:r>
              <w:rPr>
                <w:rFonts w:hint="eastAsia" w:ascii="宋体" w:hAnsi="宋体" w:cs="仿宋"/>
                <w:bCs/>
                <w:color w:val="auto"/>
                <w:sz w:val="22"/>
                <w:szCs w:val="22"/>
                <w:highlight w:val="none"/>
              </w:rPr>
              <w:t>本项目扶持中小企业（监狱企业、残疾人福利性单位）有关政策</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161B36DA">
            <w:pPr>
              <w:spacing w:line="360" w:lineRule="exact"/>
              <w:rPr>
                <w:rFonts w:ascii="宋体" w:hAnsi="宋体" w:cs="仿宋"/>
                <w:b/>
                <w:bCs/>
                <w:color w:val="auto"/>
                <w:sz w:val="22"/>
                <w:szCs w:val="22"/>
                <w:highlight w:val="none"/>
              </w:rPr>
            </w:pPr>
            <w:r>
              <w:rPr>
                <w:rFonts w:hint="eastAsia" w:ascii="宋体" w:hAnsi="宋体" w:cs="仿宋"/>
                <w:b/>
                <w:bCs/>
                <w:color w:val="auto"/>
                <w:sz w:val="22"/>
                <w:szCs w:val="22"/>
                <w:highlight w:val="none"/>
              </w:rPr>
              <w:t xml:space="preserve">1、扶持中小企业（监狱企业、残疾人福利性单位）： </w:t>
            </w:r>
          </w:p>
          <w:p w14:paraId="5C729768">
            <w:pPr>
              <w:spacing w:line="360" w:lineRule="exact"/>
              <w:rPr>
                <w:rFonts w:hint="eastAsia" w:ascii="宋体" w:hAnsi="宋体" w:cs="仿宋"/>
                <w:color w:val="auto"/>
                <w:sz w:val="22"/>
                <w:szCs w:val="22"/>
                <w:highlight w:val="none"/>
              </w:rPr>
            </w:pPr>
            <w:r>
              <w:rPr>
                <w:rFonts w:hint="eastAsia" w:ascii="宋体" w:hAnsi="宋体" w:cs="仿宋"/>
                <w:color w:val="auto"/>
                <w:sz w:val="22"/>
                <w:szCs w:val="22"/>
                <w:highlight w:val="none"/>
              </w:rPr>
              <w:t>（1）根据工信部等部委发布的《关于印发中小企业划型标准规定的通知》（工信部联企业〔2011〕300号），本项目属于</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农、林、牧、渔业，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工业（包括采矿业，制造业，电力、热力、燃气及水生产和供应业），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建筑业，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批发业，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零售业，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交通运输业（不含铁路运输业），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仓储业，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邮政业，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住宿业，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餐饮业，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信息传输业（包括电信、互联网和相关服务），</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软件和信息技术服务业，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房地产开发经营，</w:t>
            </w:r>
            <w:r>
              <w:rPr>
                <w:rFonts w:hint="eastAsia" w:ascii="宋体" w:hAnsi="宋体" w:cs="仿宋"/>
                <w:color w:val="auto"/>
                <w:sz w:val="22"/>
                <w:szCs w:val="22"/>
                <w:highlight w:val="none"/>
                <w:u w:val="single"/>
              </w:rPr>
              <w:sym w:font="Wingdings" w:char="00FE"/>
            </w:r>
            <w:r>
              <w:rPr>
                <w:rFonts w:hint="eastAsia" w:ascii="宋体" w:hAnsi="宋体" w:cs="仿宋"/>
                <w:color w:val="auto"/>
                <w:sz w:val="22"/>
                <w:szCs w:val="22"/>
                <w:highlight w:val="none"/>
                <w:u w:val="single"/>
              </w:rPr>
              <w:t>物业管理，</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租赁和商务服务业，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 xml:space="preserve">其他未列明行业（包括科学研究和技术服务业，水利、环境和公共设施管理业，居民服务、修理和其他服务业，社会工作，文化、体育和娱乐业等） </w:t>
            </w:r>
            <w:r>
              <w:rPr>
                <w:rFonts w:hint="eastAsia" w:ascii="宋体" w:hAnsi="宋体" w:cs="仿宋"/>
                <w:color w:val="auto"/>
                <w:sz w:val="22"/>
                <w:szCs w:val="22"/>
                <w:highlight w:val="none"/>
              </w:rPr>
              <w:t xml:space="preserve"> 行业。</w:t>
            </w:r>
          </w:p>
          <w:p w14:paraId="321B6087">
            <w:pPr>
              <w:pStyle w:val="11"/>
              <w:ind w:left="0" w:leftChars="0" w:firstLine="0" w:firstLineChars="0"/>
              <w:rPr>
                <w:rFonts w:hint="eastAsia" w:eastAsia="宋体"/>
                <w:color w:val="auto"/>
                <w:highlight w:val="none"/>
                <w:lang w:eastAsia="zh-CN"/>
              </w:rPr>
            </w:pPr>
            <w:r>
              <w:rPr>
                <w:rFonts w:hint="eastAsia" w:ascii="宋体" w:hAnsi="宋体" w:cs="仿宋"/>
                <w:color w:val="auto"/>
                <w:sz w:val="22"/>
                <w:szCs w:val="22"/>
                <w:highlight w:val="none"/>
                <w:lang w:eastAsia="zh-CN"/>
              </w:rPr>
              <w:t>（</w:t>
            </w:r>
            <w:r>
              <w:rPr>
                <w:rFonts w:hint="eastAsia" w:ascii="宋体" w:hAnsi="宋体" w:cs="仿宋"/>
                <w:color w:val="auto"/>
                <w:sz w:val="22"/>
                <w:szCs w:val="22"/>
                <w:highlight w:val="none"/>
                <w:lang w:val="en-US" w:eastAsia="zh-CN"/>
              </w:rPr>
              <w:t>2</w:t>
            </w:r>
            <w:r>
              <w:rPr>
                <w:rFonts w:hint="eastAsia" w:ascii="宋体" w:hAnsi="宋体" w:cs="仿宋"/>
                <w:color w:val="auto"/>
                <w:sz w:val="22"/>
                <w:szCs w:val="22"/>
                <w:highlight w:val="none"/>
                <w:lang w:eastAsia="zh-CN"/>
              </w:rPr>
              <w:t>）</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00人以下或营业收入</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000万元以下的为中小微型企业。其中，从业人员</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00人及以上，且营业收入</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000万元及以上的为中型企业</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0人及以上，且营业收入</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万元及以上的为小型企业</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人以下或营业收入</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万元以下的为微型企业</w:t>
            </w:r>
            <w:r>
              <w:rPr>
                <w:rFonts w:hint="eastAsia" w:ascii="宋体" w:hAnsi="宋体" w:eastAsia="宋体" w:cs="宋体"/>
                <w:color w:val="auto"/>
                <w:sz w:val="22"/>
                <w:szCs w:val="22"/>
                <w:highlight w:val="none"/>
                <w:lang w:eastAsia="zh-CN"/>
              </w:rPr>
              <w:t>。</w:t>
            </w:r>
          </w:p>
          <w:p w14:paraId="0A18C1E5">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根据财政部发布的《政府采购促进中小企业发展管理办法》财库（2020）46号、《浙江省财政厅关于进一步发挥政府采购政策功能全力推动经济稳进提质的通知》（浙财采监〔2022〕3号）、（浙财采监〔2022〕8号）、（财库〔2022〕19号）的相关规定：</w:t>
            </w:r>
          </w:p>
          <w:p w14:paraId="09222D97">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2.1.是否为预留份额项目：</w:t>
            </w:r>
          </w:p>
          <w:p w14:paraId="246906CF">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sym w:font="Wingdings" w:char="00FE"/>
            </w:r>
            <w:r>
              <w:rPr>
                <w:rFonts w:ascii="宋体" w:hAnsi="宋体" w:cs="仿宋"/>
                <w:color w:val="auto"/>
                <w:sz w:val="22"/>
                <w:szCs w:val="22"/>
                <w:highlight w:val="none"/>
              </w:rPr>
              <w:t xml:space="preserve"> </w:t>
            </w:r>
            <w:r>
              <w:rPr>
                <w:rFonts w:hint="eastAsia" w:ascii="宋体" w:hAnsi="宋体" w:cs="仿宋"/>
                <w:color w:val="auto"/>
                <w:sz w:val="22"/>
                <w:szCs w:val="22"/>
                <w:highlight w:val="none"/>
              </w:rPr>
              <w:t>本项目为预留份额项目，专门面向中小企业采购。</w:t>
            </w:r>
          </w:p>
          <w:p w14:paraId="7E97F8D2">
            <w:pPr>
              <w:spacing w:line="360" w:lineRule="exact"/>
              <w:ind w:left="220" w:hanging="220" w:hangingChars="100"/>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本项目为非预留份额项目、非专门面向中小企业的项目</w:t>
            </w:r>
          </w:p>
          <w:p w14:paraId="56B60DE0">
            <w:pPr>
              <w:spacing w:line="360" w:lineRule="exact"/>
              <w:ind w:left="220" w:hanging="220" w:hangingChars="100"/>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在评审时对小型和微型企业报价给予</w:t>
            </w:r>
            <w:r>
              <w:rPr>
                <w:rFonts w:hint="eastAsia" w:ascii="宋体" w:hAnsi="宋体" w:cs="仿宋"/>
                <w:color w:val="auto"/>
                <w:sz w:val="22"/>
                <w:szCs w:val="22"/>
                <w:highlight w:val="none"/>
                <w:u w:val="single"/>
              </w:rPr>
              <w:t>10</w:t>
            </w:r>
            <w:r>
              <w:rPr>
                <w:rFonts w:hint="eastAsia" w:ascii="宋体" w:hAnsi="宋体" w:cs="仿宋"/>
                <w:color w:val="auto"/>
                <w:sz w:val="22"/>
                <w:szCs w:val="22"/>
                <w:highlight w:val="none"/>
              </w:rPr>
              <w:t>%的扣除，用扣除后的价格参加评审。适用招标投标法的政府采购工程建设项目，采用综合评估法但未采用低价优先法计算价格分，评标时在采用原报价进行评分的基础上增加其价格得分的</w:t>
            </w:r>
            <w:r>
              <w:rPr>
                <w:rFonts w:hint="eastAsia" w:ascii="宋体" w:hAnsi="宋体" w:cs="仿宋"/>
                <w:color w:val="auto"/>
                <w:sz w:val="22"/>
                <w:szCs w:val="22"/>
                <w:highlight w:val="none"/>
                <w:u w:val="single"/>
              </w:rPr>
              <w:t xml:space="preserve"> / </w:t>
            </w:r>
            <w:r>
              <w:rPr>
                <w:rFonts w:hint="eastAsia" w:ascii="宋体" w:hAnsi="宋体" w:cs="仿宋"/>
                <w:color w:val="auto"/>
                <w:sz w:val="22"/>
                <w:szCs w:val="22"/>
                <w:highlight w:val="none"/>
              </w:rPr>
              <w:t>%（3%-5%）作为其价格分。</w:t>
            </w:r>
          </w:p>
          <w:p w14:paraId="0CD135D7">
            <w:pPr>
              <w:spacing w:line="360" w:lineRule="exact"/>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本项目为</w:t>
            </w: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接受大中型企业与小微企业组成联合体、</w:t>
            </w: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仿宋"/>
                <w:color w:val="auto"/>
                <w:sz w:val="22"/>
                <w:szCs w:val="22"/>
                <w:highlight w:val="none"/>
                <w:u w:val="single"/>
              </w:rPr>
              <w:t xml:space="preserve">4 </w:t>
            </w:r>
            <w:r>
              <w:rPr>
                <w:rFonts w:hint="eastAsia" w:ascii="宋体" w:hAnsi="宋体" w:cs="仿宋"/>
                <w:color w:val="auto"/>
                <w:sz w:val="22"/>
                <w:szCs w:val="22"/>
                <w:highlight w:val="none"/>
              </w:rPr>
              <w:t>%（4%-6%），工程项目为</w:t>
            </w:r>
            <w:r>
              <w:rPr>
                <w:rFonts w:hint="eastAsia" w:ascii="宋体" w:hAnsi="宋体" w:cs="仿宋"/>
                <w:color w:val="auto"/>
                <w:sz w:val="22"/>
                <w:szCs w:val="22"/>
                <w:highlight w:val="none"/>
                <w:u w:val="single"/>
              </w:rPr>
              <w:t xml:space="preserve"> </w:t>
            </w:r>
            <w:r>
              <w:rPr>
                <w:rFonts w:ascii="宋体" w:hAnsi="宋体" w:cs="仿宋"/>
                <w:color w:val="auto"/>
                <w:sz w:val="22"/>
                <w:szCs w:val="22"/>
                <w:highlight w:val="none"/>
                <w:u w:val="single"/>
              </w:rPr>
              <w:t>/</w:t>
            </w:r>
            <w:r>
              <w:rPr>
                <w:rFonts w:hint="eastAsia" w:ascii="宋体" w:hAnsi="宋体" w:cs="仿宋"/>
                <w:color w:val="auto"/>
                <w:sz w:val="22"/>
                <w:szCs w:val="22"/>
                <w:highlight w:val="none"/>
                <w:u w:val="single"/>
              </w:rPr>
              <w:t xml:space="preserve"> %（1%—2%）</w:t>
            </w:r>
            <w:r>
              <w:rPr>
                <w:rFonts w:hint="eastAsia" w:ascii="宋体" w:hAnsi="宋体" w:cs="仿宋"/>
                <w:color w:val="auto"/>
                <w:sz w:val="22"/>
                <w:szCs w:val="22"/>
                <w:highlight w:val="none"/>
              </w:rPr>
              <w:t>的扣除，用扣除后的价格参加评审。</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本项目为适用招标投标法的政府采购工程建设项目，采用综合评估法但未采用低价优先法计算价格分，评标时在采用原报价进行评分的基础上增加其价格得分的</w:t>
            </w:r>
            <w:r>
              <w:rPr>
                <w:rFonts w:hint="eastAsia" w:ascii="宋体" w:hAnsi="宋体" w:cs="仿宋"/>
                <w:color w:val="auto"/>
                <w:sz w:val="22"/>
                <w:szCs w:val="22"/>
                <w:highlight w:val="none"/>
                <w:u w:val="single"/>
              </w:rPr>
              <w:t xml:space="preserve"> </w:t>
            </w:r>
            <w:r>
              <w:rPr>
                <w:rFonts w:ascii="宋体" w:hAnsi="宋体" w:cs="仿宋"/>
                <w:color w:val="auto"/>
                <w:sz w:val="22"/>
                <w:szCs w:val="22"/>
                <w:highlight w:val="none"/>
                <w:u w:val="single"/>
              </w:rPr>
              <w:t>/</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 xml:space="preserve"> %（1%—2%）作为其价格分。</w:t>
            </w:r>
          </w:p>
          <w:p w14:paraId="7D0BDA9D">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2.2组成联合体或者接受分包的小微企业与联合体内其他企业、分包企业之间存在直接控股、管理关系的，不享受价格扣除优惠政策。</w:t>
            </w:r>
          </w:p>
          <w:p w14:paraId="3092FEDE">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2.3价格扣除比例或者价格分加分比例对小型企业和微型企业同等对待，不作区分。</w:t>
            </w:r>
          </w:p>
          <w:p w14:paraId="4403A703">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2.4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2E742B02">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2.5接受分包的项目，享受扶持政策获得政府采购合同的，小微企业不得将合同分包给大中型企业，中型企业不得将合同分包给大型企业。</w:t>
            </w:r>
          </w:p>
          <w:p w14:paraId="42140272">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14:paraId="0D65782B">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14:paraId="77E6660E">
            <w:pPr>
              <w:spacing w:line="360" w:lineRule="exact"/>
              <w:rPr>
                <w:rFonts w:ascii="宋体" w:hAnsi="宋体" w:cs="仿宋"/>
                <w:color w:val="auto"/>
                <w:sz w:val="22"/>
                <w:szCs w:val="22"/>
                <w:highlight w:val="none"/>
              </w:rPr>
            </w:pPr>
            <w:r>
              <w:rPr>
                <w:rFonts w:hint="eastAsia" w:ascii="宋体" w:hAnsi="宋体" w:cs="仿宋"/>
                <w:b/>
                <w:bCs/>
                <w:color w:val="auto"/>
                <w:sz w:val="22"/>
                <w:szCs w:val="22"/>
                <w:highlight w:val="none"/>
              </w:rPr>
              <w:t>(注：未提供以上材料的，均不给予价格扣除，以上优惠政策只享受一次）。</w:t>
            </w:r>
          </w:p>
        </w:tc>
      </w:tr>
      <w:tr w14:paraId="2B47623C">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2779399">
            <w:pPr>
              <w:spacing w:line="3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25</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D1EA88A">
            <w:pPr>
              <w:keepNext w:val="0"/>
              <w:keepLines w:val="0"/>
              <w:pageBreakBefore w:val="0"/>
              <w:kinsoku/>
              <w:wordWrap/>
              <w:topLinePunct w:val="0"/>
              <w:bidi w:val="0"/>
              <w:spacing w:line="360" w:lineRule="exact"/>
              <w:jc w:val="center"/>
              <w:rPr>
                <w:rFonts w:hint="eastAsia" w:ascii="宋体" w:hAnsi="宋体" w:cs="仿宋"/>
                <w:color w:val="auto"/>
                <w:sz w:val="22"/>
                <w:szCs w:val="22"/>
                <w:highlight w:val="none"/>
              </w:rPr>
            </w:pPr>
            <w:r>
              <w:rPr>
                <w:rFonts w:hint="eastAsia" w:ascii="宋体" w:hAnsi="宋体" w:eastAsia="宋体" w:cs="宋体"/>
                <w:color w:val="auto"/>
                <w:sz w:val="22"/>
                <w:szCs w:val="22"/>
                <w:highlight w:val="none"/>
                <w:lang w:val="en-US" w:eastAsia="zh-CN"/>
              </w:rPr>
              <w:t>支持本国产品政策</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3518862B">
            <w:pPr>
              <w:keepNext w:val="0"/>
              <w:keepLines w:val="0"/>
              <w:pageBreakBefore w:val="0"/>
              <w:kinsoku/>
              <w:wordWrap/>
              <w:topLinePunct w:val="0"/>
              <w:bidi w:val="0"/>
              <w:spacing w:line="360" w:lineRule="exact"/>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1、根据浙江省财政厅发布的《关于落实在政府采购中实施本国产品标准及相关政策的通知》的规定，从2026年1月1日开始实施政府采购本国产品标准及相关政策。</w:t>
            </w:r>
          </w:p>
          <w:p w14:paraId="3CEBE53B">
            <w:pPr>
              <w:keepNext w:val="0"/>
              <w:keepLines w:val="0"/>
              <w:pageBreakBefore w:val="0"/>
              <w:kinsoku/>
              <w:wordWrap/>
              <w:topLinePunct w:val="0"/>
              <w:bidi w:val="0"/>
              <w:spacing w:line="360" w:lineRule="exact"/>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2、政府采购活动中既有本国产品又有非本国产品参与竞争的，依法对本国产品给予价格评审优惠，对本国产品的报价给予20%的价格扣除，用扣除后的价格参与评审。</w:t>
            </w:r>
          </w:p>
          <w:p w14:paraId="7FB44D98">
            <w:pPr>
              <w:keepNext w:val="0"/>
              <w:keepLines w:val="0"/>
              <w:pageBreakBefore w:val="0"/>
              <w:kinsoku/>
              <w:wordWrap/>
              <w:topLinePunct w:val="0"/>
              <w:bidi w:val="0"/>
              <w:spacing w:line="360" w:lineRule="exact"/>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价给予20%的价格扣除，用扣除后的价格参与评审。</w:t>
            </w:r>
          </w:p>
          <w:p w14:paraId="7B813A3B">
            <w:pPr>
              <w:keepNext w:val="0"/>
              <w:keepLines w:val="0"/>
              <w:pageBreakBefore w:val="0"/>
              <w:kinsoku/>
              <w:wordWrap/>
              <w:topLinePunct w:val="0"/>
              <w:bidi w:val="0"/>
              <w:spacing w:line="360" w:lineRule="exact"/>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4、目前，在中国境内生产的产品即视为符合本国产品标准，享受政府采购本国产品支持政策。</w:t>
            </w:r>
          </w:p>
          <w:p w14:paraId="73F437DC">
            <w:pPr>
              <w:keepNext w:val="0"/>
              <w:keepLines w:val="0"/>
              <w:pageBreakBefore w:val="0"/>
              <w:kinsoku/>
              <w:wordWrap/>
              <w:topLinePunct w:val="0"/>
              <w:bidi w:val="0"/>
              <w:spacing w:line="360" w:lineRule="exact"/>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E04C6A8">
            <w:pPr>
              <w:keepNext w:val="0"/>
              <w:keepLines w:val="0"/>
              <w:pageBreakBefore w:val="0"/>
              <w:kinsoku/>
              <w:wordWrap/>
              <w:topLinePunct w:val="0"/>
              <w:bidi w:val="0"/>
              <w:spacing w:line="360" w:lineRule="exact"/>
              <w:rPr>
                <w:rFonts w:hint="eastAsia" w:ascii="宋体" w:hAnsi="宋体" w:cs="仿宋"/>
                <w:color w:val="auto"/>
                <w:sz w:val="22"/>
                <w:szCs w:val="22"/>
                <w:highlight w:val="none"/>
              </w:rPr>
            </w:pPr>
            <w:r>
              <w:rPr>
                <w:rFonts w:hint="eastAsia" w:ascii="宋体" w:hAnsi="宋体" w:eastAsia="宋体" w:cs="宋体"/>
                <w:color w:val="auto"/>
                <w:sz w:val="22"/>
                <w:szCs w:val="22"/>
                <w:highlight w:val="none"/>
                <w:lang w:val="en-US" w:eastAsia="zh-CN"/>
              </w:rPr>
              <w:t>6、供应商对其提供的产品出具《关于符合本国产品标准的声明函》。出具符合要求的《声明函》的，该产品视为本国产品</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rPr>
              <w:t>未提供以上材料的，均不给予价格扣除）</w:t>
            </w:r>
            <w:r>
              <w:rPr>
                <w:rFonts w:hint="eastAsia" w:ascii="宋体" w:hAnsi="宋体" w:eastAsia="宋体" w:cs="宋体"/>
                <w:color w:val="auto"/>
                <w:sz w:val="22"/>
                <w:szCs w:val="22"/>
                <w:highlight w:val="none"/>
                <w:lang w:val="en-US" w:eastAsia="zh-CN"/>
              </w:rPr>
              <w:t>。</w:t>
            </w:r>
          </w:p>
        </w:tc>
      </w:tr>
      <w:tr w14:paraId="2B117C85">
        <w:tblPrEx>
          <w:tblCellMar>
            <w:top w:w="0" w:type="dxa"/>
            <w:left w:w="108" w:type="dxa"/>
            <w:bottom w:w="0" w:type="dxa"/>
            <w:right w:w="108" w:type="dxa"/>
          </w:tblCellMar>
        </w:tblPrEx>
        <w:trPr>
          <w:trHeight w:val="90" w:hRule="atLeast"/>
        </w:trPr>
        <w:tc>
          <w:tcPr>
            <w:tcW w:w="1001" w:type="dxa"/>
            <w:tcBorders>
              <w:top w:val="single" w:color="auto" w:sz="4" w:space="0"/>
              <w:left w:val="single" w:color="auto" w:sz="4" w:space="0"/>
              <w:bottom w:val="single" w:color="auto" w:sz="4" w:space="0"/>
              <w:right w:val="single" w:color="auto" w:sz="4" w:space="0"/>
            </w:tcBorders>
            <w:vAlign w:val="center"/>
          </w:tcPr>
          <w:p w14:paraId="38900EDB">
            <w:pPr>
              <w:spacing w:line="36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6</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85CDAFB">
            <w:pPr>
              <w:spacing w:line="360" w:lineRule="exact"/>
              <w:jc w:val="center"/>
              <w:rPr>
                <w:rFonts w:ascii="宋体" w:hAnsi="宋体"/>
                <w:color w:val="auto"/>
                <w:sz w:val="22"/>
                <w:szCs w:val="22"/>
                <w:highlight w:val="none"/>
              </w:rPr>
            </w:pPr>
            <w:r>
              <w:rPr>
                <w:rFonts w:hint="eastAsia" w:ascii="宋体" w:hAnsi="宋体" w:cs="仿宋"/>
                <w:color w:val="auto"/>
                <w:sz w:val="22"/>
                <w:szCs w:val="22"/>
                <w:highlight w:val="none"/>
              </w:rPr>
              <w:t>项目属性与核心产品</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64EAEAB9">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00A8"/>
            </w:r>
            <w:r>
              <w:rPr>
                <w:rFonts w:hint="eastAsia" w:ascii="宋体" w:hAnsi="宋体" w:cs="仿宋"/>
                <w:color w:val="auto"/>
                <w:sz w:val="22"/>
                <w:szCs w:val="22"/>
                <w:highlight w:val="none"/>
              </w:rPr>
              <w:t>货物类，</w:t>
            </w:r>
            <w:r>
              <w:rPr>
                <w:rFonts w:hint="eastAsia" w:ascii="宋体" w:hAnsi="宋体" w:cs="宋体"/>
                <w:b/>
                <w:snapToGrid w:val="0"/>
                <w:color w:val="auto"/>
                <w:szCs w:val="22"/>
                <w:highlight w:val="none"/>
              </w:rPr>
              <w:sym w:font="Wingdings" w:char="00A8"/>
            </w:r>
            <w:r>
              <w:rPr>
                <w:rFonts w:hint="eastAsia" w:ascii="宋体" w:hAnsi="宋体" w:cs="宋体"/>
                <w:color w:val="auto"/>
                <w:szCs w:val="22"/>
                <w:highlight w:val="none"/>
              </w:rPr>
              <w:t>单一产品或核心产品为：</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rPr>
              <w:t>。</w:t>
            </w:r>
            <w:r>
              <w:rPr>
                <w:rFonts w:hint="eastAsia" w:ascii="宋体" w:hAnsi="宋体" w:cs="宋体"/>
                <w:b/>
                <w:snapToGrid w:val="0"/>
                <w:color w:val="auto"/>
                <w:szCs w:val="22"/>
                <w:highlight w:val="none"/>
              </w:rPr>
              <w:sym w:font="Wingdings" w:char="00A8"/>
            </w:r>
            <w:r>
              <w:rPr>
                <w:rFonts w:hint="eastAsia" w:ascii="宋体" w:hAnsi="宋体" w:cs="宋体"/>
                <w:color w:val="auto"/>
                <w:szCs w:val="22"/>
                <w:highlight w:val="none"/>
              </w:rPr>
              <w:t>非单一产品采购项目，采购人应当根据采购项目技术构成、产品价格比重等合理确定核心产品，并在采购文件中载明</w:t>
            </w:r>
            <w:r>
              <w:rPr>
                <w:rFonts w:hint="eastAsia" w:ascii="宋体" w:hAnsi="宋体" w:cs="宋体"/>
                <w:color w:val="auto"/>
                <w:szCs w:val="22"/>
                <w:highlight w:val="none"/>
                <w:lang w:eastAsia="zh-CN"/>
              </w:rPr>
              <w:t>：</w:t>
            </w:r>
            <w:r>
              <w:rPr>
                <w:rFonts w:hint="eastAsia" w:ascii="宋体" w:hAnsi="宋体" w:cs="宋体"/>
                <w:color w:val="auto"/>
                <w:szCs w:val="22"/>
                <w:highlight w:val="none"/>
                <w:u w:val="single"/>
                <w:lang w:val="en-US" w:eastAsia="zh-CN"/>
              </w:rPr>
              <w:t>本项目无核心产品</w:t>
            </w:r>
            <w:r>
              <w:rPr>
                <w:rFonts w:hint="eastAsia" w:ascii="宋体" w:hAnsi="宋体" w:cs="宋体"/>
                <w:color w:val="auto"/>
                <w:szCs w:val="22"/>
                <w:highlight w:val="none"/>
              </w:rPr>
              <w:t>。</w:t>
            </w:r>
          </w:p>
          <w:p w14:paraId="7222845E">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FE"/>
            </w:r>
            <w:r>
              <w:rPr>
                <w:rFonts w:hint="eastAsia" w:ascii="宋体" w:hAnsi="宋体" w:cs="仿宋"/>
                <w:color w:val="auto"/>
                <w:sz w:val="22"/>
                <w:szCs w:val="22"/>
                <w:highlight w:val="none"/>
              </w:rPr>
              <w:t>服务类。</w:t>
            </w:r>
          </w:p>
        </w:tc>
      </w:tr>
      <w:tr w14:paraId="313EF1B3">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7FD629A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27</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A80545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采购代理服务费</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3410F29B">
            <w:pPr>
              <w:numPr>
                <w:ilvl w:val="0"/>
                <w:numId w:val="1"/>
              </w:numPr>
              <w:spacing w:line="360" w:lineRule="exact"/>
              <w:rPr>
                <w:rFonts w:ascii="宋体" w:hAnsi="宋体" w:cs="宋体"/>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Cs/>
                <w:color w:val="auto"/>
                <w:szCs w:val="22"/>
                <w:highlight w:val="none"/>
                <w:u w:val="single"/>
              </w:rPr>
              <w:t>采购代理服务费均根据国家计委印发的《招标代理服务收费管理暂行办法》计价格【2002】1980号文（</w:t>
            </w:r>
            <w:r>
              <w:rPr>
                <w:rFonts w:hint="eastAsia" w:ascii="宋体" w:hAnsi="宋体" w:cs="宋体"/>
                <w:bCs/>
                <w:color w:val="auto"/>
                <w:szCs w:val="22"/>
                <w:highlight w:val="none"/>
                <w:u w:val="single"/>
                <w:lang w:val="en-US" w:eastAsia="zh-CN"/>
              </w:rPr>
              <w:t>服务</w:t>
            </w:r>
            <w:r>
              <w:rPr>
                <w:rFonts w:hint="eastAsia" w:ascii="宋体" w:hAnsi="宋体" w:cs="宋体"/>
                <w:bCs/>
                <w:color w:val="auto"/>
                <w:szCs w:val="22"/>
                <w:highlight w:val="none"/>
                <w:u w:val="single"/>
              </w:rPr>
              <w:t>类）的规定按标准计算后下浮22%收取（最低不低于￥2500元）。</w:t>
            </w:r>
            <w:r>
              <w:rPr>
                <w:rFonts w:hint="eastAsia" w:ascii="宋体" w:hAnsi="宋体" w:cs="宋体"/>
                <w:color w:val="auto"/>
                <w:sz w:val="22"/>
                <w:szCs w:val="22"/>
                <w:highlight w:val="none"/>
                <w:u w:val="single"/>
              </w:rPr>
              <w:t>由中标人在领取中标通知书时支付，采购代理服务费包含在投标总价中</w:t>
            </w:r>
            <w:r>
              <w:rPr>
                <w:rFonts w:hint="eastAsia" w:ascii="宋体" w:hAnsi="宋体" w:cs="宋体"/>
                <w:color w:val="auto"/>
                <w:sz w:val="22"/>
                <w:szCs w:val="22"/>
                <w:highlight w:val="none"/>
              </w:rPr>
              <w:t>。</w:t>
            </w:r>
          </w:p>
          <w:p w14:paraId="3BF9B055">
            <w:pPr>
              <w:spacing w:line="360" w:lineRule="exact"/>
              <w:rPr>
                <w:rFonts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、采购代理服务费可以是现金、支票或汇票。</w:t>
            </w:r>
          </w:p>
          <w:p w14:paraId="713A0452">
            <w:pPr>
              <w:spacing w:line="360" w:lineRule="exact"/>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14:paraId="5ED627BC">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户  名：温州正风招标代理有限公司</w:t>
            </w:r>
          </w:p>
          <w:p w14:paraId="366FBCBB">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账  号：769000120190010526</w:t>
            </w:r>
          </w:p>
          <w:p w14:paraId="467673AD">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开户行：温州银行江滨支行</w:t>
            </w:r>
          </w:p>
          <w:p w14:paraId="18C04013">
            <w:pPr>
              <w:spacing w:line="360" w:lineRule="exact"/>
              <w:rPr>
                <w:rFonts w:ascii="宋体" w:hAnsi="宋体" w:cs="宋体"/>
                <w:color w:val="auto"/>
                <w:sz w:val="22"/>
                <w:szCs w:val="22"/>
                <w:highlight w:val="none"/>
              </w:rPr>
            </w:pPr>
            <w:r>
              <w:rPr>
                <w:rFonts w:ascii="宋体" w:hAnsi="宋体" w:cs="宋体"/>
                <w:color w:val="auto"/>
                <w:sz w:val="22"/>
                <w:highlight w:val="none"/>
              </w:rPr>
              <w:t>4</w:t>
            </w:r>
            <w:r>
              <w:rPr>
                <w:rFonts w:hint="eastAsia" w:ascii="宋体" w:hAnsi="宋体" w:cs="宋体"/>
                <w:color w:val="auto"/>
                <w:sz w:val="22"/>
                <w:highlight w:val="none"/>
              </w:rPr>
              <w:t>、关于采购代理服务费的详细事宜请咨询采购代理机构财务部周先生（0577-88119278）。</w:t>
            </w:r>
          </w:p>
        </w:tc>
      </w:tr>
      <w:tr w14:paraId="24774659">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178629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28</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1CD1B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加大支持科技创新力度</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0C9329AF">
            <w:pPr>
              <w:spacing w:line="360" w:lineRule="exact"/>
              <w:rPr>
                <w:rFonts w:ascii="宋体" w:hAnsi="宋体" w:cs="宋体"/>
                <w:color w:val="auto"/>
                <w:sz w:val="22"/>
                <w:highlight w:val="none"/>
              </w:rPr>
            </w:pPr>
            <w:r>
              <w:rPr>
                <w:rFonts w:hint="eastAsia" w:ascii="宋体" w:hAnsi="宋体" w:cs="宋体"/>
                <w:color w:val="auto"/>
                <w:sz w:val="22"/>
                <w:szCs w:val="22"/>
                <w:highlight w:val="none"/>
              </w:rPr>
              <w:t>根据浙财采监〔2022〕</w:t>
            </w:r>
            <w:r>
              <w:rPr>
                <w:rFonts w:ascii="宋体" w:hAnsi="宋体" w:cs="宋体"/>
                <w:color w:val="auto"/>
                <w:sz w:val="22"/>
                <w:szCs w:val="22"/>
                <w:highlight w:val="none"/>
              </w:rPr>
              <w:t>8</w:t>
            </w:r>
            <w:r>
              <w:rPr>
                <w:rFonts w:hint="eastAsia" w:ascii="宋体" w:hAnsi="宋体" w:cs="宋体"/>
                <w:color w:val="auto"/>
                <w:sz w:val="22"/>
                <w:szCs w:val="22"/>
                <w:highlight w:val="none"/>
              </w:rPr>
              <w:t>号文的相关规定，</w:t>
            </w:r>
            <w:r>
              <w:rPr>
                <w:rFonts w:ascii="宋体" w:hAnsi="宋体" w:cs="宋体"/>
                <w:color w:val="auto"/>
                <w:sz w:val="22"/>
                <w:szCs w:val="22"/>
                <w:highlight w:val="none"/>
              </w:rPr>
              <w:t>对省级以上主管部门认定的首台套产品，自纳入《省推广应用指导目录》起三年内参加政府采购活动，视同已具备相应销售业绩，业绩分为满分。</w:t>
            </w:r>
          </w:p>
        </w:tc>
      </w:tr>
      <w:tr w14:paraId="0C1C486C">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70F44AD">
            <w:pPr>
              <w:spacing w:line="3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29</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1DDAEDE">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highlight w:val="none"/>
                <w:lang w:val="en-US" w:eastAsia="zh-CN"/>
              </w:rPr>
              <w:t>其他</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471A781D">
            <w:pPr>
              <w:keepNext w:val="0"/>
              <w:keepLines w:val="0"/>
              <w:pageBreakBefore w:val="0"/>
              <w:kinsoku/>
              <w:wordWrap/>
              <w:topLinePunct w:val="0"/>
              <w:bidi w:val="0"/>
              <w:spacing w:line="360" w:lineRule="exact"/>
              <w:rPr>
                <w:rFonts w:hint="default"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根据《</w:t>
            </w:r>
            <w:r>
              <w:rPr>
                <w:rFonts w:hint="default" w:ascii="宋体" w:hAnsi="宋体" w:eastAsia="宋体" w:cs="宋体"/>
                <w:color w:val="auto"/>
                <w:sz w:val="22"/>
                <w:szCs w:val="22"/>
                <w:highlight w:val="none"/>
                <w:lang w:val="en-US" w:eastAsia="zh-CN"/>
              </w:rPr>
              <w:t>关于推动解决政府采购异常低价问题的通知</w:t>
            </w:r>
            <w:r>
              <w:rPr>
                <w:rFonts w:hint="eastAsia" w:ascii="宋体" w:hAnsi="宋体" w:eastAsia="宋体" w:cs="宋体"/>
                <w:color w:val="auto"/>
                <w:sz w:val="22"/>
                <w:szCs w:val="22"/>
                <w:highlight w:val="none"/>
                <w:lang w:val="en-US" w:eastAsia="zh-CN"/>
              </w:rPr>
              <w:t>》财库〔2026〕2号文件规定：</w:t>
            </w:r>
            <w:r>
              <w:rPr>
                <w:rFonts w:hint="default" w:ascii="宋体" w:hAnsi="宋体" w:eastAsia="宋体" w:cs="宋体"/>
                <w:color w:val="auto"/>
                <w:sz w:val="22"/>
                <w:szCs w:val="22"/>
                <w:highlight w:val="none"/>
                <w:lang w:eastAsia="zh-CN"/>
              </w:rPr>
              <w:t>政府采购评审中出现下列情形之一的，评审委员会应当启动异常低价投标（响应）审查程序：</w:t>
            </w:r>
          </w:p>
          <w:p w14:paraId="0C027635">
            <w:pPr>
              <w:keepNext w:val="0"/>
              <w:keepLines w:val="0"/>
              <w:pageBreakBefore w:val="0"/>
              <w:kinsoku/>
              <w:wordWrap/>
              <w:topLinePunct w:val="0"/>
              <w:bidi w:val="0"/>
              <w:spacing w:line="360" w:lineRule="exact"/>
              <w:rPr>
                <w:rFonts w:hint="default" w:ascii="宋体" w:hAnsi="宋体" w:eastAsia="宋体" w:cs="宋体"/>
                <w:color w:val="auto"/>
                <w:sz w:val="22"/>
                <w:szCs w:val="22"/>
                <w:highlight w:val="none"/>
                <w:lang w:eastAsia="zh-CN"/>
              </w:rPr>
            </w:pPr>
            <w:r>
              <w:rPr>
                <w:rFonts w:hint="default" w:ascii="宋体" w:hAnsi="宋体" w:eastAsia="宋体" w:cs="宋体"/>
                <w:color w:val="auto"/>
                <w:sz w:val="22"/>
                <w:szCs w:val="22"/>
                <w:highlight w:val="none"/>
                <w:lang w:eastAsia="zh-CN"/>
              </w:rPr>
              <w:t>（一）投标（响应）报价低于全部通过符合性审查供应商投标（响应）报价平均值</w:t>
            </w:r>
            <w:r>
              <w:rPr>
                <w:rFonts w:hint="eastAsia" w:ascii="宋体" w:hAnsi="宋体" w:cs="宋体"/>
                <w:color w:val="auto"/>
                <w:sz w:val="22"/>
                <w:szCs w:val="22"/>
                <w:highlight w:val="none"/>
                <w:lang w:val="en-US" w:eastAsia="zh-CN"/>
              </w:rPr>
              <w:t>65</w:t>
            </w:r>
            <w:r>
              <w:rPr>
                <w:rFonts w:hint="default" w:ascii="宋体" w:hAnsi="宋体" w:eastAsia="宋体" w:cs="宋体"/>
                <w:color w:val="auto"/>
                <w:sz w:val="22"/>
                <w:szCs w:val="22"/>
                <w:highlight w:val="none"/>
                <w:lang w:eastAsia="zh-CN"/>
              </w:rPr>
              <w:t>%的，即投标（响应）报价&lt;全部通过符合性审查供应商投标（响应）报价平均值×</w:t>
            </w:r>
            <w:r>
              <w:rPr>
                <w:rFonts w:hint="eastAsia" w:ascii="宋体" w:hAnsi="宋体" w:cs="宋体"/>
                <w:color w:val="auto"/>
                <w:sz w:val="22"/>
                <w:szCs w:val="22"/>
                <w:highlight w:val="none"/>
                <w:lang w:val="en-US" w:eastAsia="zh-CN"/>
              </w:rPr>
              <w:t>65</w:t>
            </w:r>
            <w:r>
              <w:rPr>
                <w:rFonts w:hint="default" w:ascii="宋体" w:hAnsi="宋体" w:eastAsia="宋体" w:cs="宋体"/>
                <w:color w:val="auto"/>
                <w:sz w:val="22"/>
                <w:szCs w:val="22"/>
                <w:highlight w:val="none"/>
                <w:lang w:eastAsia="zh-CN"/>
              </w:rPr>
              <w:t>%；</w:t>
            </w:r>
          </w:p>
          <w:p w14:paraId="225971CA">
            <w:pPr>
              <w:keepNext w:val="0"/>
              <w:keepLines w:val="0"/>
              <w:pageBreakBefore w:val="0"/>
              <w:kinsoku/>
              <w:wordWrap/>
              <w:topLinePunct w:val="0"/>
              <w:bidi w:val="0"/>
              <w:spacing w:line="360" w:lineRule="exact"/>
              <w:rPr>
                <w:rFonts w:hint="default" w:ascii="宋体" w:hAnsi="宋体" w:eastAsia="宋体" w:cs="宋体"/>
                <w:color w:val="auto"/>
                <w:sz w:val="22"/>
                <w:szCs w:val="22"/>
                <w:highlight w:val="none"/>
                <w:lang w:eastAsia="zh-CN"/>
              </w:rPr>
            </w:pPr>
            <w:r>
              <w:rPr>
                <w:rFonts w:hint="default" w:ascii="宋体" w:hAnsi="宋体" w:eastAsia="宋体" w:cs="宋体"/>
                <w:color w:val="auto"/>
                <w:sz w:val="22"/>
                <w:szCs w:val="22"/>
                <w:highlight w:val="none"/>
                <w:lang w:eastAsia="zh-CN"/>
              </w:rPr>
              <w:t>（二）投标（响应）报价低于通过符合性审查且报价次低供应商投标（响应）报价</w:t>
            </w:r>
            <w:r>
              <w:rPr>
                <w:rFonts w:hint="eastAsia" w:ascii="宋体" w:hAnsi="宋体" w:cs="宋体"/>
                <w:color w:val="auto"/>
                <w:sz w:val="22"/>
                <w:szCs w:val="22"/>
                <w:highlight w:val="none"/>
                <w:lang w:val="en-US" w:eastAsia="zh-CN"/>
              </w:rPr>
              <w:t>65</w:t>
            </w:r>
            <w:r>
              <w:rPr>
                <w:rFonts w:hint="default" w:ascii="宋体" w:hAnsi="宋体" w:eastAsia="宋体" w:cs="宋体"/>
                <w:color w:val="auto"/>
                <w:sz w:val="22"/>
                <w:szCs w:val="22"/>
                <w:highlight w:val="none"/>
                <w:lang w:eastAsia="zh-CN"/>
              </w:rPr>
              <w:t>%的，即投标（响应）报价&lt;通过符合性审查且报价次低供应商投标（响应）报价×</w:t>
            </w:r>
            <w:r>
              <w:rPr>
                <w:rFonts w:hint="eastAsia" w:ascii="宋体" w:hAnsi="宋体" w:cs="宋体"/>
                <w:color w:val="auto"/>
                <w:sz w:val="22"/>
                <w:szCs w:val="22"/>
                <w:highlight w:val="none"/>
                <w:lang w:val="en-US" w:eastAsia="zh-CN"/>
              </w:rPr>
              <w:t>65</w:t>
            </w:r>
            <w:r>
              <w:rPr>
                <w:rFonts w:hint="default" w:ascii="宋体" w:hAnsi="宋体" w:eastAsia="宋体" w:cs="宋体"/>
                <w:color w:val="auto"/>
                <w:sz w:val="22"/>
                <w:szCs w:val="22"/>
                <w:highlight w:val="none"/>
                <w:lang w:eastAsia="zh-CN"/>
              </w:rPr>
              <w:t>%；</w:t>
            </w:r>
          </w:p>
          <w:p w14:paraId="79A9DC3B">
            <w:pPr>
              <w:keepNext w:val="0"/>
              <w:keepLines w:val="0"/>
              <w:pageBreakBefore w:val="0"/>
              <w:kinsoku/>
              <w:wordWrap/>
              <w:topLinePunct w:val="0"/>
              <w:bidi w:val="0"/>
              <w:spacing w:line="360" w:lineRule="exact"/>
              <w:rPr>
                <w:rFonts w:hint="default" w:ascii="宋体" w:hAnsi="宋体" w:eastAsia="宋体" w:cs="宋体"/>
                <w:color w:val="auto"/>
                <w:sz w:val="22"/>
                <w:szCs w:val="22"/>
                <w:highlight w:val="none"/>
                <w:lang w:eastAsia="zh-CN"/>
              </w:rPr>
            </w:pPr>
            <w:r>
              <w:rPr>
                <w:rFonts w:hint="default" w:ascii="宋体" w:hAnsi="宋体" w:eastAsia="宋体" w:cs="宋体"/>
                <w:color w:val="auto"/>
                <w:sz w:val="22"/>
                <w:szCs w:val="22"/>
                <w:highlight w:val="none"/>
                <w:lang w:eastAsia="zh-CN"/>
              </w:rPr>
              <w:t>（三）投标（响应）报价低于采购项目最高限价</w:t>
            </w:r>
            <w:r>
              <w:rPr>
                <w:rFonts w:hint="eastAsia" w:ascii="宋体" w:hAnsi="宋体" w:cs="宋体"/>
                <w:color w:val="auto"/>
                <w:sz w:val="22"/>
                <w:szCs w:val="22"/>
                <w:highlight w:val="none"/>
                <w:lang w:val="en-US" w:eastAsia="zh-CN"/>
              </w:rPr>
              <w:t>60</w:t>
            </w:r>
            <w:r>
              <w:rPr>
                <w:rFonts w:hint="default" w:ascii="宋体" w:hAnsi="宋体" w:eastAsia="宋体" w:cs="宋体"/>
                <w:color w:val="auto"/>
                <w:sz w:val="22"/>
                <w:szCs w:val="22"/>
                <w:highlight w:val="none"/>
                <w:lang w:eastAsia="zh-CN"/>
              </w:rPr>
              <w:t>%的，即投标（响应）报价&lt;采购项目最高限价×</w:t>
            </w:r>
            <w:r>
              <w:rPr>
                <w:rFonts w:hint="eastAsia" w:ascii="宋体" w:hAnsi="宋体" w:cs="宋体"/>
                <w:color w:val="auto"/>
                <w:sz w:val="22"/>
                <w:szCs w:val="22"/>
                <w:highlight w:val="none"/>
                <w:lang w:val="en-US" w:eastAsia="zh-CN"/>
              </w:rPr>
              <w:t>60</w:t>
            </w:r>
            <w:r>
              <w:rPr>
                <w:rFonts w:hint="default" w:ascii="宋体" w:hAnsi="宋体" w:eastAsia="宋体" w:cs="宋体"/>
                <w:color w:val="auto"/>
                <w:sz w:val="22"/>
                <w:szCs w:val="22"/>
                <w:highlight w:val="none"/>
                <w:lang w:eastAsia="zh-CN"/>
              </w:rPr>
              <w:t>%；</w:t>
            </w:r>
          </w:p>
          <w:p w14:paraId="3B0338A2">
            <w:pPr>
              <w:keepNext w:val="0"/>
              <w:keepLines w:val="0"/>
              <w:pageBreakBefore w:val="0"/>
              <w:kinsoku/>
              <w:wordWrap/>
              <w:topLinePunct w:val="0"/>
              <w:bidi w:val="0"/>
              <w:spacing w:line="360" w:lineRule="exact"/>
              <w:rPr>
                <w:rFonts w:hint="default" w:ascii="宋体" w:hAnsi="宋体" w:eastAsia="宋体" w:cs="宋体"/>
                <w:color w:val="auto"/>
                <w:sz w:val="22"/>
                <w:szCs w:val="22"/>
                <w:highlight w:val="none"/>
                <w:lang w:eastAsia="zh-CN"/>
              </w:rPr>
            </w:pPr>
            <w:r>
              <w:rPr>
                <w:rFonts w:hint="default" w:ascii="宋体" w:hAnsi="宋体" w:eastAsia="宋体" w:cs="宋体"/>
                <w:color w:val="auto"/>
                <w:sz w:val="22"/>
                <w:szCs w:val="22"/>
                <w:highlight w:val="none"/>
                <w:lang w:eastAsia="zh-CN"/>
              </w:rPr>
              <w:t>（四）其他评审委员会认为供应商报价过低，有可能影响产品质量或者不能诚信履约的情形。</w:t>
            </w:r>
          </w:p>
          <w:p w14:paraId="588EC396">
            <w:pPr>
              <w:spacing w:line="360" w:lineRule="exact"/>
              <w:rPr>
                <w:rFonts w:hint="eastAsia" w:ascii="宋体" w:hAnsi="宋体" w:cs="宋体"/>
                <w:color w:val="auto"/>
                <w:sz w:val="22"/>
                <w:szCs w:val="22"/>
                <w:highlight w:val="none"/>
              </w:rPr>
            </w:pPr>
            <w:r>
              <w:rPr>
                <w:rFonts w:hint="default" w:ascii="宋体" w:hAnsi="宋体" w:eastAsia="宋体" w:cs="宋体"/>
                <w:color w:val="auto"/>
                <w:sz w:val="22"/>
                <w:szCs w:val="22"/>
                <w:highlight w:val="none"/>
                <w:lang w:eastAsia="zh-CN"/>
              </w:rPr>
              <w:t>评审委员会启动异常低价投标（响应）审查后，应当要求相关供应商在评审现场合理的时间内提供书面说明及必要的证明材料，对投标（响应）价格作出解释</w:t>
            </w:r>
            <w:r>
              <w:rPr>
                <w:rFonts w:hint="eastAsia" w:ascii="宋体" w:hAnsi="宋体" w:eastAsia="宋体" w:cs="宋体"/>
                <w:color w:val="auto"/>
                <w:sz w:val="22"/>
                <w:szCs w:val="22"/>
                <w:highlight w:val="none"/>
                <w:lang w:eastAsia="zh-CN"/>
              </w:rPr>
              <w:t>，</w:t>
            </w:r>
            <w:r>
              <w:rPr>
                <w:rFonts w:hint="default" w:ascii="宋体" w:hAnsi="宋体" w:eastAsia="宋体" w:cs="宋体"/>
                <w:color w:val="auto"/>
                <w:sz w:val="22"/>
                <w:szCs w:val="22"/>
                <w:highlight w:val="none"/>
                <w:lang w:val="en-US" w:eastAsia="zh-CN"/>
              </w:rPr>
              <w:t>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default" w:ascii="宋体" w:hAnsi="宋体" w:eastAsia="宋体" w:cs="宋体"/>
                <w:color w:val="auto"/>
                <w:sz w:val="22"/>
                <w:szCs w:val="22"/>
                <w:highlight w:val="none"/>
                <w:lang w:eastAsia="zh-CN"/>
              </w:rPr>
              <w:t>投标人不能证明其报价合理性的，评标委员会应当将其作为无效投标处理。</w:t>
            </w:r>
          </w:p>
        </w:tc>
      </w:tr>
    </w:tbl>
    <w:p w14:paraId="30EEA5E5">
      <w:pPr>
        <w:pStyle w:val="3"/>
        <w:spacing w:line="680" w:lineRule="exact"/>
        <w:jc w:val="center"/>
        <w:rPr>
          <w:rFonts w:ascii="宋体" w:hAnsi="宋体" w:eastAsia="宋体" w:cs="宋体"/>
          <w:color w:val="auto"/>
          <w:sz w:val="28"/>
          <w:szCs w:val="28"/>
          <w:highlight w:val="none"/>
        </w:rPr>
      </w:pPr>
      <w:bookmarkStart w:id="28" w:name="_Toc26450"/>
      <w:r>
        <w:rPr>
          <w:rFonts w:hint="eastAsia" w:ascii="宋体" w:hAnsi="宋体" w:eastAsia="宋体" w:cs="宋体"/>
          <w:color w:val="auto"/>
          <w:sz w:val="28"/>
          <w:szCs w:val="28"/>
          <w:highlight w:val="none"/>
        </w:rPr>
        <w:t>一、 说   明</w:t>
      </w:r>
      <w:bookmarkEnd w:id="28"/>
    </w:p>
    <w:p w14:paraId="1F7D809F">
      <w:pPr>
        <w:tabs>
          <w:tab w:val="left" w:pos="360"/>
        </w:tabs>
        <w:spacing w:line="440" w:lineRule="exact"/>
        <w:ind w:left="550" w:hanging="550" w:hangingChars="250"/>
        <w:rPr>
          <w:rFonts w:ascii="宋体" w:hAnsi="宋体" w:cs="宋体"/>
          <w:color w:val="auto"/>
          <w:sz w:val="22"/>
          <w:szCs w:val="22"/>
          <w:highlight w:val="none"/>
        </w:rPr>
      </w:pPr>
      <w:bookmarkStart w:id="29" w:name="_Toc230773776"/>
      <w:r>
        <w:rPr>
          <w:rFonts w:hint="eastAsia" w:ascii="宋体" w:hAnsi="宋体" w:cs="宋体"/>
          <w:color w:val="auto"/>
          <w:sz w:val="22"/>
          <w:szCs w:val="22"/>
          <w:highlight w:val="none"/>
        </w:rPr>
        <w:t>1.   本次招标是参考《中华人民共和国政府采购法》、《中华人民共和国政府采购法实施条例》、《政府采购货物和服务招标投标管理办法》（财政部第87号令）及浙江省市等有关政府采购的规范性文件组织和实施。</w:t>
      </w:r>
    </w:p>
    <w:p w14:paraId="0632A3FC">
      <w:pPr>
        <w:tabs>
          <w:tab w:val="left" w:pos="360"/>
        </w:tabs>
        <w:spacing w:line="440" w:lineRule="exact"/>
        <w:ind w:left="550" w:hanging="550" w:hangingChars="250"/>
        <w:rPr>
          <w:rFonts w:ascii="宋体" w:hAnsi="宋体" w:cs="宋体"/>
          <w:color w:val="auto"/>
          <w:sz w:val="22"/>
          <w:szCs w:val="22"/>
          <w:highlight w:val="none"/>
        </w:rPr>
      </w:pPr>
      <w:bookmarkStart w:id="30" w:name="_Toc3235"/>
      <w:bookmarkStart w:id="31" w:name="_Toc19066"/>
      <w:bookmarkStart w:id="32" w:name="_Toc31546"/>
      <w:r>
        <w:rPr>
          <w:rFonts w:ascii="宋体" w:hAnsi="宋体" w:cs="宋体"/>
          <w:color w:val="auto"/>
          <w:sz w:val="22"/>
          <w:szCs w:val="22"/>
          <w:highlight w:val="none"/>
        </w:rPr>
        <w:t xml:space="preserve">2.   </w:t>
      </w:r>
      <w:r>
        <w:rPr>
          <w:rFonts w:hint="eastAsia" w:ascii="宋体" w:hAnsi="宋体" w:cs="宋体"/>
          <w:color w:val="auto"/>
          <w:sz w:val="22"/>
          <w:szCs w:val="22"/>
          <w:highlight w:val="none"/>
        </w:rPr>
        <w:t>定义</w:t>
      </w:r>
      <w:bookmarkEnd w:id="30"/>
      <w:bookmarkEnd w:id="31"/>
      <w:bookmarkEnd w:id="32"/>
    </w:p>
    <w:p w14:paraId="229E5FA5">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2.1 “采购人”系指招标公告中载明的本项目的采购人。</w:t>
      </w:r>
    </w:p>
    <w:p w14:paraId="4ECED171">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2.2 “采购代理机构”系指招标公告中载明的本项目的采购代理机构。</w:t>
      </w:r>
    </w:p>
    <w:p w14:paraId="431D028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2.3 “投标人、供应商”均系指响应招标、参加投标竞争的法人、其他组织或者自然人。</w:t>
      </w:r>
    </w:p>
    <w:p w14:paraId="1C83F5A7">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2.4 “负责人”系指法人企业的法定负责人，或其他组织为法律、行政法规规定代表单位行使职权的主要负责人，或自然人本人。</w:t>
      </w:r>
    </w:p>
    <w:p w14:paraId="1A6EA03A">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2.5“电子签名”系指数据电文中以电子形式所含、所附用于识别签名人身份并表明签名人认可其中内容的数据；“公章”系指单位法定名称章。</w:t>
      </w:r>
    </w:p>
    <w:p w14:paraId="6860B043">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2.6“电子交易平台”是指本项目采购活动所依托的乐采云平台（https://www.lecaiyun.com/）。</w:t>
      </w:r>
    </w:p>
    <w:p w14:paraId="44109EA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2.7 “▲”</w:t>
      </w:r>
      <w:r>
        <w:rPr>
          <w:rFonts w:hint="eastAsia" w:ascii="宋体" w:hAnsi="宋体" w:cs="仿宋"/>
          <w:snapToGrid w:val="0"/>
          <w:color w:val="auto"/>
          <w:kern w:val="28"/>
          <w:sz w:val="22"/>
          <w:szCs w:val="22"/>
          <w:highlight w:val="none"/>
        </w:rPr>
        <w:t>且加下划线的条款</w:t>
      </w:r>
      <w:r>
        <w:rPr>
          <w:rFonts w:hint="eastAsia" w:ascii="宋体" w:hAnsi="宋体" w:cs="仿宋"/>
          <w:color w:val="auto"/>
          <w:sz w:val="22"/>
          <w:szCs w:val="22"/>
          <w:highlight w:val="none"/>
        </w:rPr>
        <w:t>系指实质性要求条款， “</w:t>
      </w:r>
      <w:r>
        <w:rPr>
          <w:rFonts w:hint="eastAsia" w:ascii="宋体" w:hAnsi="宋体" w:cs="仿宋"/>
          <w:color w:val="auto"/>
          <w:sz w:val="22"/>
          <w:szCs w:val="22"/>
          <w:highlight w:val="none"/>
        </w:rPr>
        <w:sym w:font="Wingdings" w:char="00FE"/>
      </w:r>
      <w:r>
        <w:rPr>
          <w:rFonts w:hint="eastAsia" w:ascii="宋体" w:hAnsi="宋体" w:cs="仿宋"/>
          <w:color w:val="auto"/>
          <w:sz w:val="22"/>
          <w:szCs w:val="22"/>
          <w:highlight w:val="none"/>
        </w:rPr>
        <w:t>” 系指适用本项目的要求，“</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系指不适用本项目的要求。</w:t>
      </w:r>
    </w:p>
    <w:p w14:paraId="2D49761C">
      <w:pPr>
        <w:spacing w:line="440" w:lineRule="exact"/>
        <w:rPr>
          <w:rFonts w:ascii="宋体" w:hAnsi="宋体" w:cs="仿宋"/>
          <w:b/>
          <w:color w:val="auto"/>
          <w:sz w:val="22"/>
          <w:szCs w:val="22"/>
          <w:highlight w:val="none"/>
        </w:rPr>
      </w:pPr>
      <w:r>
        <w:rPr>
          <w:rFonts w:ascii="宋体" w:hAnsi="宋体" w:cs="仿宋"/>
          <w:b/>
          <w:color w:val="auto"/>
          <w:sz w:val="22"/>
          <w:szCs w:val="22"/>
          <w:highlight w:val="none"/>
        </w:rPr>
        <w:t xml:space="preserve">3.  </w:t>
      </w:r>
      <w:r>
        <w:rPr>
          <w:rFonts w:hint="eastAsia" w:ascii="宋体" w:hAnsi="宋体" w:cs="仿宋"/>
          <w:b/>
          <w:color w:val="auto"/>
          <w:sz w:val="22"/>
          <w:szCs w:val="22"/>
          <w:highlight w:val="none"/>
        </w:rPr>
        <w:t>合格投标人要求</w:t>
      </w:r>
    </w:p>
    <w:p w14:paraId="64B4AAE0">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3.1合格的投标人应满足招标文件第一部分“招标公告”对申请人的资格要求。</w:t>
      </w:r>
    </w:p>
    <w:p w14:paraId="5B8B6B5D">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3.2</w:t>
      </w:r>
      <w:r>
        <w:rPr>
          <w:rFonts w:hint="eastAsia" w:ascii="宋体" w:hAnsi="宋体" w:cs="仿宋"/>
          <w:b/>
          <w:color w:val="auto"/>
          <w:sz w:val="22"/>
          <w:szCs w:val="22"/>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F651F99">
      <w:pPr>
        <w:tabs>
          <w:tab w:val="left" w:pos="540"/>
          <w:tab w:val="left" w:pos="900"/>
        </w:tabs>
        <w:snapToGrid w:val="0"/>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3.3投标人可授权投标人代表以投标人名义参加本次采购的投标活动（包括投标文件的签署、澄清、说明、补正、递交、撤回、修改等以及签订合同和处理有关事宜）。如果投标人代表不是法定代表人(负责人)，须持有《法定代表人(负责人)授权书》。</w:t>
      </w:r>
    </w:p>
    <w:p w14:paraId="0E53D829">
      <w:pPr>
        <w:pStyle w:val="3"/>
        <w:spacing w:line="680" w:lineRule="exact"/>
        <w:jc w:val="center"/>
        <w:rPr>
          <w:rFonts w:ascii="宋体" w:hAnsi="宋体" w:eastAsia="宋体" w:cs="宋体"/>
          <w:color w:val="auto"/>
          <w:sz w:val="28"/>
          <w:szCs w:val="28"/>
          <w:highlight w:val="none"/>
        </w:rPr>
      </w:pPr>
      <w:bookmarkStart w:id="33" w:name="_Toc11506"/>
      <w:r>
        <w:rPr>
          <w:rFonts w:hint="eastAsia" w:ascii="宋体" w:hAnsi="宋体" w:eastAsia="宋体" w:cs="宋体"/>
          <w:color w:val="auto"/>
          <w:sz w:val="28"/>
          <w:szCs w:val="28"/>
          <w:highlight w:val="none"/>
        </w:rPr>
        <w:t>二、 招标文件</w:t>
      </w:r>
      <w:bookmarkEnd w:id="29"/>
      <w:bookmarkEnd w:id="33"/>
    </w:p>
    <w:p w14:paraId="77854E8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招标文件由招标文件目录所列内容及相关资料组成。</w:t>
      </w:r>
    </w:p>
    <w:p w14:paraId="1D5C5DA4">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招标文件的澄清或者修改</w:t>
      </w:r>
    </w:p>
    <w:p w14:paraId="7149880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2.1  采购人或者采购代理机构可以对已发出的招标文件进行必要的澄清或者修改。澄清或者修改应当在原公告发布媒体上发布澄清公告。澄清或者修改的内容为招标文件的组成部分。</w:t>
      </w:r>
    </w:p>
    <w:p w14:paraId="5A1600E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潜在投标人在收到该书面通知后，应立即书面回复确认已收到该通知。</w:t>
      </w:r>
    </w:p>
    <w:p w14:paraId="782B8F44">
      <w:pPr>
        <w:pStyle w:val="3"/>
        <w:spacing w:line="680" w:lineRule="exact"/>
        <w:ind w:firstLine="420"/>
        <w:jc w:val="center"/>
        <w:rPr>
          <w:rFonts w:ascii="宋体" w:hAnsi="宋体" w:eastAsia="宋体" w:cs="宋体"/>
          <w:color w:val="auto"/>
          <w:sz w:val="28"/>
          <w:szCs w:val="28"/>
          <w:highlight w:val="none"/>
        </w:rPr>
      </w:pPr>
      <w:bookmarkStart w:id="34" w:name="_Toc19899"/>
      <w:bookmarkStart w:id="35" w:name="_Toc230773777"/>
      <w:r>
        <w:rPr>
          <w:rFonts w:hint="eastAsia" w:ascii="宋体" w:hAnsi="宋体" w:eastAsia="宋体" w:cs="宋体"/>
          <w:color w:val="auto"/>
          <w:sz w:val="28"/>
          <w:szCs w:val="28"/>
          <w:highlight w:val="none"/>
        </w:rPr>
        <w:t>三、 投标文件的编制</w:t>
      </w:r>
      <w:bookmarkEnd w:id="34"/>
      <w:bookmarkEnd w:id="35"/>
    </w:p>
    <w:p w14:paraId="6B7A8214">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1.   投标人应认真阅读招标文件中所有事项、格式、条款和技术规范等。</w:t>
      </w:r>
      <w:r>
        <w:rPr>
          <w:rFonts w:hint="eastAsia" w:ascii="宋体" w:hAnsi="宋体" w:cs="宋体"/>
          <w:b/>
          <w:color w:val="auto"/>
          <w:sz w:val="22"/>
          <w:szCs w:val="22"/>
          <w:highlight w:val="none"/>
        </w:rPr>
        <w:t>投标人没有按照招标文件要求提交全部资料，或者没有对招标文件各个方面做出实质性响应，导致投标被拒绝的风险由投标人自行承担。</w:t>
      </w:r>
    </w:p>
    <w:p w14:paraId="72BA11B8">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2. ▲</w:t>
      </w:r>
      <w:r>
        <w:rPr>
          <w:rFonts w:hint="eastAsia" w:ascii="宋体" w:hAnsi="宋体" w:cs="宋体"/>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r>
        <w:rPr>
          <w:rFonts w:hint="eastAsia" w:ascii="宋体" w:hAnsi="宋体" w:cs="宋体"/>
          <w:b/>
          <w:color w:val="auto"/>
          <w:sz w:val="22"/>
          <w:szCs w:val="22"/>
          <w:highlight w:val="none"/>
        </w:rPr>
        <w:t>。</w:t>
      </w:r>
    </w:p>
    <w:p w14:paraId="12C34920">
      <w:pPr>
        <w:spacing w:line="440" w:lineRule="exact"/>
        <w:ind w:left="550" w:hanging="550" w:hangingChars="250"/>
        <w:rPr>
          <w:rFonts w:ascii="宋体" w:hAnsi="宋体"/>
          <w:b/>
          <w:bCs/>
          <w:color w:val="auto"/>
          <w:sz w:val="22"/>
          <w:szCs w:val="22"/>
          <w:highlight w:val="none"/>
        </w:rPr>
      </w:pPr>
      <w:r>
        <w:rPr>
          <w:rFonts w:hint="eastAsia" w:ascii="宋体" w:hAnsi="宋体"/>
          <w:color w:val="auto"/>
          <w:sz w:val="22"/>
          <w:szCs w:val="22"/>
          <w:highlight w:val="none"/>
        </w:rPr>
        <w:t xml:space="preserve">3.   </w:t>
      </w:r>
      <w:r>
        <w:rPr>
          <w:rFonts w:hint="eastAsia" w:ascii="宋体" w:hAnsi="宋体"/>
          <w:b/>
          <w:bCs/>
          <w:color w:val="auto"/>
          <w:sz w:val="22"/>
          <w:szCs w:val="22"/>
          <w:highlight w:val="none"/>
        </w:rPr>
        <w:t>投标文件分为电子投标文件以及备份投标文件。</w:t>
      </w:r>
    </w:p>
    <w:p w14:paraId="790A2B9C">
      <w:pPr>
        <w:spacing w:line="440" w:lineRule="exact"/>
        <w:ind w:left="550" w:hanging="550" w:hangingChars="250"/>
        <w:rPr>
          <w:rFonts w:ascii="宋体" w:hAnsi="宋体"/>
          <w:b/>
          <w:bCs/>
          <w:color w:val="auto"/>
          <w:sz w:val="22"/>
          <w:szCs w:val="22"/>
          <w:highlight w:val="none"/>
          <w:u w:val="single"/>
        </w:rPr>
      </w:pPr>
      <w:r>
        <w:rPr>
          <w:rFonts w:hint="eastAsia" w:ascii="宋体" w:hAnsi="宋体"/>
          <w:color w:val="auto"/>
          <w:sz w:val="22"/>
          <w:szCs w:val="22"/>
          <w:highlight w:val="none"/>
        </w:rPr>
        <w:t xml:space="preserve">3.1 </w:t>
      </w:r>
      <w:r>
        <w:rPr>
          <w:rFonts w:hint="eastAsia" w:ascii="宋体" w:hAnsi="宋体"/>
          <w:b/>
          <w:bCs/>
          <w:color w:val="auto"/>
          <w:sz w:val="22"/>
          <w:szCs w:val="22"/>
          <w:highlight w:val="none"/>
          <w:u w:val="single"/>
        </w:rPr>
        <w:t>电子投标文件：投标人根据“乐采云供应商项目采购-电子招投标操作指南”及本招标文件规定的格式和顺序编制电子投标文件关联定位、加密并递交。</w:t>
      </w:r>
    </w:p>
    <w:p w14:paraId="048BB523">
      <w:pPr>
        <w:spacing w:line="440" w:lineRule="exact"/>
        <w:ind w:left="552" w:hanging="552" w:hangingChars="250"/>
        <w:rPr>
          <w:rFonts w:ascii="宋体" w:hAnsi="宋体"/>
          <w:b/>
          <w:bCs/>
          <w:color w:val="auto"/>
          <w:sz w:val="22"/>
          <w:szCs w:val="22"/>
          <w:highlight w:val="none"/>
          <w:u w:val="single"/>
        </w:rPr>
      </w:pPr>
      <w:r>
        <w:rPr>
          <w:rFonts w:hint="eastAsia" w:ascii="宋体" w:hAnsi="宋体"/>
          <w:b/>
          <w:bCs/>
          <w:color w:val="auto"/>
          <w:sz w:val="22"/>
          <w:szCs w:val="22"/>
          <w:highlight w:val="none"/>
        </w:rPr>
        <w:t xml:space="preserve">3.2  </w:t>
      </w:r>
      <w:r>
        <w:rPr>
          <w:rFonts w:hint="eastAsia" w:ascii="宋体" w:hAnsi="宋体"/>
          <w:b/>
          <w:bCs/>
          <w:color w:val="auto"/>
          <w:sz w:val="22"/>
          <w:szCs w:val="22"/>
          <w:highlight w:val="none"/>
          <w:u w:val="single"/>
        </w:rPr>
        <w:t>备份投标文件：投标人</w:t>
      </w:r>
      <w:r>
        <w:rPr>
          <w:rFonts w:ascii="宋体" w:hAnsi="宋体"/>
          <w:b/>
          <w:bCs/>
          <w:color w:val="auto"/>
          <w:sz w:val="22"/>
          <w:szCs w:val="22"/>
          <w:highlight w:val="none"/>
          <w:u w:val="single"/>
        </w:rPr>
        <w:t>在</w:t>
      </w:r>
      <w:r>
        <w:rPr>
          <w:rFonts w:hint="eastAsia" w:ascii="宋体" w:hAnsi="宋体"/>
          <w:b/>
          <w:bCs/>
          <w:color w:val="auto"/>
          <w:sz w:val="22"/>
          <w:szCs w:val="22"/>
          <w:highlight w:val="none"/>
          <w:u w:val="single"/>
        </w:rPr>
        <w:t>乐采云</w:t>
      </w:r>
      <w:r>
        <w:rPr>
          <w:rFonts w:ascii="宋体" w:hAnsi="宋体"/>
          <w:b/>
          <w:bCs/>
          <w:color w:val="auto"/>
          <w:sz w:val="22"/>
          <w:szCs w:val="22"/>
          <w:highlight w:val="none"/>
          <w:u w:val="single"/>
        </w:rPr>
        <w:t>平台传输递交投标文件后，还可以在投标截止时间前提交以介质存储的数据电文形式的备份投标文件。</w:t>
      </w:r>
      <w:r>
        <w:rPr>
          <w:rFonts w:hint="eastAsia" w:ascii="宋体" w:hAnsi="宋体"/>
          <w:b/>
          <w:bCs/>
          <w:color w:val="auto"/>
          <w:sz w:val="22"/>
          <w:szCs w:val="22"/>
          <w:highlight w:val="none"/>
          <w:u w:val="single"/>
        </w:rPr>
        <w:t>电子投标文件按“乐采云平台项目采购-电子招投标操作指南”上传。</w:t>
      </w:r>
    </w:p>
    <w:p w14:paraId="40CEDFDA">
      <w:pPr>
        <w:spacing w:line="440" w:lineRule="exact"/>
        <w:ind w:left="552" w:hanging="552" w:hangingChars="250"/>
        <w:rPr>
          <w:rFonts w:ascii="宋体" w:hAnsi="宋体"/>
          <w:b/>
          <w:color w:val="auto"/>
          <w:sz w:val="22"/>
          <w:szCs w:val="22"/>
          <w:highlight w:val="none"/>
        </w:rPr>
      </w:pPr>
      <w:r>
        <w:rPr>
          <w:rFonts w:hint="eastAsia" w:ascii="宋体" w:hAnsi="宋体"/>
          <w:b/>
          <w:color w:val="auto"/>
          <w:sz w:val="22"/>
          <w:szCs w:val="22"/>
          <w:highlight w:val="none"/>
        </w:rPr>
        <w:t>4.   投标文件的效力</w:t>
      </w:r>
    </w:p>
    <w:p w14:paraId="58A932C0">
      <w:pPr>
        <w:spacing w:line="440" w:lineRule="exact"/>
        <w:ind w:left="533" w:leftChars="254"/>
        <w:rPr>
          <w:rFonts w:ascii="宋体" w:hAnsi="宋体"/>
          <w:color w:val="auto"/>
          <w:sz w:val="22"/>
          <w:szCs w:val="22"/>
          <w:highlight w:val="none"/>
        </w:rPr>
      </w:pPr>
      <w:r>
        <w:rPr>
          <w:rFonts w:hint="eastAsia" w:ascii="宋体" w:hAnsi="宋体"/>
          <w:color w:val="auto"/>
          <w:sz w:val="22"/>
          <w:szCs w:val="22"/>
          <w:highlight w:val="none"/>
        </w:rPr>
        <w:t>投标文件的启用，按先后顺位分别为电子投标文件和备份投标文件。在下一顺位的投标文件启用时，前一顺位的投标文件自动失效。</w:t>
      </w:r>
    </w:p>
    <w:p w14:paraId="2AB0F96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5.   </w:t>
      </w:r>
      <w:r>
        <w:rPr>
          <w:rFonts w:hint="eastAsia" w:ascii="宋体" w:hAnsi="宋体" w:cs="宋体"/>
          <w:b/>
          <w:bCs/>
          <w:color w:val="auto"/>
          <w:sz w:val="22"/>
          <w:szCs w:val="22"/>
          <w:highlight w:val="none"/>
        </w:rPr>
        <w:t>投标文件的组成：</w:t>
      </w:r>
    </w:p>
    <w:p w14:paraId="1D0A4FA9">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  投标文件由资格文件、商务技术文件、报价文件三部分组成：</w:t>
      </w:r>
    </w:p>
    <w:p w14:paraId="39AE3A3B">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5.1.1</w:t>
      </w:r>
      <w:r>
        <w:rPr>
          <w:rFonts w:hint="eastAsia" w:ascii="宋体" w:hAnsi="宋体" w:cs="宋体"/>
          <w:b/>
          <w:color w:val="auto"/>
          <w:sz w:val="22"/>
          <w:szCs w:val="22"/>
          <w:highlight w:val="none"/>
        </w:rPr>
        <w:t>资格文件</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449"/>
        <w:gridCol w:w="1440"/>
      </w:tblGrid>
      <w:tr w14:paraId="2B02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0A0763">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449" w:type="dxa"/>
          </w:tcPr>
          <w:p w14:paraId="50EC9D8E">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440" w:type="dxa"/>
          </w:tcPr>
          <w:p w14:paraId="78B972BD">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0576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500FE5D8">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p>
        </w:tc>
        <w:tc>
          <w:tcPr>
            <w:tcW w:w="7449" w:type="dxa"/>
          </w:tcPr>
          <w:p w14:paraId="59BC3081">
            <w:pPr>
              <w:autoSpaceDE w:val="0"/>
              <w:autoSpaceDN w:val="0"/>
              <w:adjustRightInd w:val="0"/>
              <w:snapToGrid w:val="0"/>
              <w:spacing w:line="440" w:lineRule="exact"/>
              <w:rPr>
                <w:rFonts w:ascii="宋体" w:hAnsi="宋体" w:cs="宋体"/>
                <w:b/>
                <w:color w:val="auto"/>
                <w:sz w:val="22"/>
                <w:highlight w:val="none"/>
                <w:lang w:val="zh-CN"/>
              </w:rPr>
            </w:pPr>
            <w:r>
              <w:rPr>
                <w:rFonts w:hint="eastAsia" w:ascii="宋体" w:hAnsi="宋体" w:cs="宋体"/>
                <w:color w:val="auto"/>
                <w:sz w:val="22"/>
                <w:szCs w:val="22"/>
                <w:highlight w:val="none"/>
              </w:rPr>
              <w:t>资格证明文件</w:t>
            </w:r>
          </w:p>
        </w:tc>
        <w:tc>
          <w:tcPr>
            <w:tcW w:w="1440" w:type="dxa"/>
          </w:tcPr>
          <w:p w14:paraId="4074B4C9">
            <w:pPr>
              <w:autoSpaceDE w:val="0"/>
              <w:autoSpaceDN w:val="0"/>
              <w:adjustRightInd w:val="0"/>
              <w:snapToGrid w:val="0"/>
              <w:spacing w:line="440" w:lineRule="exact"/>
              <w:jc w:val="center"/>
              <w:rPr>
                <w:rFonts w:ascii="宋体" w:hAnsi="宋体" w:cs="宋体"/>
                <w:b/>
                <w:color w:val="auto"/>
                <w:sz w:val="22"/>
                <w:highlight w:val="none"/>
              </w:rPr>
            </w:pPr>
            <w:r>
              <w:rPr>
                <w:rFonts w:hint="eastAsia" w:ascii="宋体" w:hAnsi="宋体" w:cs="宋体"/>
                <w:color w:val="auto"/>
                <w:sz w:val="22"/>
                <w:szCs w:val="22"/>
                <w:highlight w:val="none"/>
              </w:rPr>
              <w:t>附件四</w:t>
            </w:r>
          </w:p>
        </w:tc>
      </w:tr>
      <w:tr w14:paraId="062E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0CADB52">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ascii="宋体" w:hAnsi="宋体" w:cs="宋体"/>
                <w:color w:val="auto"/>
                <w:sz w:val="22"/>
                <w:highlight w:val="none"/>
                <w:lang w:val="zh-CN"/>
              </w:rPr>
              <w:t>1</w:t>
            </w:r>
          </w:p>
        </w:tc>
        <w:tc>
          <w:tcPr>
            <w:tcW w:w="7449" w:type="dxa"/>
            <w:vAlign w:val="center"/>
          </w:tcPr>
          <w:p w14:paraId="790480C4">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法定代表人身份证明或法定代表人授权书</w:t>
            </w:r>
          </w:p>
        </w:tc>
        <w:tc>
          <w:tcPr>
            <w:tcW w:w="1440" w:type="dxa"/>
          </w:tcPr>
          <w:p w14:paraId="1C7FDD33">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附件四-1、2</w:t>
            </w:r>
          </w:p>
        </w:tc>
      </w:tr>
      <w:tr w14:paraId="340A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9B21179">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2</w:t>
            </w:r>
          </w:p>
        </w:tc>
        <w:tc>
          <w:tcPr>
            <w:tcW w:w="7449" w:type="dxa"/>
            <w:vAlign w:val="center"/>
          </w:tcPr>
          <w:p w14:paraId="18FA6C7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投标人企业法人有效营业执照（或事业法人登记证书或其它工商等登记证明材料，自然人提供身份证)复印件</w:t>
            </w:r>
          </w:p>
          <w:p w14:paraId="1D0AF4FF">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①如投标人是企业（包括合伙企业），提供在</w:t>
            </w:r>
            <w:r>
              <w:rPr>
                <w:rFonts w:hint="eastAsia" w:ascii="宋体" w:hAnsi="宋体" w:cs="宋体"/>
                <w:color w:val="auto"/>
                <w:sz w:val="22"/>
                <w:szCs w:val="22"/>
                <w:highlight w:val="none"/>
                <w:lang w:val="en-US" w:eastAsia="zh-CN"/>
              </w:rPr>
              <w:t>市场监管</w:t>
            </w:r>
            <w:r>
              <w:rPr>
                <w:rFonts w:hint="eastAsia" w:ascii="宋体" w:hAnsi="宋体" w:cs="宋体"/>
                <w:color w:val="auto"/>
                <w:sz w:val="22"/>
                <w:szCs w:val="22"/>
                <w:highlight w:val="none"/>
              </w:rPr>
              <w:t>部门注册的有效“企业法人营业执照”或“营业执照”；</w:t>
            </w:r>
          </w:p>
          <w:p w14:paraId="2953FA8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②如投标人是事业单位，提供有效的“事业单位法人证书”；</w:t>
            </w:r>
          </w:p>
          <w:p w14:paraId="09BED3F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③如投标人是非企业专业服务机构的，提供执业许可证等证明文件；</w:t>
            </w:r>
          </w:p>
          <w:p w14:paraId="7E863134">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④如投标人是个体工商户，提供有效的“个体工商户营业执照”；</w:t>
            </w:r>
          </w:p>
          <w:p w14:paraId="1D9E745C">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⑤如投标人是自然人，提供有效的自然人身份证明（居民身份证正反面或公安机关出具的临时居民身份证正反面或港澳台胞证或护照）。</w:t>
            </w:r>
          </w:p>
          <w:p w14:paraId="44B0497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c>
          <w:tcPr>
            <w:tcW w:w="1440" w:type="dxa"/>
          </w:tcPr>
          <w:p w14:paraId="146170E7">
            <w:pPr>
              <w:autoSpaceDE w:val="0"/>
              <w:autoSpaceDN w:val="0"/>
              <w:adjustRightInd w:val="0"/>
              <w:snapToGrid w:val="0"/>
              <w:spacing w:line="440" w:lineRule="exact"/>
              <w:jc w:val="center"/>
              <w:rPr>
                <w:rFonts w:ascii="宋体" w:hAnsi="宋体" w:cs="宋体"/>
                <w:color w:val="auto"/>
                <w:sz w:val="22"/>
                <w:szCs w:val="22"/>
                <w:highlight w:val="none"/>
              </w:rPr>
            </w:pPr>
          </w:p>
        </w:tc>
      </w:tr>
      <w:tr w14:paraId="7931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B4B6F90">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3</w:t>
            </w:r>
          </w:p>
        </w:tc>
        <w:tc>
          <w:tcPr>
            <w:tcW w:w="7449" w:type="dxa"/>
            <w:vAlign w:val="center"/>
          </w:tcPr>
          <w:p w14:paraId="28AB7940">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符合参加采购活动应当具备的一般条件的承诺函</w:t>
            </w:r>
          </w:p>
        </w:tc>
        <w:tc>
          <w:tcPr>
            <w:tcW w:w="1440" w:type="dxa"/>
          </w:tcPr>
          <w:p w14:paraId="2909B095">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w:t>
            </w:r>
            <w:r>
              <w:rPr>
                <w:rFonts w:ascii="宋体" w:hAnsi="宋体" w:cs="宋体"/>
                <w:color w:val="auto"/>
                <w:sz w:val="22"/>
                <w:szCs w:val="22"/>
                <w:highlight w:val="none"/>
              </w:rPr>
              <w:t>3</w:t>
            </w:r>
          </w:p>
        </w:tc>
      </w:tr>
      <w:tr w14:paraId="3DD7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0FD52B9C">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1.4</w:t>
            </w:r>
          </w:p>
        </w:tc>
        <w:tc>
          <w:tcPr>
            <w:tcW w:w="7449" w:type="dxa"/>
            <w:vAlign w:val="center"/>
          </w:tcPr>
          <w:p w14:paraId="62F6B2F0">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eastAsia="宋体" w:cs="宋体"/>
                <w:bCs/>
                <w:color w:val="auto"/>
                <w:sz w:val="22"/>
                <w:szCs w:val="22"/>
                <w:highlight w:val="none"/>
              </w:rPr>
              <w:t>联合体协议书（如为联合体投标，请根据格式内容提供）</w:t>
            </w:r>
          </w:p>
        </w:tc>
        <w:tc>
          <w:tcPr>
            <w:tcW w:w="1440" w:type="dxa"/>
            <w:vAlign w:val="top"/>
          </w:tcPr>
          <w:p w14:paraId="0C1F8900">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附件四-4</w:t>
            </w:r>
          </w:p>
        </w:tc>
      </w:tr>
      <w:tr w14:paraId="5D41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5E6DB921">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1.5</w:t>
            </w:r>
          </w:p>
        </w:tc>
        <w:tc>
          <w:tcPr>
            <w:tcW w:w="7449" w:type="dxa"/>
            <w:vAlign w:val="center"/>
          </w:tcPr>
          <w:p w14:paraId="7061A2CB">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eastAsia="宋体" w:cs="宋体"/>
                <w:bCs/>
                <w:color w:val="auto"/>
                <w:sz w:val="22"/>
                <w:szCs w:val="22"/>
                <w:highlight w:val="none"/>
              </w:rPr>
              <w:t>分包意向协议（如有分包，请根据格式提供）</w:t>
            </w:r>
          </w:p>
        </w:tc>
        <w:tc>
          <w:tcPr>
            <w:tcW w:w="1440" w:type="dxa"/>
            <w:vAlign w:val="top"/>
          </w:tcPr>
          <w:p w14:paraId="4DD7E289">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附件四-5</w:t>
            </w:r>
          </w:p>
        </w:tc>
      </w:tr>
      <w:tr w14:paraId="4A75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ACE38BA">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1.6</w:t>
            </w:r>
          </w:p>
        </w:tc>
        <w:tc>
          <w:tcPr>
            <w:tcW w:w="7449" w:type="dxa"/>
            <w:vAlign w:val="top"/>
          </w:tcPr>
          <w:p w14:paraId="616BDC0D">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中小企业声明函</w:t>
            </w:r>
          </w:p>
        </w:tc>
        <w:tc>
          <w:tcPr>
            <w:tcW w:w="1440" w:type="dxa"/>
            <w:vAlign w:val="top"/>
          </w:tcPr>
          <w:p w14:paraId="104F1729">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十</w:t>
            </w:r>
            <w:r>
              <w:rPr>
                <w:rFonts w:hint="eastAsia" w:ascii="宋体" w:hAnsi="宋体" w:cs="宋体"/>
                <w:color w:val="auto"/>
                <w:sz w:val="22"/>
                <w:szCs w:val="22"/>
                <w:highlight w:val="none"/>
              </w:rPr>
              <w:t>-1</w:t>
            </w:r>
          </w:p>
        </w:tc>
      </w:tr>
      <w:tr w14:paraId="118F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03181E98">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1.7</w:t>
            </w:r>
          </w:p>
        </w:tc>
        <w:tc>
          <w:tcPr>
            <w:tcW w:w="7449" w:type="dxa"/>
            <w:vAlign w:val="top"/>
          </w:tcPr>
          <w:p w14:paraId="04D265D0">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残疾人福利性单位声明函（如为残疾人单位的请根据附件内容提供）</w:t>
            </w:r>
          </w:p>
        </w:tc>
        <w:tc>
          <w:tcPr>
            <w:tcW w:w="1440" w:type="dxa"/>
            <w:vAlign w:val="top"/>
          </w:tcPr>
          <w:p w14:paraId="6EAC9550">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十</w:t>
            </w:r>
            <w:r>
              <w:rPr>
                <w:rFonts w:hint="eastAsia" w:ascii="宋体" w:hAnsi="宋体" w:cs="宋体"/>
                <w:color w:val="auto"/>
                <w:sz w:val="22"/>
                <w:szCs w:val="22"/>
                <w:highlight w:val="none"/>
              </w:rPr>
              <w:t>-1</w:t>
            </w:r>
          </w:p>
        </w:tc>
      </w:tr>
      <w:tr w14:paraId="5A1F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2EB9721">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1.8</w:t>
            </w:r>
          </w:p>
        </w:tc>
        <w:tc>
          <w:tcPr>
            <w:tcW w:w="7449" w:type="dxa"/>
            <w:vAlign w:val="top"/>
          </w:tcPr>
          <w:p w14:paraId="624F49EA">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监狱企业提供的相关证明材料（如为监狱企业的请根据附件内容提供）</w:t>
            </w:r>
          </w:p>
        </w:tc>
        <w:tc>
          <w:tcPr>
            <w:tcW w:w="1440" w:type="dxa"/>
            <w:vAlign w:val="top"/>
          </w:tcPr>
          <w:p w14:paraId="1FE44738">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十</w:t>
            </w:r>
            <w:r>
              <w:rPr>
                <w:rFonts w:hint="eastAsia" w:ascii="宋体" w:hAnsi="宋体" w:cs="宋体"/>
                <w:color w:val="auto"/>
                <w:sz w:val="22"/>
                <w:szCs w:val="22"/>
                <w:highlight w:val="none"/>
              </w:rPr>
              <w:t>-1</w:t>
            </w:r>
          </w:p>
        </w:tc>
      </w:tr>
      <w:tr w14:paraId="36AB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2" w:type="dxa"/>
            <w:gridSpan w:val="3"/>
            <w:vAlign w:val="center"/>
          </w:tcPr>
          <w:p w14:paraId="5A34E45C">
            <w:pPr>
              <w:autoSpaceDE w:val="0"/>
              <w:autoSpaceDN w:val="0"/>
              <w:adjustRightInd w:val="0"/>
              <w:snapToGrid w:val="0"/>
              <w:spacing w:line="440" w:lineRule="exac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以上所需的各种实物照片、证书、证件、证明、执照若系复印件的，须在复印件上加盖投标人有效的单位公章。</w:t>
            </w:r>
          </w:p>
        </w:tc>
      </w:tr>
    </w:tbl>
    <w:p w14:paraId="27A5034A">
      <w:pPr>
        <w:spacing w:line="440" w:lineRule="exact"/>
        <w:rPr>
          <w:color w:val="auto"/>
          <w:highlight w:val="none"/>
        </w:rPr>
      </w:pPr>
      <w:r>
        <w:rPr>
          <w:rFonts w:hint="eastAsia" w:ascii="宋体" w:hAnsi="宋体" w:cs="宋体"/>
          <w:b/>
          <w:color w:val="auto"/>
          <w:sz w:val="22"/>
          <w:szCs w:val="22"/>
          <w:highlight w:val="none"/>
        </w:rPr>
        <w:t>5.1.</w:t>
      </w:r>
      <w:r>
        <w:rPr>
          <w:rFonts w:ascii="宋体" w:hAnsi="宋体" w:cs="宋体"/>
          <w:b/>
          <w:color w:val="auto"/>
          <w:sz w:val="22"/>
          <w:szCs w:val="22"/>
          <w:highlight w:val="none"/>
        </w:rPr>
        <w:t>2</w:t>
      </w:r>
      <w:r>
        <w:rPr>
          <w:rFonts w:hint="eastAsia" w:ascii="宋体" w:hAnsi="宋体" w:cs="宋体"/>
          <w:b/>
          <w:color w:val="auto"/>
          <w:sz w:val="22"/>
          <w:szCs w:val="22"/>
          <w:highlight w:val="none"/>
        </w:rPr>
        <w:t>商务技术文件</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50"/>
        <w:gridCol w:w="1516"/>
      </w:tblGrid>
      <w:tr w14:paraId="4A6D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7E4E924">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50" w:type="dxa"/>
          </w:tcPr>
          <w:p w14:paraId="79E890AC">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16" w:type="dxa"/>
          </w:tcPr>
          <w:p w14:paraId="160057A5">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30EE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A9B9AF1">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1</w:t>
            </w:r>
          </w:p>
        </w:tc>
        <w:tc>
          <w:tcPr>
            <w:tcW w:w="7350" w:type="dxa"/>
          </w:tcPr>
          <w:p w14:paraId="2D89F1D7">
            <w:pPr>
              <w:autoSpaceDE w:val="0"/>
              <w:autoSpaceDN w:val="0"/>
              <w:adjustRightInd w:val="0"/>
              <w:snapToGrid w:val="0"/>
              <w:spacing w:line="430" w:lineRule="atLeast"/>
              <w:rPr>
                <w:rFonts w:ascii="宋体" w:hAnsi="宋体" w:cs="宋体"/>
                <w:bCs/>
                <w:color w:val="auto"/>
                <w:sz w:val="22"/>
                <w:highlight w:val="none"/>
              </w:rPr>
            </w:pPr>
            <w:r>
              <w:rPr>
                <w:rFonts w:hint="eastAsia" w:ascii="宋体" w:hAnsi="宋体" w:cs="宋体"/>
                <w:bCs/>
                <w:color w:val="auto"/>
                <w:sz w:val="22"/>
                <w:highlight w:val="none"/>
              </w:rPr>
              <w:t>投标函</w:t>
            </w:r>
          </w:p>
        </w:tc>
        <w:tc>
          <w:tcPr>
            <w:tcW w:w="1516" w:type="dxa"/>
          </w:tcPr>
          <w:p w14:paraId="316DC7E3">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附件一</w:t>
            </w:r>
          </w:p>
        </w:tc>
      </w:tr>
      <w:tr w14:paraId="4B08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A4D5DC6">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7350" w:type="dxa"/>
          </w:tcPr>
          <w:p w14:paraId="5DEE8F42">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商务条款、技术规格偏离表</w:t>
            </w:r>
          </w:p>
        </w:tc>
        <w:tc>
          <w:tcPr>
            <w:tcW w:w="1516" w:type="dxa"/>
          </w:tcPr>
          <w:p w14:paraId="39CE9A4B">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附件五</w:t>
            </w:r>
          </w:p>
        </w:tc>
      </w:tr>
      <w:tr w14:paraId="0E6F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D02230A">
            <w:pPr>
              <w:autoSpaceDE w:val="0"/>
              <w:autoSpaceDN w:val="0"/>
              <w:adjustRightInd w:val="0"/>
              <w:snapToGrid w:val="0"/>
              <w:spacing w:line="44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w:t>
            </w:r>
          </w:p>
        </w:tc>
        <w:tc>
          <w:tcPr>
            <w:tcW w:w="7350" w:type="dxa"/>
            <w:vAlign w:val="top"/>
          </w:tcPr>
          <w:p w14:paraId="389EA8B2">
            <w:pPr>
              <w:autoSpaceDE w:val="0"/>
              <w:autoSpaceDN w:val="0"/>
              <w:adjustRightInd w:val="0"/>
              <w:snapToGrid w:val="0"/>
              <w:spacing w:line="440" w:lineRule="exact"/>
              <w:rPr>
                <w:rFonts w:hint="eastAsia" w:ascii="宋体" w:cs="宋体"/>
                <w:color w:val="auto"/>
                <w:sz w:val="22"/>
                <w:highlight w:val="none"/>
              </w:rPr>
            </w:pPr>
            <w:r>
              <w:rPr>
                <w:rFonts w:hint="eastAsia" w:ascii="宋体" w:cs="宋体"/>
                <w:color w:val="auto"/>
                <w:sz w:val="22"/>
                <w:highlight w:val="none"/>
              </w:rPr>
              <w:t>廉政承诺书</w:t>
            </w:r>
          </w:p>
        </w:tc>
        <w:tc>
          <w:tcPr>
            <w:tcW w:w="1516" w:type="dxa"/>
            <w:vAlign w:val="top"/>
          </w:tcPr>
          <w:p w14:paraId="28EB76B4">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附件六</w:t>
            </w:r>
          </w:p>
        </w:tc>
      </w:tr>
      <w:tr w14:paraId="0B4F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157718F7">
            <w:pPr>
              <w:autoSpaceDE w:val="0"/>
              <w:autoSpaceDN w:val="0"/>
              <w:adjustRightInd w:val="0"/>
              <w:snapToGrid w:val="0"/>
              <w:spacing w:line="44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4</w:t>
            </w:r>
          </w:p>
        </w:tc>
        <w:tc>
          <w:tcPr>
            <w:tcW w:w="7350" w:type="dxa"/>
            <w:vAlign w:val="top"/>
          </w:tcPr>
          <w:p w14:paraId="79663CC4">
            <w:pPr>
              <w:autoSpaceDE w:val="0"/>
              <w:autoSpaceDN w:val="0"/>
              <w:adjustRightInd w:val="0"/>
              <w:snapToGrid w:val="0"/>
              <w:spacing w:line="440" w:lineRule="exact"/>
              <w:rPr>
                <w:rFonts w:ascii="宋体" w:cs="宋体"/>
                <w:color w:val="auto"/>
                <w:sz w:val="22"/>
                <w:highlight w:val="none"/>
              </w:rPr>
            </w:pPr>
            <w:r>
              <w:rPr>
                <w:rFonts w:hint="eastAsia" w:ascii="宋体" w:hAnsi="宋体"/>
                <w:bCs/>
                <w:color w:val="auto"/>
                <w:szCs w:val="22"/>
                <w:highlight w:val="none"/>
              </w:rPr>
              <w:t>投入本项目团队情况表</w:t>
            </w:r>
          </w:p>
        </w:tc>
        <w:tc>
          <w:tcPr>
            <w:tcW w:w="1516" w:type="dxa"/>
            <w:vAlign w:val="top"/>
          </w:tcPr>
          <w:p w14:paraId="41B2EA6F">
            <w:pPr>
              <w:autoSpaceDE w:val="0"/>
              <w:autoSpaceDN w:val="0"/>
              <w:adjustRightInd w:val="0"/>
              <w:snapToGrid w:val="0"/>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七</w:t>
            </w:r>
          </w:p>
        </w:tc>
      </w:tr>
      <w:tr w14:paraId="7D5D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7B583946">
            <w:pPr>
              <w:autoSpaceDE w:val="0"/>
              <w:autoSpaceDN w:val="0"/>
              <w:adjustRightInd w:val="0"/>
              <w:snapToGrid w:val="0"/>
              <w:spacing w:line="44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5</w:t>
            </w:r>
          </w:p>
        </w:tc>
        <w:tc>
          <w:tcPr>
            <w:tcW w:w="7350" w:type="dxa"/>
            <w:vAlign w:val="top"/>
          </w:tcPr>
          <w:p w14:paraId="09D50545">
            <w:pPr>
              <w:autoSpaceDE w:val="0"/>
              <w:autoSpaceDN w:val="0"/>
              <w:adjustRightInd w:val="0"/>
              <w:snapToGrid w:val="0"/>
              <w:spacing w:line="440" w:lineRule="exact"/>
              <w:rPr>
                <w:rFonts w:hint="eastAsia" w:hAnsi="宋体"/>
                <w:color w:val="auto"/>
                <w:sz w:val="22"/>
                <w:szCs w:val="22"/>
                <w:highlight w:val="none"/>
              </w:rPr>
            </w:pPr>
            <w:r>
              <w:rPr>
                <w:rFonts w:hint="eastAsia" w:ascii="宋体" w:hAnsi="宋体"/>
                <w:color w:val="auto"/>
                <w:sz w:val="22"/>
                <w:szCs w:val="22"/>
                <w:highlight w:val="none"/>
              </w:rPr>
              <w:t>拟投入设备、工具、器械及办公用品清单（如有）</w:t>
            </w:r>
          </w:p>
        </w:tc>
        <w:tc>
          <w:tcPr>
            <w:tcW w:w="1516" w:type="dxa"/>
            <w:vAlign w:val="center"/>
          </w:tcPr>
          <w:p w14:paraId="5F129BE6">
            <w:pPr>
              <w:autoSpaceDE w:val="0"/>
              <w:autoSpaceDN w:val="0"/>
              <w:adjustRightInd w:val="0"/>
              <w:snapToGrid w:val="0"/>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p>
        </w:tc>
      </w:tr>
      <w:tr w14:paraId="5D24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77C4867">
            <w:pPr>
              <w:autoSpaceDE w:val="0"/>
              <w:autoSpaceDN w:val="0"/>
              <w:adjustRightInd w:val="0"/>
              <w:snapToGrid w:val="0"/>
              <w:spacing w:line="440" w:lineRule="exact"/>
              <w:jc w:val="center"/>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en-US" w:eastAsia="zh-CN"/>
              </w:rPr>
              <w:t>6</w:t>
            </w:r>
          </w:p>
        </w:tc>
        <w:tc>
          <w:tcPr>
            <w:tcW w:w="7350" w:type="dxa"/>
          </w:tcPr>
          <w:p w14:paraId="5D1615DB">
            <w:pPr>
              <w:autoSpaceDE w:val="0"/>
              <w:autoSpaceDN w:val="0"/>
              <w:adjustRightInd w:val="0"/>
              <w:snapToGrid w:val="0"/>
              <w:spacing w:line="440" w:lineRule="exact"/>
              <w:rPr>
                <w:rFonts w:ascii="宋体" w:hAnsi="宋体" w:cs="宋体"/>
                <w:color w:val="auto"/>
                <w:sz w:val="22"/>
                <w:szCs w:val="22"/>
                <w:highlight w:val="none"/>
              </w:rPr>
            </w:pPr>
            <w:r>
              <w:rPr>
                <w:rFonts w:hint="eastAsia" w:hAnsi="宋体"/>
                <w:color w:val="auto"/>
                <w:sz w:val="22"/>
                <w:szCs w:val="22"/>
                <w:highlight w:val="none"/>
              </w:rPr>
              <w:t>同类项目业绩一览表</w:t>
            </w:r>
          </w:p>
        </w:tc>
        <w:tc>
          <w:tcPr>
            <w:tcW w:w="1516" w:type="dxa"/>
            <w:vAlign w:val="center"/>
          </w:tcPr>
          <w:p w14:paraId="7DC08A2E">
            <w:pPr>
              <w:autoSpaceDE w:val="0"/>
              <w:autoSpaceDN w:val="0"/>
              <w:adjustRightInd w:val="0"/>
              <w:snapToGrid w:val="0"/>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九</w:t>
            </w:r>
          </w:p>
        </w:tc>
      </w:tr>
      <w:tr w14:paraId="4E2C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0FEA34FC">
            <w:pPr>
              <w:autoSpaceDE w:val="0"/>
              <w:autoSpaceDN w:val="0"/>
              <w:adjustRightInd w:val="0"/>
              <w:snapToGrid w:val="0"/>
              <w:spacing w:line="44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7</w:t>
            </w:r>
          </w:p>
        </w:tc>
        <w:tc>
          <w:tcPr>
            <w:tcW w:w="7350" w:type="dxa"/>
          </w:tcPr>
          <w:p w14:paraId="39AA3D29">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针对本项目的方案（根据评分细则内容提供）</w:t>
            </w:r>
          </w:p>
        </w:tc>
        <w:tc>
          <w:tcPr>
            <w:tcW w:w="1516" w:type="dxa"/>
          </w:tcPr>
          <w:p w14:paraId="5F20419A">
            <w:pPr>
              <w:autoSpaceDE w:val="0"/>
              <w:autoSpaceDN w:val="0"/>
              <w:adjustRightInd w:val="0"/>
              <w:snapToGrid w:val="0"/>
              <w:spacing w:line="440" w:lineRule="exact"/>
              <w:jc w:val="center"/>
              <w:rPr>
                <w:rFonts w:ascii="宋体" w:hAnsi="宋体" w:cs="宋体"/>
                <w:color w:val="auto"/>
                <w:sz w:val="22"/>
                <w:szCs w:val="22"/>
                <w:highlight w:val="none"/>
              </w:rPr>
            </w:pPr>
          </w:p>
        </w:tc>
      </w:tr>
      <w:tr w14:paraId="475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CCF12C8">
            <w:pPr>
              <w:autoSpaceDE w:val="0"/>
              <w:autoSpaceDN w:val="0"/>
              <w:adjustRightInd w:val="0"/>
              <w:snapToGrid w:val="0"/>
              <w:spacing w:line="44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8</w:t>
            </w:r>
          </w:p>
        </w:tc>
        <w:tc>
          <w:tcPr>
            <w:tcW w:w="7350" w:type="dxa"/>
            <w:vAlign w:val="center"/>
          </w:tcPr>
          <w:p w14:paraId="2A917675">
            <w:pPr>
              <w:autoSpaceDE w:val="0"/>
              <w:autoSpaceDN w:val="0"/>
              <w:adjustRightInd w:val="0"/>
              <w:snapToGrid w:val="0"/>
              <w:spacing w:line="440" w:lineRule="exact"/>
              <w:rPr>
                <w:rFonts w:hAnsi="宋体"/>
                <w:color w:val="auto"/>
                <w:sz w:val="22"/>
                <w:szCs w:val="22"/>
                <w:highlight w:val="none"/>
              </w:rPr>
            </w:pPr>
            <w:r>
              <w:rPr>
                <w:rFonts w:hint="eastAsia" w:ascii="宋体"/>
                <w:color w:val="auto"/>
                <w:sz w:val="22"/>
                <w:szCs w:val="22"/>
                <w:highlight w:val="none"/>
              </w:rPr>
              <w:t>根据招标文件中的采购内容与技术要求、评标细则，需要提供的其它文件和资料。</w:t>
            </w:r>
          </w:p>
        </w:tc>
        <w:tc>
          <w:tcPr>
            <w:tcW w:w="1516" w:type="dxa"/>
          </w:tcPr>
          <w:p w14:paraId="7E6FC8FD">
            <w:pPr>
              <w:autoSpaceDE w:val="0"/>
              <w:autoSpaceDN w:val="0"/>
              <w:adjustRightInd w:val="0"/>
              <w:snapToGrid w:val="0"/>
              <w:spacing w:line="440" w:lineRule="exact"/>
              <w:jc w:val="center"/>
              <w:rPr>
                <w:rFonts w:ascii="宋体" w:hAnsi="宋体" w:cs="宋体"/>
                <w:color w:val="auto"/>
                <w:sz w:val="22"/>
                <w:szCs w:val="22"/>
                <w:highlight w:val="none"/>
              </w:rPr>
            </w:pPr>
          </w:p>
        </w:tc>
      </w:tr>
      <w:tr w14:paraId="2858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vAlign w:val="center"/>
          </w:tcPr>
          <w:p w14:paraId="321ED0A5">
            <w:pPr>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以上所需的各种检测报告、实物照片、证书、证件、证明、执照若系复印件的，须在复印件上加盖投标人有效的单位公章。</w:t>
            </w:r>
          </w:p>
        </w:tc>
      </w:tr>
    </w:tbl>
    <w:p w14:paraId="1DEDD8D0">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5.1.3</w:t>
      </w:r>
      <w:r>
        <w:rPr>
          <w:rFonts w:hint="eastAsia" w:ascii="宋体" w:hAnsi="宋体" w:cs="宋体"/>
          <w:b/>
          <w:bCs/>
          <w:color w:val="auto"/>
          <w:sz w:val="22"/>
          <w:szCs w:val="22"/>
          <w:highlight w:val="none"/>
        </w:rPr>
        <w:t>报价文件</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5"/>
        <w:gridCol w:w="1550"/>
      </w:tblGrid>
      <w:tr w14:paraId="4976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5C01674">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05" w:type="dxa"/>
          </w:tcPr>
          <w:p w14:paraId="4F902838">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50" w:type="dxa"/>
          </w:tcPr>
          <w:p w14:paraId="2ECA4579">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556A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C398F79">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1</w:t>
            </w:r>
          </w:p>
        </w:tc>
        <w:tc>
          <w:tcPr>
            <w:tcW w:w="7305" w:type="dxa"/>
          </w:tcPr>
          <w:p w14:paraId="07FF9525">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投标报价一览表</w:t>
            </w:r>
          </w:p>
        </w:tc>
        <w:tc>
          <w:tcPr>
            <w:tcW w:w="1550" w:type="dxa"/>
          </w:tcPr>
          <w:p w14:paraId="5E29B0DD">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附件二</w:t>
            </w:r>
          </w:p>
        </w:tc>
      </w:tr>
      <w:tr w14:paraId="3EAB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DF854C4">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2</w:t>
            </w:r>
          </w:p>
        </w:tc>
        <w:tc>
          <w:tcPr>
            <w:tcW w:w="7305" w:type="dxa"/>
          </w:tcPr>
          <w:p w14:paraId="157AB4F6">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投标分项报价表</w:t>
            </w:r>
          </w:p>
        </w:tc>
        <w:tc>
          <w:tcPr>
            <w:tcW w:w="1550" w:type="dxa"/>
          </w:tcPr>
          <w:p w14:paraId="48D2ECB6">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附件三</w:t>
            </w:r>
          </w:p>
        </w:tc>
      </w:tr>
    </w:tbl>
    <w:p w14:paraId="0CAF6E1F">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5.2  投标文件格式</w:t>
      </w:r>
    </w:p>
    <w:p w14:paraId="1E75D9EB">
      <w:pPr>
        <w:spacing w:line="44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投标人应根据招标文件中所提供的格式，内容按顺序填写，编写目录和页码，分别写入资格文件、商务技术文件和</w:t>
      </w:r>
      <w:r>
        <w:rPr>
          <w:rFonts w:hint="eastAsia" w:ascii="宋体" w:hAnsi="宋体"/>
          <w:color w:val="auto"/>
          <w:sz w:val="22"/>
          <w:szCs w:val="22"/>
          <w:highlight w:val="none"/>
        </w:rPr>
        <w:t>报价文件中</w:t>
      </w:r>
      <w:r>
        <w:rPr>
          <w:rFonts w:hint="eastAsia" w:ascii="宋体" w:hAnsi="宋体" w:cs="宋体"/>
          <w:color w:val="auto"/>
          <w:sz w:val="22"/>
          <w:szCs w:val="22"/>
          <w:highlight w:val="none"/>
        </w:rPr>
        <w:t>。</w:t>
      </w:r>
    </w:p>
    <w:p w14:paraId="00FF27A7">
      <w:pPr>
        <w:tabs>
          <w:tab w:val="left" w:pos="-180"/>
          <w:tab w:val="left" w:pos="180"/>
          <w:tab w:val="left" w:pos="360"/>
        </w:tabs>
        <w:spacing w:line="440" w:lineRule="exact"/>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 xml:space="preserve">6. </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投标报价</w:t>
      </w:r>
    </w:p>
    <w:p w14:paraId="5F4FFFCB">
      <w:pPr>
        <w:pStyle w:val="19"/>
        <w:tabs>
          <w:tab w:val="left" w:pos="-180"/>
          <w:tab w:val="left" w:pos="180"/>
          <w:tab w:val="left" w:pos="360"/>
        </w:tabs>
        <w:spacing w:after="0" w:line="400" w:lineRule="exact"/>
        <w:ind w:left="550" w:hanging="550" w:hangingChars="250"/>
        <w:rPr>
          <w:rFonts w:ascii="宋体" w:hAnsi="宋体" w:cs="宋体"/>
          <w:b/>
          <w:color w:val="auto"/>
          <w:sz w:val="22"/>
          <w:szCs w:val="22"/>
          <w:highlight w:val="none"/>
          <w:u w:val="single"/>
        </w:rPr>
      </w:pPr>
      <w:r>
        <w:rPr>
          <w:rFonts w:hint="eastAsia" w:ascii="宋体" w:hAnsi="宋体" w:cs="宋体"/>
          <w:color w:val="auto"/>
          <w:sz w:val="22"/>
          <w:szCs w:val="22"/>
          <w:highlight w:val="none"/>
        </w:rPr>
        <w:t xml:space="preserve">6.1  </w:t>
      </w:r>
      <w:r>
        <w:rPr>
          <w:rFonts w:ascii="宋体" w:hAnsi="宋体"/>
          <w:b/>
          <w:color w:val="auto"/>
          <w:sz w:val="22"/>
          <w:szCs w:val="22"/>
          <w:highlight w:val="none"/>
          <w:u w:val="single"/>
        </w:rPr>
        <w:t>本项目投标报价为期限</w:t>
      </w:r>
      <w:r>
        <w:rPr>
          <w:rFonts w:hint="eastAsia" w:ascii="宋体" w:hAnsi="宋体"/>
          <w:b/>
          <w:color w:val="auto"/>
          <w:sz w:val="22"/>
          <w:szCs w:val="22"/>
          <w:highlight w:val="none"/>
          <w:u w:val="single"/>
          <w:lang w:val="en-US" w:eastAsia="zh-CN"/>
        </w:rPr>
        <w:t>贰</w:t>
      </w:r>
      <w:r>
        <w:rPr>
          <w:rFonts w:ascii="宋体" w:hAnsi="宋体"/>
          <w:b/>
          <w:color w:val="auto"/>
          <w:sz w:val="22"/>
          <w:szCs w:val="22"/>
          <w:highlight w:val="none"/>
          <w:u w:val="single"/>
        </w:rPr>
        <w:t>年的承包费用报价，并采用固定总价承包。</w:t>
      </w:r>
      <w:r>
        <w:rPr>
          <w:rFonts w:ascii="新宋体" w:hAnsi="新宋体" w:eastAsia="新宋体"/>
          <w:b/>
          <w:color w:val="auto"/>
          <w:sz w:val="22"/>
          <w:szCs w:val="22"/>
          <w:highlight w:val="none"/>
          <w:u w:val="single"/>
        </w:rPr>
        <w:t>承包</w:t>
      </w:r>
      <w:r>
        <w:rPr>
          <w:rFonts w:hint="eastAsia" w:ascii="新宋体" w:hAnsi="新宋体" w:eastAsia="新宋体"/>
          <w:b/>
          <w:color w:val="auto"/>
          <w:sz w:val="22"/>
          <w:szCs w:val="22"/>
          <w:highlight w:val="none"/>
          <w:u w:val="single"/>
          <w:lang w:val="en-US" w:eastAsia="zh-CN"/>
        </w:rPr>
        <w:t>总价</w:t>
      </w:r>
      <w:r>
        <w:rPr>
          <w:rFonts w:ascii="新宋体" w:hAnsi="新宋体" w:eastAsia="新宋体"/>
          <w:b/>
          <w:color w:val="auto"/>
          <w:sz w:val="22"/>
          <w:szCs w:val="22"/>
          <w:highlight w:val="none"/>
          <w:u w:val="single"/>
        </w:rPr>
        <w:t>包括在承包区域内提供</w:t>
      </w:r>
      <w:r>
        <w:rPr>
          <w:rFonts w:hint="eastAsia" w:ascii="新宋体" w:hAnsi="新宋体" w:eastAsia="新宋体"/>
          <w:b/>
          <w:color w:val="auto"/>
          <w:sz w:val="22"/>
          <w:szCs w:val="22"/>
          <w:highlight w:val="none"/>
          <w:u w:val="single"/>
        </w:rPr>
        <w:t>绿化养护服务所需的养护人员的工作餐费补助、住宿补贴、五险一金、服装费，交通补贴、节假日补贴、教育培训费、暂住费及处理一切伤亡事故等，以及绿化养护工具、材料（肥料和农药）和冬季树木保暖、旱季补水、台风季节等特殊情况下的材料及</w:t>
      </w:r>
      <w:r>
        <w:rPr>
          <w:rFonts w:hint="eastAsia" w:ascii="新宋体" w:hAnsi="新宋体" w:eastAsia="新宋体"/>
          <w:b/>
          <w:color w:val="auto"/>
          <w:sz w:val="22"/>
          <w:szCs w:val="22"/>
          <w:highlight w:val="none"/>
          <w:u w:val="single"/>
          <w:lang w:val="en-US" w:eastAsia="zh-CN"/>
        </w:rPr>
        <w:t>绿化垃圾</w:t>
      </w:r>
      <w:r>
        <w:rPr>
          <w:rFonts w:hint="eastAsia" w:ascii="新宋体" w:hAnsi="新宋体" w:eastAsia="新宋体"/>
          <w:b/>
          <w:color w:val="auto"/>
          <w:sz w:val="22"/>
          <w:szCs w:val="22"/>
          <w:highlight w:val="none"/>
          <w:u w:val="single"/>
        </w:rPr>
        <w:t>清理、设备设施（如喷水、修剪、锄草、治虫等必要机械）、企业应缴税金和应得利润、突发应急及上级布置的专项任务、物价因素、采购代理服务费等完成合同所需的一切本身和不可或缺的所有工作开支、政策性文件规定及合同包含的所有风险、责任等各项全部费用并承担一切风险责任</w:t>
      </w:r>
      <w:r>
        <w:rPr>
          <w:rFonts w:ascii="宋体" w:hAnsi="宋体"/>
          <w:b/>
          <w:color w:val="auto"/>
          <w:sz w:val="22"/>
          <w:szCs w:val="22"/>
          <w:highlight w:val="none"/>
          <w:u w:val="single"/>
        </w:rPr>
        <w:t>。</w:t>
      </w:r>
      <w:r>
        <w:rPr>
          <w:rFonts w:hint="eastAsia" w:ascii="宋体" w:hAnsi="宋体"/>
          <w:color w:val="auto"/>
          <w:sz w:val="22"/>
          <w:szCs w:val="22"/>
          <w:highlight w:val="none"/>
        </w:rPr>
        <w:t>投标人应根据上述因素自行考虑含入投标总价</w:t>
      </w:r>
      <w:r>
        <w:rPr>
          <w:rFonts w:ascii="宋体" w:hAnsi="宋体" w:cs="宋体"/>
          <w:bCs/>
          <w:color w:val="auto"/>
          <w:sz w:val="22"/>
          <w:szCs w:val="22"/>
          <w:highlight w:val="none"/>
        </w:rPr>
        <w:t>。</w:t>
      </w:r>
    </w:p>
    <w:p w14:paraId="528A1C92">
      <w:pPr>
        <w:widowControl/>
        <w:tabs>
          <w:tab w:val="left" w:pos="0"/>
          <w:tab w:val="left" w:pos="540"/>
        </w:tabs>
        <w:overflowPunct w:val="0"/>
        <w:autoSpaceDE w:val="0"/>
        <w:autoSpaceDN w:val="0"/>
        <w:adjustRightInd w:val="0"/>
        <w:spacing w:line="440" w:lineRule="exact"/>
        <w:ind w:left="550" w:hanging="550" w:hangingChars="25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6.2  投标人必须按附件中的投标报价一览表（统一格式）内容填写单价、合价和总价，并由法定代表人或投标人代表签署。</w:t>
      </w:r>
    </w:p>
    <w:p w14:paraId="066ED2EA">
      <w:pPr>
        <w:tabs>
          <w:tab w:val="left" w:pos="-180"/>
          <w:tab w:val="left" w:pos="180"/>
          <w:tab w:val="left" w:pos="360"/>
        </w:tabs>
        <w:spacing w:line="440" w:lineRule="exact"/>
        <w:ind w:left="442" w:hanging="442" w:hangingChars="200"/>
        <w:rPr>
          <w:rFonts w:ascii="宋体" w:hAnsi="宋体" w:cs="宋体"/>
          <w:color w:val="auto"/>
          <w:sz w:val="22"/>
          <w:szCs w:val="22"/>
          <w:highlight w:val="none"/>
        </w:rPr>
      </w:pPr>
      <w:r>
        <w:rPr>
          <w:rFonts w:hint="eastAsia" w:ascii="宋体" w:hAnsi="宋体" w:cs="宋体"/>
          <w:b/>
          <w:color w:val="auto"/>
          <w:sz w:val="22"/>
          <w:szCs w:val="22"/>
          <w:highlight w:val="none"/>
        </w:rPr>
        <w:t>6.3▲</w:t>
      </w:r>
      <w:r>
        <w:rPr>
          <w:rFonts w:hint="eastAsia" w:ascii="宋体" w:hAnsi="宋体" w:cs="宋体"/>
          <w:color w:val="auto"/>
          <w:sz w:val="22"/>
          <w:szCs w:val="22"/>
          <w:highlight w:val="none"/>
          <w:u w:val="single"/>
        </w:rPr>
        <w:t>本次投标均以人民币报价，不接受其他货币的报价，投标人如需外汇购入某些货物，须折合成人民币计入投标报价中</w:t>
      </w:r>
      <w:r>
        <w:rPr>
          <w:rFonts w:hint="eastAsia" w:ascii="宋体" w:hAnsi="宋体" w:cs="宋体"/>
          <w:color w:val="auto"/>
          <w:sz w:val="22"/>
          <w:szCs w:val="22"/>
          <w:highlight w:val="none"/>
        </w:rPr>
        <w:t>。</w:t>
      </w:r>
    </w:p>
    <w:p w14:paraId="039818CA">
      <w:pPr>
        <w:tabs>
          <w:tab w:val="left" w:pos="-180"/>
          <w:tab w:val="left" w:pos="180"/>
          <w:tab w:val="left" w:pos="36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6.4</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招标采购单位不接受任何选择报价，对任何货物或服务只允许一个报价</w:t>
      </w:r>
      <w:r>
        <w:rPr>
          <w:rFonts w:hint="eastAsia" w:ascii="宋体" w:hAnsi="宋体" w:cs="宋体"/>
          <w:color w:val="auto"/>
          <w:sz w:val="22"/>
          <w:szCs w:val="22"/>
          <w:highlight w:val="none"/>
        </w:rPr>
        <w:t>。</w:t>
      </w:r>
    </w:p>
    <w:p w14:paraId="22B63307">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6.5  招标采购单位要求分类报价是为了方便评标，但在任何情况下不限制采购人以其认为最合适的条款、条件签订合同的权利。</w:t>
      </w:r>
    </w:p>
    <w:p w14:paraId="4230D99B">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6.6</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投标报价报出后，投标人不得以任何理由予以变更，任何包含价格调整的要求，将被认为是非实质性响应投标而予以拒绝</w:t>
      </w:r>
      <w:r>
        <w:rPr>
          <w:rFonts w:hint="eastAsia" w:ascii="宋体" w:hAnsi="宋体" w:cs="宋体"/>
          <w:color w:val="auto"/>
          <w:sz w:val="22"/>
          <w:szCs w:val="22"/>
          <w:highlight w:val="none"/>
        </w:rPr>
        <w:t>。</w:t>
      </w:r>
    </w:p>
    <w:p w14:paraId="4590E3AE">
      <w:pPr>
        <w:spacing w:line="440" w:lineRule="exact"/>
        <w:rPr>
          <w:rFonts w:ascii="宋体" w:hAnsi="宋体" w:cs="宋体"/>
          <w:color w:val="auto"/>
          <w:sz w:val="22"/>
          <w:szCs w:val="22"/>
          <w:highlight w:val="none"/>
        </w:rPr>
      </w:pPr>
      <w:bookmarkStart w:id="36" w:name="_Toc230773778"/>
      <w:r>
        <w:rPr>
          <w:rFonts w:hint="eastAsia" w:ascii="宋体" w:hAnsi="宋体" w:cs="宋体"/>
          <w:bCs/>
          <w:color w:val="auto"/>
          <w:sz w:val="22"/>
          <w:szCs w:val="22"/>
          <w:highlight w:val="none"/>
        </w:rPr>
        <w:t xml:space="preserve">7.   </w:t>
      </w:r>
      <w:r>
        <w:rPr>
          <w:rFonts w:hint="eastAsia" w:ascii="宋体" w:hAnsi="宋体" w:cs="宋体"/>
          <w:b/>
          <w:bCs/>
          <w:color w:val="auto"/>
          <w:sz w:val="22"/>
          <w:szCs w:val="22"/>
          <w:highlight w:val="none"/>
          <w:u w:val="single"/>
        </w:rPr>
        <w:t>投标有效期</w:t>
      </w:r>
    </w:p>
    <w:p w14:paraId="19D765AE">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7.1</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自开标之日起</w:t>
      </w:r>
      <w:r>
        <w:rPr>
          <w:rFonts w:hint="eastAsia" w:ascii="宋体" w:hAnsi="宋体" w:cs="宋体"/>
          <w:b/>
          <w:bCs/>
          <w:color w:val="auto"/>
          <w:sz w:val="22"/>
          <w:szCs w:val="22"/>
          <w:highlight w:val="none"/>
          <w:u w:val="single"/>
        </w:rPr>
        <w:t>90</w:t>
      </w:r>
      <w:r>
        <w:rPr>
          <w:rFonts w:hint="eastAsia" w:ascii="宋体" w:hAnsi="宋体" w:cs="宋体"/>
          <w:b/>
          <w:color w:val="auto"/>
          <w:sz w:val="22"/>
          <w:szCs w:val="22"/>
          <w:highlight w:val="none"/>
          <w:u w:val="single"/>
        </w:rPr>
        <w:t>天内投标应保持投标有效</w:t>
      </w:r>
      <w:r>
        <w:rPr>
          <w:rFonts w:hint="eastAsia" w:ascii="宋体" w:hAnsi="宋体" w:cs="宋体"/>
          <w:b/>
          <w:color w:val="auto"/>
          <w:sz w:val="22"/>
          <w:szCs w:val="22"/>
          <w:highlight w:val="none"/>
        </w:rPr>
        <w:t>。</w:t>
      </w:r>
    </w:p>
    <w:p w14:paraId="65F0B221">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7.2  特殊情况下，在原投标有效期截止前，采购人可与投标人协商延长投标有效期，这种要求和答复均以书面形式进行。投标人可拒绝接受延期要求，也可以接受延期要求。同意延长投标有效期的投标人不得修改投标文件。</w:t>
      </w:r>
    </w:p>
    <w:p w14:paraId="29482426">
      <w:pPr>
        <w:spacing w:line="440" w:lineRule="exact"/>
        <w:rPr>
          <w:rFonts w:ascii="宋体" w:hAnsi="宋体"/>
          <w:b/>
          <w:bCs/>
          <w:color w:val="auto"/>
          <w:sz w:val="22"/>
          <w:szCs w:val="22"/>
          <w:highlight w:val="none"/>
        </w:rPr>
      </w:pPr>
      <w:r>
        <w:rPr>
          <w:rFonts w:hint="eastAsia" w:ascii="宋体" w:hAnsi="宋体"/>
          <w:bCs/>
          <w:color w:val="auto"/>
          <w:sz w:val="22"/>
          <w:szCs w:val="22"/>
          <w:highlight w:val="none"/>
        </w:rPr>
        <w:t xml:space="preserve">8.   </w:t>
      </w:r>
      <w:r>
        <w:rPr>
          <w:rFonts w:hint="eastAsia" w:ascii="宋体" w:hAnsi="宋体"/>
          <w:b/>
          <w:bCs/>
          <w:color w:val="auto"/>
          <w:sz w:val="22"/>
          <w:szCs w:val="22"/>
          <w:highlight w:val="none"/>
        </w:rPr>
        <w:t>投标文件的签署和规定</w:t>
      </w:r>
    </w:p>
    <w:p w14:paraId="0E348125">
      <w:pPr>
        <w:spacing w:line="440" w:lineRule="exact"/>
        <w:ind w:left="550" w:hanging="550" w:hangingChars="250"/>
        <w:rPr>
          <w:color w:val="auto"/>
          <w:highlight w:val="none"/>
        </w:rPr>
      </w:pPr>
      <w:r>
        <w:rPr>
          <w:rFonts w:hint="eastAsia" w:ascii="宋体" w:hAnsi="宋体"/>
          <w:color w:val="auto"/>
          <w:sz w:val="22"/>
          <w:szCs w:val="22"/>
          <w:highlight w:val="none"/>
        </w:rPr>
        <w:t xml:space="preserve">8.1  </w:t>
      </w:r>
      <w:r>
        <w:rPr>
          <w:rFonts w:hint="eastAsia" w:ascii="宋体" w:hAnsi="宋体"/>
          <w:b/>
          <w:color w:val="auto"/>
          <w:sz w:val="22"/>
          <w:szCs w:val="22"/>
          <w:highlight w:val="none"/>
          <w:u w:val="single"/>
        </w:rPr>
        <w:t>投标人应根据招标文件的规定对投标文件进行电子盖章及签署</w:t>
      </w:r>
      <w:r>
        <w:rPr>
          <w:rFonts w:hint="eastAsia" w:ascii="宋体" w:hAnsi="宋体"/>
          <w:color w:val="auto"/>
          <w:sz w:val="22"/>
          <w:szCs w:val="22"/>
          <w:highlight w:val="none"/>
        </w:rPr>
        <w:t>。</w:t>
      </w:r>
    </w:p>
    <w:p w14:paraId="282779F8">
      <w:pPr>
        <w:pStyle w:val="3"/>
        <w:spacing w:line="680" w:lineRule="exact"/>
        <w:jc w:val="center"/>
        <w:rPr>
          <w:rFonts w:ascii="宋体" w:hAnsi="宋体" w:eastAsia="宋体" w:cs="宋体"/>
          <w:color w:val="auto"/>
          <w:sz w:val="28"/>
          <w:szCs w:val="28"/>
          <w:highlight w:val="none"/>
        </w:rPr>
      </w:pPr>
      <w:bookmarkStart w:id="37" w:name="_Toc1936"/>
      <w:r>
        <w:rPr>
          <w:rFonts w:hint="eastAsia" w:ascii="宋体" w:hAnsi="宋体" w:eastAsia="宋体" w:cs="宋体"/>
          <w:color w:val="auto"/>
          <w:sz w:val="28"/>
          <w:szCs w:val="28"/>
          <w:highlight w:val="none"/>
        </w:rPr>
        <w:t>四、 投标文件的递交</w:t>
      </w:r>
      <w:bookmarkEnd w:id="36"/>
      <w:bookmarkEnd w:id="37"/>
    </w:p>
    <w:p w14:paraId="2E8B7CDD">
      <w:pPr>
        <w:spacing w:line="440" w:lineRule="exact"/>
        <w:rPr>
          <w:rFonts w:ascii="宋体" w:hAnsi="宋体" w:cs="宋体"/>
          <w:b/>
          <w:bCs/>
          <w:color w:val="auto"/>
          <w:sz w:val="22"/>
          <w:szCs w:val="22"/>
          <w:highlight w:val="none"/>
        </w:rPr>
      </w:pPr>
      <w:bookmarkStart w:id="38" w:name="_Toc230773779"/>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投标文件的递交</w:t>
      </w:r>
    </w:p>
    <w:p w14:paraId="492F1F4A">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投标文件必须在招标文件规定的投标文件截止时间前完成电子投标文件的传输递交。投标截止</w:t>
      </w:r>
    </w:p>
    <w:p w14:paraId="31AD4A69">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时间前未完成传输的，视为撤回投标文件。投标截止时间后送达的投标文件，将被乐采云平台</w:t>
      </w:r>
    </w:p>
    <w:p w14:paraId="78944A3C">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拒收。</w:t>
      </w:r>
    </w:p>
    <w:p w14:paraId="3DD79682">
      <w:pPr>
        <w:spacing w:line="440" w:lineRule="exact"/>
        <w:ind w:left="550" w:hanging="550" w:hangingChars="250"/>
        <w:rPr>
          <w:rFonts w:ascii="宋体" w:hAnsi="宋体" w:cs="宋体"/>
          <w:b/>
          <w:bCs/>
          <w:color w:val="auto"/>
          <w:sz w:val="22"/>
          <w:szCs w:val="22"/>
          <w:highlight w:val="none"/>
        </w:rPr>
      </w:pPr>
      <w:r>
        <w:rPr>
          <w:rFonts w:ascii="宋体" w:hAnsi="宋体" w:cs="宋体"/>
          <w:bCs/>
          <w:color w:val="auto"/>
          <w:sz w:val="22"/>
          <w:szCs w:val="22"/>
          <w:highlight w:val="none"/>
        </w:rPr>
        <w:t>2</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投标文件的补充、修改和撤回</w:t>
      </w:r>
    </w:p>
    <w:p w14:paraId="019C79B6">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投标人在投标截止时间前，可以补充、修改或者撤回电子投标文件。补充或者修改电子投标文</w:t>
      </w:r>
    </w:p>
    <w:p w14:paraId="6A2128CB">
      <w:pPr>
        <w:spacing w:line="440" w:lineRule="exact"/>
        <w:ind w:firstLine="552" w:firstLineChars="250"/>
        <w:rPr>
          <w:color w:val="auto"/>
          <w:highlight w:val="none"/>
        </w:rPr>
      </w:pPr>
      <w:r>
        <w:rPr>
          <w:rFonts w:hint="eastAsia" w:ascii="宋体" w:hAnsi="宋体" w:cs="宋体"/>
          <w:b/>
          <w:bCs/>
          <w:color w:val="auto"/>
          <w:sz w:val="22"/>
          <w:szCs w:val="22"/>
          <w:highlight w:val="none"/>
          <w:u w:val="single"/>
        </w:rPr>
        <w:t>件的，应当先行撤回原文件，补充、修改后重新传输递交。</w:t>
      </w:r>
    </w:p>
    <w:p w14:paraId="2A603E0E">
      <w:pPr>
        <w:pStyle w:val="3"/>
        <w:spacing w:line="680" w:lineRule="exact"/>
        <w:jc w:val="center"/>
        <w:rPr>
          <w:rFonts w:ascii="宋体" w:hAnsi="宋体" w:eastAsia="宋体" w:cs="宋体"/>
          <w:color w:val="auto"/>
          <w:sz w:val="28"/>
          <w:szCs w:val="28"/>
          <w:highlight w:val="none"/>
        </w:rPr>
      </w:pPr>
      <w:bookmarkStart w:id="39" w:name="_Toc29169"/>
      <w:r>
        <w:rPr>
          <w:rFonts w:hint="eastAsia" w:ascii="宋体" w:hAnsi="宋体" w:eastAsia="宋体" w:cs="宋体"/>
          <w:color w:val="auto"/>
          <w:sz w:val="28"/>
          <w:szCs w:val="28"/>
          <w:highlight w:val="none"/>
        </w:rPr>
        <w:t>五、 开标和评标</w:t>
      </w:r>
      <w:bookmarkEnd w:id="38"/>
      <w:bookmarkEnd w:id="39"/>
    </w:p>
    <w:p w14:paraId="55C40689">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评标委员会</w:t>
      </w:r>
    </w:p>
    <w:p w14:paraId="1D3510B5">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1.1  采购人和采购代理机构依法组建评标委员会，评标委员会的成员在评标过程中必须严格遵守《</w:t>
      </w:r>
      <w:r>
        <w:rPr>
          <w:rFonts w:hint="eastAsia" w:ascii="宋体" w:hAnsi="宋体" w:cs="宋体"/>
          <w:color w:val="auto"/>
          <w:sz w:val="22"/>
          <w:szCs w:val="22"/>
          <w:highlight w:val="none"/>
        </w:rPr>
        <w:t>中华人民共和国政府采购法</w:t>
      </w:r>
      <w:r>
        <w:rPr>
          <w:rFonts w:hint="eastAsia" w:ascii="宋体" w:hAnsi="宋体" w:cs="宋体"/>
          <w:bCs/>
          <w:color w:val="auto"/>
          <w:sz w:val="22"/>
          <w:szCs w:val="22"/>
          <w:highlight w:val="none"/>
        </w:rPr>
        <w:t>》等有关法律、法规的规定。</w:t>
      </w:r>
    </w:p>
    <w:p w14:paraId="07216E36">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评标过程的保密性</w:t>
      </w:r>
    </w:p>
    <w:p w14:paraId="37B54A36">
      <w:pPr>
        <w:spacing w:line="440" w:lineRule="exact"/>
        <w:ind w:left="558" w:leftChars="4"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开标后直至向中标人授予合同时止，凡与评审有关的资料均不得向投标人及与评标无关人员透露，如果投标人在评标过程中试图向采购人或采购代理机构施加影响，其投标将被拒绝。</w:t>
      </w:r>
    </w:p>
    <w:p w14:paraId="0053EF48">
      <w:pPr>
        <w:spacing w:line="440" w:lineRule="exact"/>
        <w:ind w:left="560" w:leftChars="4"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3.   评标前准备</w:t>
      </w:r>
    </w:p>
    <w:p w14:paraId="6DA9E2FB">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 xml:space="preserve">3.1  </w:t>
      </w:r>
      <w:r>
        <w:rPr>
          <w:rFonts w:hint="eastAsia" w:ascii="宋体" w:hAnsi="宋体" w:cs="宋体"/>
          <w:bCs/>
          <w:color w:val="auto"/>
          <w:sz w:val="22"/>
          <w:szCs w:val="22"/>
          <w:highlight w:val="none"/>
        </w:rPr>
        <w:t>投标文件签收及解密：由采购代理机构开始签收并开始解密投标文件。</w:t>
      </w:r>
    </w:p>
    <w:p w14:paraId="3D94585B">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.2  </w:t>
      </w:r>
      <w:r>
        <w:rPr>
          <w:rFonts w:hint="eastAsia" w:ascii="宋体" w:hAnsi="宋体" w:cs="宋体"/>
          <w:bCs/>
          <w:color w:val="auto"/>
          <w:sz w:val="22"/>
          <w:szCs w:val="22"/>
          <w:highlight w:val="none"/>
        </w:rPr>
        <w:t>投标文件解密：投标文件递交截止时间后，投标人登录乐采云平台，用“项目采购-开标评标”功能对电子投标文件进行在线解密。在线解密电子投标文件时间为开标时间起半个小时内。</w:t>
      </w:r>
      <w:r>
        <w:rPr>
          <w:rFonts w:ascii="宋体" w:hAnsi="宋体" w:cs="宋体"/>
          <w:bCs/>
          <w:color w:val="auto"/>
          <w:sz w:val="22"/>
          <w:szCs w:val="22"/>
          <w:highlight w:val="none"/>
        </w:rPr>
        <w:t>投标文件未按时解密，</w:t>
      </w:r>
      <w:r>
        <w:rPr>
          <w:rFonts w:hint="eastAsia" w:ascii="宋体" w:hAnsi="宋体" w:cs="宋体"/>
          <w:bCs/>
          <w:color w:val="auto"/>
          <w:sz w:val="22"/>
          <w:szCs w:val="22"/>
          <w:highlight w:val="none"/>
        </w:rPr>
        <w:t>投标人</w:t>
      </w:r>
      <w:r>
        <w:rPr>
          <w:rFonts w:ascii="宋体" w:hAnsi="宋体" w:cs="宋体"/>
          <w:bCs/>
          <w:color w:val="auto"/>
          <w:sz w:val="22"/>
          <w:szCs w:val="22"/>
          <w:highlight w:val="none"/>
        </w:rPr>
        <w:t>提供了备份投标文件的，以备份投标文件作为依据，否则视为投标文件撤回。投标文件已按时解密的，备份投标文件自动失效。</w:t>
      </w:r>
    </w:p>
    <w:p w14:paraId="6C885699">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投标文件解密结束。投标人在线解密投标文件完毕后，由采购代理机构结束解密投标文件。</w:t>
      </w:r>
    </w:p>
    <w:p w14:paraId="1A32BBE3">
      <w:pPr>
        <w:spacing w:line="440" w:lineRule="exact"/>
        <w:ind w:left="560" w:leftChars="4" w:hanging="552" w:hangingChars="250"/>
        <w:rPr>
          <w:rFonts w:ascii="宋体" w:hAnsi="宋体" w:cs="宋体"/>
          <w:b/>
          <w:color w:val="auto"/>
          <w:sz w:val="22"/>
          <w:szCs w:val="22"/>
          <w:highlight w:val="none"/>
        </w:rPr>
      </w:pPr>
      <w:r>
        <w:rPr>
          <w:rFonts w:ascii="宋体" w:hAnsi="宋体" w:cs="宋体"/>
          <w:b/>
          <w:color w:val="auto"/>
          <w:sz w:val="22"/>
          <w:szCs w:val="22"/>
          <w:highlight w:val="none"/>
        </w:rPr>
        <w:t xml:space="preserve">4.   </w:t>
      </w:r>
      <w:r>
        <w:rPr>
          <w:rFonts w:hint="eastAsia" w:ascii="宋体" w:hAnsi="宋体" w:cs="宋体"/>
          <w:b/>
          <w:color w:val="auto"/>
          <w:sz w:val="22"/>
          <w:szCs w:val="22"/>
          <w:highlight w:val="none"/>
        </w:rPr>
        <w:t>开标评标</w:t>
      </w:r>
    </w:p>
    <w:p w14:paraId="504BA206">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4.1</w:t>
      </w:r>
      <w:r>
        <w:rPr>
          <w:rFonts w:hint="eastAsia" w:ascii="宋体" w:hAnsi="宋体" w:cs="宋体"/>
          <w:bCs/>
          <w:color w:val="auto"/>
          <w:sz w:val="22"/>
          <w:szCs w:val="22"/>
          <w:highlight w:val="none"/>
        </w:rPr>
        <w:t xml:space="preserve">  资格性审查</w:t>
      </w:r>
    </w:p>
    <w:p w14:paraId="29F73C9B">
      <w:pPr>
        <w:spacing w:line="440" w:lineRule="exact"/>
        <w:ind w:left="533" w:leftChars="254"/>
        <w:rPr>
          <w:rFonts w:ascii="宋体" w:hAnsi="宋体" w:cs="宋体"/>
          <w:bCs/>
          <w:color w:val="auto"/>
          <w:sz w:val="22"/>
          <w:szCs w:val="22"/>
          <w:highlight w:val="none"/>
        </w:rPr>
      </w:pPr>
      <w:r>
        <w:rPr>
          <w:rFonts w:hint="eastAsia" w:ascii="宋体" w:hAnsi="宋体" w:cs="宋体"/>
          <w:bCs/>
          <w:color w:val="auto"/>
          <w:sz w:val="22"/>
          <w:szCs w:val="22"/>
          <w:highlight w:val="none"/>
        </w:rPr>
        <w:t>采购人或采购代理机构依据法律、法规和招标文件的规定，对各投标文件中的资格证明在线进行审查，以确定是否具备投标资格。</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只要有一项审查不合格，则该投标人的资格审查不合格，审查不合格的投标文件将不予评审。</w:t>
      </w:r>
    </w:p>
    <w:p w14:paraId="44901BB3">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4.2</w:t>
      </w:r>
      <w:r>
        <w:rPr>
          <w:rFonts w:hint="eastAsia" w:ascii="宋体" w:hAnsi="宋体" w:cs="宋体"/>
          <w:bCs/>
          <w:color w:val="auto"/>
          <w:sz w:val="22"/>
          <w:szCs w:val="22"/>
          <w:highlight w:val="none"/>
        </w:rPr>
        <w:t xml:space="preserve">  符合性审查</w:t>
      </w:r>
    </w:p>
    <w:p w14:paraId="2AC5A379">
      <w:pPr>
        <w:spacing w:line="440" w:lineRule="exact"/>
        <w:ind w:left="525" w:leftChars="250"/>
        <w:rPr>
          <w:rFonts w:ascii="宋体" w:hAnsi="宋体" w:cs="宋体"/>
          <w:bCs/>
          <w:color w:val="auto"/>
          <w:sz w:val="22"/>
          <w:szCs w:val="22"/>
          <w:highlight w:val="none"/>
        </w:rPr>
      </w:pPr>
      <w:r>
        <w:rPr>
          <w:rFonts w:hint="eastAsia" w:ascii="宋体" w:hAnsi="宋体" w:cs="宋体"/>
          <w:bCs/>
          <w:color w:val="auto"/>
          <w:sz w:val="22"/>
          <w:szCs w:val="22"/>
          <w:highlight w:val="none"/>
        </w:rPr>
        <w:t>评标委员会依据法律、法规和招标文件的规定，对投标文件的有效性、完整性和对招标文件的响应程度进行审查，以确定是否符合招标文件的商务、技术等实质性要求。</w:t>
      </w:r>
      <w:r>
        <w:rPr>
          <w:rFonts w:hint="eastAsia" w:ascii="宋体" w:hAnsi="宋体" w:cs="宋体"/>
          <w:b/>
          <w:color w:val="auto"/>
          <w:sz w:val="22"/>
          <w:szCs w:val="22"/>
          <w:highlight w:val="none"/>
          <w:u w:val="single"/>
        </w:rPr>
        <w:t>评标委员会决定投标的响应性只根据投标文件本身的内容，而不寻求外部的证据。</w:t>
      </w:r>
    </w:p>
    <w:p w14:paraId="7FE6515B">
      <w:pPr>
        <w:spacing w:line="440" w:lineRule="exact"/>
        <w:ind w:left="539" w:hanging="539" w:hangingChars="245"/>
        <w:rPr>
          <w:rFonts w:ascii="宋体" w:hAnsi="宋体" w:cs="宋体"/>
          <w:bCs/>
          <w:color w:val="auto"/>
          <w:sz w:val="22"/>
          <w:szCs w:val="22"/>
          <w:highlight w:val="none"/>
        </w:rPr>
      </w:pPr>
      <w:r>
        <w:rPr>
          <w:rFonts w:hint="eastAsia" w:ascii="宋体" w:hAnsi="宋体" w:cs="宋体"/>
          <w:bCs/>
          <w:color w:val="auto"/>
          <w:sz w:val="22"/>
          <w:szCs w:val="22"/>
          <w:highlight w:val="none"/>
        </w:rPr>
        <w:t>4</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投标文件评审</w:t>
      </w:r>
    </w:p>
    <w:p w14:paraId="15D5A380">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评标委员会根据招标文件中规定的评标方法和标准，对符合性审查合格的投标文件进行商务、技术和价格评估，综合比较与评价，并</w:t>
      </w:r>
      <w:r>
        <w:rPr>
          <w:rFonts w:hint="eastAsia" w:ascii="宋体" w:hAnsi="宋体" w:cs="宋体"/>
          <w:color w:val="auto"/>
          <w:sz w:val="22"/>
          <w:szCs w:val="22"/>
          <w:highlight w:val="none"/>
        </w:rPr>
        <w:t>按照招标文件中制订的评标方法进行综合评定打分，并提交评审报告。</w:t>
      </w:r>
    </w:p>
    <w:p w14:paraId="21CCA043">
      <w:pPr>
        <w:tabs>
          <w:tab w:val="left" w:pos="1365"/>
        </w:tabs>
        <w:spacing w:line="440" w:lineRule="exact"/>
        <w:ind w:left="552" w:hanging="552" w:hangingChars="250"/>
        <w:rPr>
          <w:rFonts w:ascii="宋体" w:hAnsi="宋体" w:cs="宋体"/>
          <w:b/>
          <w:color w:val="auto"/>
          <w:sz w:val="22"/>
          <w:szCs w:val="22"/>
          <w:highlight w:val="none"/>
        </w:rPr>
      </w:pPr>
      <w:r>
        <w:rPr>
          <w:rFonts w:ascii="宋体" w:hAnsi="宋体" w:cs="宋体"/>
          <w:b/>
          <w:color w:val="auto"/>
          <w:sz w:val="22"/>
          <w:szCs w:val="22"/>
          <w:highlight w:val="none"/>
        </w:rPr>
        <w:t>5</w:t>
      </w:r>
      <w:r>
        <w:rPr>
          <w:rFonts w:hint="eastAsia" w:ascii="宋体" w:hAnsi="宋体" w:cs="宋体"/>
          <w:b/>
          <w:color w:val="auto"/>
          <w:sz w:val="22"/>
          <w:szCs w:val="22"/>
          <w:highlight w:val="none"/>
        </w:rPr>
        <w:t>.   投标文件的澄清</w:t>
      </w:r>
    </w:p>
    <w:p w14:paraId="4C82FB94">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.1  对于投标文件中含义不明确、同类问题表述不一致或者有明显文字和计算错误的内容，评标委员会应当以书面形式要求投标人作出必要的澄清、说明或者补正。</w:t>
      </w:r>
    </w:p>
    <w:p w14:paraId="45B6CACE">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.2  投标人的澄清、说明或者补正应当采用电子传输形式。</w:t>
      </w:r>
      <w:r>
        <w:rPr>
          <w:rFonts w:hint="eastAsia" w:ascii="宋体" w:hAnsi="宋体" w:cs="宋体"/>
          <w:b/>
          <w:color w:val="auto"/>
          <w:sz w:val="22"/>
          <w:szCs w:val="22"/>
          <w:highlight w:val="none"/>
          <w:u w:val="single"/>
        </w:rPr>
        <w:t>投标人的澄清、说明或者补正不得超出投标文件的范围或者改变投标文件的实质性内容。</w:t>
      </w:r>
    </w:p>
    <w:p w14:paraId="2D561860">
      <w:pPr>
        <w:spacing w:line="440" w:lineRule="exact"/>
        <w:ind w:left="552"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6.   投标价格修正</w:t>
      </w:r>
    </w:p>
    <w:p w14:paraId="6F6C2201">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评标委员会对各投标人的投标报价进行核查，核查时发现投标报价内容不清楚可要求投标人书面澄清，投标文件报价出现前后不一致的，按照下列规定修正：</w:t>
      </w:r>
    </w:p>
    <w:p w14:paraId="36A59D3C">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（1）投标文件中投标报价一览表内容与投标分项报价表不一致的，以投标报价一览表为准；</w:t>
      </w:r>
    </w:p>
    <w:p w14:paraId="11CC7928">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（2）大写金额与小写金额不一致的，以大写金额为准；</w:t>
      </w:r>
    </w:p>
    <w:p w14:paraId="44F94C91">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（3）单价金额小数点或者百分比有明显错位的，以投标报价一览表的总价为准，并修改单价；</w:t>
      </w:r>
    </w:p>
    <w:p w14:paraId="30651A3A">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（4）总价金额与按单价汇总金额不一致的，以单价金额计算结果为准。</w:t>
      </w:r>
    </w:p>
    <w:p w14:paraId="51920FF8">
      <w:pPr>
        <w:spacing w:line="440" w:lineRule="exact"/>
        <w:ind w:left="571" w:leftChars="10" w:hanging="550" w:hangingChars="250"/>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（5）</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同时出现两种以上不一致的，按照前款规定的顺序修正。修正后的报价按照第</w:t>
      </w:r>
      <w:r>
        <w:rPr>
          <w:rFonts w:ascii="宋体" w:hAnsi="宋体" w:cs="宋体"/>
          <w:b/>
          <w:bCs/>
          <w:color w:val="auto"/>
          <w:sz w:val="22"/>
          <w:szCs w:val="22"/>
          <w:highlight w:val="none"/>
          <w:u w:val="single"/>
        </w:rPr>
        <w:t>5</w:t>
      </w:r>
      <w:r>
        <w:rPr>
          <w:rFonts w:hint="eastAsia" w:ascii="宋体" w:hAnsi="宋体" w:cs="宋体"/>
          <w:b/>
          <w:bCs/>
          <w:color w:val="auto"/>
          <w:sz w:val="22"/>
          <w:szCs w:val="22"/>
          <w:highlight w:val="none"/>
          <w:u w:val="single"/>
        </w:rPr>
        <w:t>点的规定经投标人确认后产生约束力，投标人不确认的，其投标无效</w:t>
      </w:r>
      <w:r>
        <w:rPr>
          <w:rFonts w:hint="eastAsia" w:ascii="宋体" w:hAnsi="宋体" w:cs="宋体"/>
          <w:bCs/>
          <w:color w:val="auto"/>
          <w:sz w:val="22"/>
          <w:szCs w:val="22"/>
          <w:highlight w:val="none"/>
        </w:rPr>
        <w:t>。</w:t>
      </w:r>
    </w:p>
    <w:p w14:paraId="4695D759">
      <w:pPr>
        <w:spacing w:line="440" w:lineRule="exact"/>
        <w:ind w:left="573" w:leftChars="10" w:hanging="552" w:hangingChars="250"/>
        <w:rPr>
          <w:rFonts w:hint="default" w:ascii="宋体" w:hAnsi="宋体" w:eastAsia="宋体" w:cs="宋体"/>
          <w:b/>
          <w:bCs w:val="0"/>
          <w:color w:val="auto"/>
          <w:sz w:val="22"/>
          <w:szCs w:val="22"/>
          <w:highlight w:val="none"/>
          <w:lang w:val="en-US" w:eastAsia="zh-CN"/>
        </w:rPr>
      </w:pPr>
      <w:bookmarkStart w:id="40" w:name="_Toc230773780"/>
      <w:r>
        <w:rPr>
          <w:rFonts w:hint="eastAsia" w:ascii="宋体" w:hAnsi="宋体" w:cs="宋体"/>
          <w:b/>
          <w:bCs w:val="0"/>
          <w:color w:val="auto"/>
          <w:sz w:val="22"/>
          <w:szCs w:val="22"/>
          <w:highlight w:val="none"/>
          <w:lang w:val="en-US" w:eastAsia="zh-CN"/>
        </w:rPr>
        <w:t>7.   投标无效。</w:t>
      </w:r>
      <w:r>
        <w:rPr>
          <w:rFonts w:hint="eastAsia" w:cs="宋体"/>
          <w:b/>
          <w:color w:val="auto"/>
          <w:sz w:val="22"/>
          <w:szCs w:val="22"/>
          <w:highlight w:val="none"/>
        </w:rPr>
        <w:t>有下列情形之一的，投标无效</w:t>
      </w:r>
      <w:r>
        <w:rPr>
          <w:rFonts w:hint="eastAsia" w:ascii="宋体" w:hAnsi="宋体" w:cs="宋体"/>
          <w:b/>
          <w:bCs w:val="0"/>
          <w:color w:val="auto"/>
          <w:sz w:val="22"/>
          <w:szCs w:val="22"/>
          <w:highlight w:val="none"/>
          <w:lang w:val="en-US" w:eastAsia="zh-CN"/>
        </w:rPr>
        <w:t>：</w:t>
      </w:r>
    </w:p>
    <w:p w14:paraId="4EDF2CC8">
      <w:pPr>
        <w:snapToGrid/>
        <w:spacing w:line="440" w:lineRule="exact"/>
        <w:ind w:firstLine="0" w:firstLineChars="0"/>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 xml:space="preserve">7.1  </w:t>
      </w:r>
      <w:r>
        <w:rPr>
          <w:rFonts w:hint="eastAsia" w:ascii="宋体" w:hAnsi="宋体" w:cs="宋体"/>
          <w:b/>
          <w:color w:val="auto"/>
          <w:sz w:val="22"/>
          <w:szCs w:val="22"/>
          <w:highlight w:val="none"/>
        </w:rPr>
        <w:t>在资格审查时，如发现下列情形之一的，投标文件将被视为无效：</w:t>
      </w:r>
    </w:p>
    <w:p w14:paraId="1FFE27EB">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单位负责人为同一人或者存在直接控股、管理关系的不同供应商参加同一合同项下的政府采购活动的（均无效）</w:t>
      </w:r>
      <w:r>
        <w:rPr>
          <w:rFonts w:hint="eastAsia" w:ascii="宋体" w:hAnsi="宋体" w:eastAsia="宋体" w:cs="宋体"/>
          <w:color w:val="auto"/>
          <w:sz w:val="22"/>
          <w:szCs w:val="22"/>
          <w:highlight w:val="none"/>
        </w:rPr>
        <w:t>；</w:t>
      </w:r>
    </w:p>
    <w:p w14:paraId="521DF184">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为采购项目提供整体设计、规范编制或者项目管理、监理、检测等服务的供应商再参加该采购项目的其他采购活动的</w:t>
      </w:r>
      <w:r>
        <w:rPr>
          <w:rFonts w:hint="eastAsia" w:ascii="宋体" w:hAnsi="宋体" w:eastAsia="宋体" w:cs="宋体"/>
          <w:color w:val="auto"/>
          <w:sz w:val="22"/>
          <w:szCs w:val="22"/>
          <w:highlight w:val="none"/>
        </w:rPr>
        <w:t xml:space="preserve">； </w:t>
      </w:r>
    </w:p>
    <w:p w14:paraId="0B050634">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u w:val="single"/>
        </w:rPr>
        <w:t>提供的有效的资格证明材料或材料不全的，或者不具备招标文件中规定的资格要求的</w:t>
      </w:r>
      <w:r>
        <w:rPr>
          <w:rFonts w:hint="eastAsia" w:ascii="宋体" w:hAnsi="宋体" w:eastAsia="宋体" w:cs="宋体"/>
          <w:color w:val="auto"/>
          <w:sz w:val="22"/>
          <w:szCs w:val="22"/>
          <w:highlight w:val="none"/>
        </w:rPr>
        <w:t>；</w:t>
      </w:r>
    </w:p>
    <w:p w14:paraId="2F1083C4">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cs="宋体"/>
          <w:color w:val="auto"/>
          <w:sz w:val="22"/>
          <w:highlight w:val="none"/>
          <w:u w:val="single"/>
        </w:rPr>
        <w:t>资格文件出现投标报价的</w:t>
      </w:r>
      <w:r>
        <w:rPr>
          <w:rFonts w:hint="eastAsia" w:ascii="宋体" w:hAnsi="宋体" w:eastAsia="宋体" w:cs="宋体"/>
          <w:color w:val="auto"/>
          <w:sz w:val="22"/>
          <w:szCs w:val="22"/>
          <w:highlight w:val="none"/>
        </w:rPr>
        <w:t>；</w:t>
      </w:r>
    </w:p>
    <w:p w14:paraId="4A2E6046">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未有效提供法定代表人授权委托书或所载内容与本项目内容有异的</w:t>
      </w:r>
      <w:r>
        <w:rPr>
          <w:rFonts w:hint="eastAsia" w:ascii="宋体" w:hAnsi="宋体" w:eastAsia="宋体" w:cs="宋体"/>
          <w:color w:val="auto"/>
          <w:sz w:val="22"/>
          <w:szCs w:val="22"/>
          <w:highlight w:val="none"/>
        </w:rPr>
        <w:t>；</w:t>
      </w:r>
    </w:p>
    <w:p w14:paraId="63628407">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如以联合体形式参加政府采购活动的，未提供联合协议的</w:t>
      </w:r>
      <w:r>
        <w:rPr>
          <w:rFonts w:hint="eastAsia" w:ascii="宋体" w:hAnsi="宋体" w:eastAsia="宋体" w:cs="宋体"/>
          <w:color w:val="auto"/>
          <w:sz w:val="22"/>
          <w:szCs w:val="22"/>
          <w:highlight w:val="none"/>
        </w:rPr>
        <w:t>。</w:t>
      </w:r>
    </w:p>
    <w:p w14:paraId="714D5B2A">
      <w:pPr>
        <w:snapToGrid/>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7</w:t>
      </w:r>
      <w:r>
        <w:rPr>
          <w:rFonts w:hint="eastAsia" w:ascii="宋体" w:hAnsi="宋体" w:cs="宋体"/>
          <w:b/>
          <w:color w:val="auto"/>
          <w:sz w:val="22"/>
          <w:szCs w:val="22"/>
          <w:highlight w:val="none"/>
          <w:lang w:val="en-US" w:eastAsia="zh-CN"/>
        </w:rPr>
        <w:t xml:space="preserve">.2  </w:t>
      </w:r>
      <w:r>
        <w:rPr>
          <w:rFonts w:hint="eastAsia" w:ascii="宋体" w:hAnsi="宋体" w:cs="宋体"/>
          <w:b/>
          <w:color w:val="auto"/>
          <w:sz w:val="22"/>
          <w:szCs w:val="22"/>
          <w:highlight w:val="none"/>
        </w:rPr>
        <w:t>在符合性审查、商务和技术评审时，如发现下列情形之一的，投标文件将被视为无效：</w:t>
      </w:r>
    </w:p>
    <w:p w14:paraId="5B15D3B5">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bCs/>
          <w:color w:val="auto"/>
          <w:sz w:val="22"/>
          <w:szCs w:val="22"/>
          <w:highlight w:val="none"/>
          <w:u w:val="single"/>
        </w:rPr>
        <w:t>投标文件未按招标文件要求签署、盖章的</w:t>
      </w:r>
      <w:r>
        <w:rPr>
          <w:rFonts w:hint="eastAsia" w:ascii="宋体" w:hAnsi="宋体" w:eastAsia="宋体" w:cs="宋体"/>
          <w:color w:val="auto"/>
          <w:sz w:val="22"/>
          <w:szCs w:val="22"/>
          <w:highlight w:val="none"/>
        </w:rPr>
        <w:t>；</w:t>
      </w:r>
    </w:p>
    <w:p w14:paraId="4CF93D04">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投标文件中承诺的投标有效期少于招标文件中规定的投标有效期的</w:t>
      </w:r>
      <w:r>
        <w:rPr>
          <w:rFonts w:hint="eastAsia" w:ascii="宋体" w:hAnsi="宋体" w:eastAsia="宋体" w:cs="宋体"/>
          <w:color w:val="auto"/>
          <w:sz w:val="22"/>
          <w:szCs w:val="22"/>
          <w:highlight w:val="none"/>
          <w:u w:val="single"/>
          <w:lang w:eastAsia="zh-CN"/>
        </w:rPr>
        <w:t>；</w:t>
      </w:r>
    </w:p>
    <w:p w14:paraId="7F9CD774">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highlight w:val="none"/>
          <w:u w:val="single"/>
        </w:rPr>
        <w:t>明显不符合招标文件规定的技术规格、技术标准要求或不满足主要技术参数的</w:t>
      </w:r>
      <w:r>
        <w:rPr>
          <w:rFonts w:hint="eastAsia" w:ascii="宋体" w:hAnsi="宋体" w:eastAsia="宋体" w:cs="宋体"/>
          <w:color w:val="auto"/>
          <w:sz w:val="22"/>
          <w:szCs w:val="22"/>
          <w:highlight w:val="none"/>
        </w:rPr>
        <w:t>；</w:t>
      </w:r>
    </w:p>
    <w:p w14:paraId="07B63590">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投标技术方案不明确，存在一个或一个以上备选（替代）投标方案的</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招标文件有要求的除外</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rPr>
        <w:t>；</w:t>
      </w:r>
    </w:p>
    <w:p w14:paraId="30699E4C">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投标文件含有采购人不能接受的附加条件的</w:t>
      </w:r>
      <w:r>
        <w:rPr>
          <w:rFonts w:hint="eastAsia" w:ascii="宋体" w:hAnsi="宋体" w:eastAsia="宋体" w:cs="宋体"/>
          <w:color w:val="auto"/>
          <w:sz w:val="22"/>
          <w:szCs w:val="22"/>
          <w:highlight w:val="none"/>
        </w:rPr>
        <w:t>；</w:t>
      </w:r>
    </w:p>
    <w:p w14:paraId="64D4B7FC">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u w:val="single"/>
        </w:rPr>
        <w:t>采购人拟采购的产品属于政府强制采购的节能产品品目清单范围的，供应商响应的产品未获得国家确定的认证机构出具的、处于有效期之内的节能产品认证证书</w:t>
      </w:r>
      <w:r>
        <w:rPr>
          <w:rFonts w:hint="eastAsia" w:ascii="宋体" w:hAnsi="宋体" w:eastAsia="宋体" w:cs="宋体"/>
          <w:color w:val="auto"/>
          <w:sz w:val="22"/>
          <w:szCs w:val="22"/>
          <w:highlight w:val="none"/>
        </w:rPr>
        <w:t>；</w:t>
      </w:r>
    </w:p>
    <w:p w14:paraId="0A8FE93B">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u w:val="single"/>
        </w:rPr>
        <w:t>要求提供样品的项目，投标人未提供样品或提供样品不满足采购需求实质性条件或样品不全的</w:t>
      </w:r>
      <w:r>
        <w:rPr>
          <w:rFonts w:hint="eastAsia" w:ascii="宋体" w:hAnsi="宋体" w:eastAsia="宋体" w:cs="宋体"/>
          <w:color w:val="auto"/>
          <w:sz w:val="22"/>
          <w:szCs w:val="22"/>
          <w:highlight w:val="none"/>
        </w:rPr>
        <w:t>；</w:t>
      </w:r>
    </w:p>
    <w:p w14:paraId="29E04590">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cs="宋体"/>
          <w:color w:val="auto"/>
          <w:sz w:val="22"/>
          <w:highlight w:val="none"/>
          <w:u w:val="single"/>
        </w:rPr>
        <w:t>商务技术文件中出现投标报价的</w:t>
      </w:r>
      <w:r>
        <w:rPr>
          <w:rFonts w:hint="eastAsia" w:ascii="宋体" w:hAnsi="宋体" w:eastAsia="宋体" w:cs="宋体"/>
          <w:color w:val="auto"/>
          <w:sz w:val="22"/>
          <w:szCs w:val="22"/>
          <w:highlight w:val="none"/>
        </w:rPr>
        <w:t>；</w:t>
      </w:r>
    </w:p>
    <w:p w14:paraId="6BC69685">
      <w:pPr>
        <w:spacing w:line="440" w:lineRule="exact"/>
        <w:rPr>
          <w:rFonts w:hint="eastAsia" w:ascii="宋体" w:hAnsi="宋体" w:eastAsia="宋体" w:cs="宋体"/>
          <w:bCs/>
          <w:color w:val="auto"/>
          <w:sz w:val="22"/>
          <w:szCs w:val="22"/>
          <w:highlight w:val="none"/>
          <w:u w:val="single"/>
        </w:rPr>
      </w:pP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9</w:t>
      </w:r>
      <w:r>
        <w:rPr>
          <w:rFonts w:hint="eastAsia" w:ascii="宋体" w:hAnsi="宋体" w:cs="宋体"/>
          <w:bCs/>
          <w:color w:val="auto"/>
          <w:sz w:val="22"/>
          <w:szCs w:val="22"/>
          <w:highlight w:val="none"/>
        </w:rPr>
        <w:t>）</w:t>
      </w:r>
      <w:r>
        <w:rPr>
          <w:rFonts w:hint="eastAsia" w:ascii="宋体" w:hAnsi="宋体" w:eastAsia="宋体" w:cs="宋体"/>
          <w:bCs/>
          <w:color w:val="auto"/>
          <w:sz w:val="22"/>
          <w:szCs w:val="22"/>
          <w:highlight w:val="none"/>
          <w:u w:val="single"/>
        </w:rPr>
        <w:t>投标文件内容不全或关键字迹模糊无法辨认的</w:t>
      </w:r>
      <w:r>
        <w:rPr>
          <w:rFonts w:hint="eastAsia" w:ascii="宋体" w:hAnsi="宋体" w:eastAsia="宋体" w:cs="宋体"/>
          <w:bCs/>
          <w:color w:val="auto"/>
          <w:sz w:val="22"/>
          <w:szCs w:val="22"/>
          <w:highlight w:val="none"/>
          <w:u w:val="none"/>
        </w:rPr>
        <w:t>；</w:t>
      </w:r>
    </w:p>
    <w:p w14:paraId="63C85524">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0</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u w:val="single"/>
        </w:rPr>
        <w:t>法律、法规和招标文件规定的其他无效情形</w:t>
      </w:r>
      <w:r>
        <w:rPr>
          <w:rFonts w:hint="eastAsia" w:ascii="宋体" w:hAnsi="宋体" w:eastAsia="宋体" w:cs="宋体"/>
          <w:color w:val="auto"/>
          <w:sz w:val="22"/>
          <w:szCs w:val="22"/>
          <w:highlight w:val="none"/>
        </w:rPr>
        <w:t>。</w:t>
      </w:r>
    </w:p>
    <w:p w14:paraId="27A9B7A1">
      <w:pPr>
        <w:snapToGrid/>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7</w:t>
      </w:r>
      <w:r>
        <w:rPr>
          <w:rFonts w:hint="eastAsia" w:ascii="宋体" w:hAnsi="宋体" w:cs="宋体"/>
          <w:b/>
          <w:color w:val="auto"/>
          <w:sz w:val="22"/>
          <w:szCs w:val="22"/>
          <w:highlight w:val="none"/>
          <w:lang w:val="en-US" w:eastAsia="zh-CN"/>
        </w:rPr>
        <w:t xml:space="preserve">.3  </w:t>
      </w:r>
      <w:r>
        <w:rPr>
          <w:rFonts w:hint="eastAsia" w:ascii="宋体" w:hAnsi="宋体" w:cs="宋体"/>
          <w:b/>
          <w:color w:val="auto"/>
          <w:sz w:val="22"/>
          <w:szCs w:val="22"/>
          <w:highlight w:val="none"/>
        </w:rPr>
        <w:t>在报价评审时，如发现下列情形之一的，投标文件将被视为无效：</w:t>
      </w:r>
    </w:p>
    <w:p w14:paraId="53901A60">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r>
        <w:rPr>
          <w:rFonts w:hint="eastAsia" w:ascii="宋体" w:hAnsi="宋体" w:eastAsia="宋体" w:cs="宋体"/>
          <w:color w:val="auto"/>
          <w:sz w:val="22"/>
          <w:szCs w:val="22"/>
          <w:highlight w:val="none"/>
          <w:u w:val="single"/>
          <w:lang w:val="zh-CN"/>
        </w:rPr>
        <w:t>投标报价超过招标文件中规定的预算金额或者最高限价的</w:t>
      </w:r>
      <w:r>
        <w:rPr>
          <w:rFonts w:hint="eastAsia" w:ascii="宋体" w:hAnsi="宋体" w:eastAsia="宋体" w:cs="宋体"/>
          <w:color w:val="auto"/>
          <w:sz w:val="22"/>
          <w:szCs w:val="22"/>
          <w:highlight w:val="none"/>
          <w:lang w:val="zh-CN"/>
        </w:rPr>
        <w:t>；</w:t>
      </w:r>
    </w:p>
    <w:p w14:paraId="38157BE5">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w:t>
      </w:r>
      <w:r>
        <w:rPr>
          <w:rFonts w:hint="eastAsia" w:ascii="宋体" w:hAnsi="宋体" w:eastAsia="宋体" w:cs="宋体"/>
          <w:color w:val="auto"/>
          <w:sz w:val="22"/>
          <w:szCs w:val="22"/>
          <w:highlight w:val="none"/>
          <w:u w:val="single"/>
          <w:lang w:val="zh-CN"/>
        </w:rPr>
        <w:t>投标文件出现不是唯一的、有选择性投标报价的</w:t>
      </w:r>
      <w:r>
        <w:rPr>
          <w:rFonts w:hint="eastAsia" w:ascii="宋体" w:hAnsi="宋体" w:eastAsia="宋体" w:cs="宋体"/>
          <w:color w:val="auto"/>
          <w:sz w:val="22"/>
          <w:szCs w:val="22"/>
          <w:highlight w:val="none"/>
          <w:lang w:val="zh-CN"/>
        </w:rPr>
        <w:t>；</w:t>
      </w:r>
    </w:p>
    <w:p w14:paraId="2D61E326">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w:t>
      </w:r>
      <w:r>
        <w:rPr>
          <w:rFonts w:hint="eastAsia" w:ascii="宋体" w:hAnsi="宋体" w:eastAsia="宋体" w:cs="宋体"/>
          <w:color w:val="auto"/>
          <w:sz w:val="22"/>
          <w:szCs w:val="22"/>
          <w:highlight w:val="none"/>
          <w:u w:val="single"/>
          <w:lang w:val="zh-CN"/>
        </w:rPr>
        <w:t>投标人对根据修正原则修正后的报价不确认的</w:t>
      </w:r>
      <w:r>
        <w:rPr>
          <w:rFonts w:hint="eastAsia" w:ascii="宋体" w:hAnsi="宋体" w:eastAsia="宋体" w:cs="宋体"/>
          <w:color w:val="auto"/>
          <w:sz w:val="22"/>
          <w:szCs w:val="22"/>
          <w:highlight w:val="none"/>
          <w:lang w:val="zh-CN"/>
        </w:rPr>
        <w:t>；</w:t>
      </w:r>
    </w:p>
    <w:p w14:paraId="2C1F4070">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w:t>
      </w:r>
      <w:r>
        <w:rPr>
          <w:rFonts w:hint="eastAsia" w:ascii="宋体" w:hAnsi="宋体" w:eastAsia="宋体" w:cs="宋体"/>
          <w:color w:val="auto"/>
          <w:sz w:val="22"/>
          <w:szCs w:val="22"/>
          <w:highlight w:val="none"/>
          <w:u w:val="single"/>
          <w:lang w:val="zh-CN"/>
        </w:rPr>
        <w:t>投标报价不符合招标文件规定要求进行报价的</w:t>
      </w:r>
      <w:r>
        <w:rPr>
          <w:rFonts w:hint="eastAsia" w:ascii="宋体" w:hAnsi="宋体" w:eastAsia="宋体" w:cs="宋体"/>
          <w:color w:val="auto"/>
          <w:sz w:val="22"/>
          <w:szCs w:val="22"/>
          <w:highlight w:val="none"/>
          <w:lang w:val="zh-CN"/>
        </w:rPr>
        <w:t>；</w:t>
      </w:r>
    </w:p>
    <w:p w14:paraId="7E4601CD">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w:t>
      </w:r>
      <w:r>
        <w:rPr>
          <w:rFonts w:hint="eastAsia" w:ascii="宋体" w:hAnsi="宋体" w:eastAsia="宋体" w:cs="宋体"/>
          <w:color w:val="auto"/>
          <w:sz w:val="22"/>
          <w:szCs w:val="22"/>
          <w:highlight w:val="none"/>
          <w:u w:val="single"/>
          <w:lang w:val="zh-CN"/>
        </w:rPr>
        <w:t>评审小组认为供应商的投标报价明显低于其他供应商投标报价，有可能影响产品质量或者不能诚信履约的，应当要求其在评审现场合理的时间内提供书面说明，必要时提交相关证明材料；供应商不能证明其投标报价合理性的，评审小组应当将其作为无效响应处理；</w:t>
      </w:r>
    </w:p>
    <w:p w14:paraId="6FB82D1C">
      <w:pPr>
        <w:tabs>
          <w:tab w:val="left" w:pos="1365"/>
        </w:tabs>
        <w:spacing w:line="440" w:lineRule="exact"/>
        <w:ind w:left="550" w:hanging="550" w:hangingChars="250"/>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lang w:val="zh-CN"/>
        </w:rPr>
        <w:t>（6）</w:t>
      </w:r>
      <w:r>
        <w:rPr>
          <w:rFonts w:hint="eastAsia" w:ascii="宋体" w:hAnsi="宋体" w:eastAsia="宋体" w:cs="宋体"/>
          <w:color w:val="auto"/>
          <w:sz w:val="22"/>
          <w:szCs w:val="22"/>
          <w:highlight w:val="none"/>
          <w:u w:val="single"/>
          <w:lang w:val="zh-CN"/>
        </w:rPr>
        <w:t>法律、法规和招标文件规定的其他无效情形</w:t>
      </w:r>
      <w:r>
        <w:rPr>
          <w:rFonts w:hint="eastAsia" w:ascii="宋体" w:hAnsi="宋体" w:eastAsia="宋体" w:cs="宋体"/>
          <w:color w:val="auto"/>
          <w:sz w:val="22"/>
          <w:szCs w:val="22"/>
          <w:highlight w:val="none"/>
          <w:lang w:val="zh-CN"/>
        </w:rPr>
        <w:t>。</w:t>
      </w:r>
    </w:p>
    <w:p w14:paraId="2ADF7197">
      <w:pPr>
        <w:spacing w:line="440" w:lineRule="exact"/>
        <w:rPr>
          <w:rFonts w:hint="eastAsia" w:ascii="宋体" w:hAnsi="宋体" w:cs="宋体"/>
          <w:color w:val="auto"/>
          <w:sz w:val="22"/>
          <w:highlight w:val="none"/>
        </w:rPr>
      </w:pPr>
      <w:r>
        <w:rPr>
          <w:rFonts w:hint="eastAsia" w:ascii="宋体" w:hAnsi="宋体" w:cs="宋体"/>
          <w:b/>
          <w:color w:val="auto"/>
          <w:sz w:val="22"/>
          <w:szCs w:val="22"/>
          <w:highlight w:val="none"/>
          <w:lang w:val="en-US" w:eastAsia="zh-CN"/>
        </w:rPr>
        <w:t>7.4  出现</w:t>
      </w:r>
      <w:r>
        <w:rPr>
          <w:rFonts w:hint="eastAsia" w:ascii="宋体" w:hAnsi="宋体" w:eastAsia="宋体" w:cs="宋体"/>
          <w:b/>
          <w:color w:val="auto"/>
          <w:sz w:val="22"/>
          <w:szCs w:val="22"/>
          <w:highlight w:val="none"/>
          <w:lang w:val="en-US" w:eastAsia="zh-CN"/>
        </w:rPr>
        <w:t>下列</w:t>
      </w:r>
      <w:r>
        <w:rPr>
          <w:rFonts w:hint="eastAsia" w:ascii="宋体" w:hAnsi="宋体" w:eastAsia="宋体" w:cs="宋体"/>
          <w:b/>
          <w:color w:val="auto"/>
          <w:sz w:val="22"/>
          <w:szCs w:val="22"/>
          <w:highlight w:val="none"/>
        </w:rPr>
        <w:t>串通行为</w:t>
      </w:r>
      <w:r>
        <w:rPr>
          <w:rFonts w:hint="eastAsia" w:ascii="宋体" w:hAnsi="宋体" w:eastAsia="宋体" w:cs="宋体"/>
          <w:b/>
          <w:color w:val="auto"/>
          <w:sz w:val="22"/>
          <w:szCs w:val="22"/>
          <w:highlight w:val="none"/>
          <w:lang w:eastAsia="zh-CN"/>
        </w:rPr>
        <w:t>的，</w:t>
      </w:r>
      <w:r>
        <w:rPr>
          <w:rFonts w:hint="eastAsia" w:ascii="宋体" w:hAnsi="宋体" w:eastAsia="宋体" w:cs="宋体"/>
          <w:b/>
          <w:color w:val="auto"/>
          <w:sz w:val="22"/>
          <w:szCs w:val="22"/>
          <w:highlight w:val="none"/>
          <w:lang w:val="en-US" w:eastAsia="zh-CN"/>
        </w:rPr>
        <w:t>投标文件将被视为无效：</w:t>
      </w:r>
    </w:p>
    <w:p w14:paraId="2FACF848">
      <w:pPr>
        <w:spacing w:line="440" w:lineRule="exact"/>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1</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eastAsia="zh-CN"/>
        </w:rPr>
        <w:t>不同投标人的投标文件内容存在三处（含）以上错误一致且无法合理解释的；</w:t>
      </w:r>
    </w:p>
    <w:p w14:paraId="5AA77F36">
      <w:pPr>
        <w:spacing w:line="440" w:lineRule="exact"/>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2</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eastAsia="zh-CN"/>
        </w:rPr>
        <w:t>不同投标人联系人为同一人或不同联系人的联系电话一致且无法合理解释的；</w:t>
      </w:r>
    </w:p>
    <w:p w14:paraId="708EB239">
      <w:pPr>
        <w:tabs>
          <w:tab w:val="left" w:pos="1365"/>
        </w:tabs>
        <w:spacing w:line="440" w:lineRule="exact"/>
        <w:ind w:left="550" w:hanging="550" w:hangingChars="250"/>
        <w:rPr>
          <w:rFonts w:hint="eastAsia" w:ascii="宋体" w:hAnsi="宋体" w:eastAsia="宋体" w:cs="宋体"/>
          <w:color w:val="auto"/>
          <w:sz w:val="22"/>
          <w:szCs w:val="22"/>
          <w:highlight w:val="none"/>
          <w:u w:val="single"/>
          <w:lang w:val="zh-CN" w:eastAsia="zh-CN"/>
        </w:rPr>
      </w:pPr>
      <w:r>
        <w:rPr>
          <w:rFonts w:hint="eastAsia" w:ascii="宋体" w:hAnsi="宋体" w:eastAsia="宋体" w:cs="宋体"/>
          <w:bCs w:val="0"/>
          <w:color w:val="auto"/>
          <w:sz w:val="22"/>
          <w:szCs w:val="22"/>
          <w:highlight w:val="none"/>
          <w:u w:val="none"/>
          <w:lang w:val="zh-CN" w:eastAsia="zh-CN"/>
        </w:rPr>
        <w:t>（3）</w:t>
      </w:r>
      <w:r>
        <w:rPr>
          <w:rFonts w:hint="eastAsia" w:ascii="宋体" w:hAnsi="宋体" w:eastAsia="宋体" w:cs="宋体"/>
          <w:color w:val="auto"/>
          <w:sz w:val="22"/>
          <w:szCs w:val="22"/>
          <w:highlight w:val="none"/>
          <w:u w:val="single"/>
          <w:lang w:val="zh-CN" w:eastAsia="zh-CN"/>
        </w:rPr>
        <w:t>参与同一个采购包(标项)的供应商存在下列情形之一的，其投标无效</w:t>
      </w:r>
      <w:r>
        <w:rPr>
          <w:rFonts w:hint="eastAsia" w:ascii="宋体" w:hAnsi="宋体" w:eastAsia="宋体" w:cs="宋体"/>
          <w:bCs w:val="0"/>
          <w:color w:val="auto"/>
          <w:sz w:val="22"/>
          <w:szCs w:val="22"/>
          <w:highlight w:val="none"/>
          <w:u w:val="single"/>
          <w:lang w:val="zh-CN" w:eastAsia="zh-CN"/>
        </w:rPr>
        <w:t>：</w:t>
      </w:r>
    </w:p>
    <w:p w14:paraId="65ADEB48">
      <w:pPr>
        <w:tabs>
          <w:tab w:val="left" w:pos="1365"/>
        </w:tabs>
        <w:spacing w:line="440" w:lineRule="exact"/>
        <w:ind w:left="547" w:leftChars="208" w:hanging="110" w:hangingChars="50"/>
        <w:rPr>
          <w:rFonts w:hint="eastAsia" w:ascii="宋体" w:hAnsi="宋体" w:eastAsia="宋体" w:cs="宋体"/>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①不同供应商的电子响应文件上传计算机的IP 地址、</w:t>
      </w:r>
      <w:r>
        <w:rPr>
          <w:rFonts w:hint="eastAsia" w:ascii="宋体" w:hAnsi="宋体" w:eastAsia="宋体" w:cs="宋体"/>
          <w:color w:val="auto"/>
          <w:sz w:val="22"/>
          <w:szCs w:val="22"/>
          <w:highlight w:val="none"/>
          <w:u w:val="single"/>
          <w:lang w:val="en-US" w:eastAsia="zh-CN"/>
        </w:rPr>
        <w:t>M</w:t>
      </w:r>
      <w:r>
        <w:rPr>
          <w:rFonts w:hint="eastAsia" w:ascii="宋体" w:hAnsi="宋体" w:eastAsia="宋体" w:cs="宋体"/>
          <w:color w:val="auto"/>
          <w:sz w:val="22"/>
          <w:szCs w:val="22"/>
          <w:highlight w:val="none"/>
          <w:u w:val="single"/>
          <w:lang w:val="zh-CN" w:eastAsia="zh-CN"/>
        </w:rPr>
        <w:t>AC地址、硬盘序列号等硬件信息相同的</w:t>
      </w:r>
      <w:r>
        <w:rPr>
          <w:rFonts w:hint="eastAsia" w:ascii="宋体" w:hAnsi="宋体" w:eastAsia="宋体" w:cs="宋体"/>
          <w:bCs w:val="0"/>
          <w:color w:val="auto"/>
          <w:sz w:val="22"/>
          <w:szCs w:val="22"/>
          <w:highlight w:val="none"/>
          <w:u w:val="single"/>
          <w:lang w:val="zh-CN" w:eastAsia="zh-CN"/>
        </w:rPr>
        <w:t>；</w:t>
      </w:r>
    </w:p>
    <w:p w14:paraId="74312C0D">
      <w:pPr>
        <w:tabs>
          <w:tab w:val="left" w:pos="1365"/>
        </w:tabs>
        <w:spacing w:line="440" w:lineRule="exact"/>
        <w:ind w:left="547" w:leftChars="208" w:hanging="110" w:hangingChars="50"/>
        <w:rPr>
          <w:rFonts w:hint="eastAsia" w:ascii="宋体" w:hAnsi="宋体" w:eastAsia="宋体" w:cs="宋体"/>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②上传的电子响应文件若出现使用本项目其他响应供应商的数字证书加密的，或者加盖本项目其</w:t>
      </w:r>
    </w:p>
    <w:p w14:paraId="5E1D160C">
      <w:pPr>
        <w:tabs>
          <w:tab w:val="left" w:pos="1365"/>
        </w:tabs>
        <w:spacing w:line="440" w:lineRule="exact"/>
        <w:ind w:left="553" w:leftChars="211" w:hanging="110" w:hangingChars="50"/>
        <w:rPr>
          <w:rFonts w:hint="eastAsia" w:ascii="宋体" w:hAnsi="宋体" w:eastAsia="宋体" w:cs="宋体"/>
          <w:bCs w:val="0"/>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他响应供应商的电子印章的</w:t>
      </w:r>
      <w:r>
        <w:rPr>
          <w:rFonts w:hint="eastAsia" w:ascii="宋体" w:hAnsi="宋体" w:eastAsia="宋体" w:cs="宋体"/>
          <w:bCs w:val="0"/>
          <w:color w:val="auto"/>
          <w:sz w:val="22"/>
          <w:szCs w:val="22"/>
          <w:highlight w:val="none"/>
          <w:u w:val="single"/>
          <w:lang w:val="zh-CN" w:eastAsia="zh-CN"/>
        </w:rPr>
        <w:t>；</w:t>
      </w:r>
    </w:p>
    <w:p w14:paraId="6BD56F4E">
      <w:pPr>
        <w:spacing w:line="440" w:lineRule="exact"/>
        <w:rPr>
          <w:rFonts w:hint="default" w:ascii="宋体" w:hAnsi="宋体" w:eastAsia="宋体" w:cs="宋体"/>
          <w:color w:val="auto"/>
          <w:sz w:val="22"/>
          <w:highlight w:val="none"/>
          <w:u w:val="single"/>
          <w:lang w:val="en-US"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4</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val="en-US" w:eastAsia="zh-CN"/>
        </w:rPr>
        <w:t>法律、法规和招标文件规定的串通行为。</w:t>
      </w:r>
    </w:p>
    <w:p w14:paraId="3CF5327D">
      <w:pPr>
        <w:tabs>
          <w:tab w:val="left" w:pos="1365"/>
        </w:tabs>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rPr>
        <w:t>8.   评标过程中遇到特殊情况，由评标委员会遵循公开、公正原则，采取投票方式按照少数服从多数原则决定。</w:t>
      </w:r>
    </w:p>
    <w:p w14:paraId="70FF5DDA">
      <w:pPr>
        <w:tabs>
          <w:tab w:val="left" w:pos="1365"/>
        </w:tabs>
        <w:spacing w:line="440" w:lineRule="exact"/>
        <w:ind w:left="558" w:leftChars="4"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9. </w:t>
      </w: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优化评审管理</w:t>
      </w:r>
    </w:p>
    <w:p w14:paraId="6A23CF78">
      <w:pPr>
        <w:tabs>
          <w:tab w:val="left" w:pos="1365"/>
        </w:tabs>
        <w:spacing w:line="440" w:lineRule="exact"/>
        <w:ind w:left="560" w:leftChars="4" w:hanging="552" w:hangingChars="250"/>
        <w:rPr>
          <w:rFonts w:hint="eastAsia" w:ascii="宋体" w:hAnsi="宋体"/>
          <w:b/>
          <w:color w:val="auto"/>
          <w:sz w:val="22"/>
          <w:highlight w:val="none"/>
        </w:rPr>
      </w:pPr>
      <w:r>
        <w:rPr>
          <w:rFonts w:hint="eastAsia" w:ascii="宋体" w:hAnsi="宋体"/>
          <w:b/>
          <w:color w:val="auto"/>
          <w:sz w:val="22"/>
          <w:highlight w:val="none"/>
        </w:rPr>
        <w:t xml:space="preserve"> </w:t>
      </w:r>
      <w:r>
        <w:rPr>
          <w:rFonts w:ascii="宋体" w:hAnsi="宋体"/>
          <w:b/>
          <w:color w:val="auto"/>
          <w:sz w:val="22"/>
          <w:highlight w:val="none"/>
        </w:rPr>
        <w:t xml:space="preserve">    </w:t>
      </w:r>
      <w:r>
        <w:rPr>
          <w:rFonts w:hint="eastAsia" w:ascii="宋体" w:hAnsi="宋体" w:cs="宋体"/>
          <w:color w:val="auto"/>
          <w:sz w:val="22"/>
          <w:szCs w:val="22"/>
          <w:highlight w:val="none"/>
        </w:rPr>
        <w:t>根据浙财采监〔2022〕</w:t>
      </w:r>
      <w:r>
        <w:rPr>
          <w:rFonts w:ascii="宋体" w:hAnsi="宋体" w:cs="宋体"/>
          <w:color w:val="auto"/>
          <w:sz w:val="22"/>
          <w:szCs w:val="22"/>
          <w:highlight w:val="none"/>
        </w:rPr>
        <w:t>8</w:t>
      </w:r>
      <w:r>
        <w:rPr>
          <w:rFonts w:hint="eastAsia" w:ascii="宋体" w:hAnsi="宋体" w:cs="宋体"/>
          <w:color w:val="auto"/>
          <w:sz w:val="22"/>
          <w:szCs w:val="22"/>
          <w:highlight w:val="none"/>
        </w:rPr>
        <w:t>号文相关的规定，</w:t>
      </w:r>
      <w:r>
        <w:rPr>
          <w:rFonts w:ascii="宋体" w:hAnsi="宋体" w:cs="宋体"/>
          <w:color w:val="auto"/>
          <w:sz w:val="22"/>
          <w:szCs w:val="22"/>
          <w:highlight w:val="none"/>
        </w:rPr>
        <w:t>评审小组成员个人主观打分偏离所有评审小组成员主观打分平均值30%以上的，由评审委员会启动评分畸高、畸低行为认定程序。</w:t>
      </w:r>
    </w:p>
    <w:p w14:paraId="647A1048">
      <w:pPr>
        <w:tabs>
          <w:tab w:val="left" w:pos="1365"/>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10． 推荐中标候选人</w:t>
      </w:r>
    </w:p>
    <w:p w14:paraId="35219CF9">
      <w:pPr>
        <w:tabs>
          <w:tab w:val="left" w:pos="1365"/>
        </w:tabs>
        <w:spacing w:line="440" w:lineRule="exact"/>
        <w:ind w:left="440" w:hanging="440" w:hangingChars="200"/>
        <w:rPr>
          <w:rFonts w:ascii="宋体" w:hAnsi="宋体" w:cs="宋体"/>
          <w:color w:val="auto"/>
          <w:sz w:val="22"/>
          <w:szCs w:val="22"/>
          <w:highlight w:val="none"/>
        </w:rPr>
      </w:pPr>
      <w:r>
        <w:rPr>
          <w:rFonts w:hint="eastAsia" w:ascii="宋体" w:hAnsi="宋体" w:cs="宋体"/>
          <w:color w:val="auto"/>
          <w:sz w:val="22"/>
          <w:szCs w:val="22"/>
          <w:highlight w:val="none"/>
        </w:rPr>
        <w:t>10.1 本次招标由评标委员会推2名中标候选人。</w:t>
      </w:r>
    </w:p>
    <w:p w14:paraId="32FFF187">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1C3260AA">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1</w:t>
      </w:r>
      <w:r>
        <w:rPr>
          <w:rFonts w:hint="eastAsia" w:ascii="宋体" w:hAnsi="宋体" w:cs="宋体"/>
          <w:color w:val="auto"/>
          <w:sz w:val="22"/>
          <w:szCs w:val="22"/>
          <w:highlight w:val="none"/>
        </w:rPr>
        <w:t>.  根据《中华人民共和国政府采购法》第三十六条之规定，在采购中，出现下列情形之一的，应予废标：</w:t>
      </w:r>
    </w:p>
    <w:p w14:paraId="1A42A1DB">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符合专业条件的供应商或者对招标文件作实质响应的供应商不足3家的；</w:t>
      </w:r>
    </w:p>
    <w:p w14:paraId="2816FF1A">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出现影响采购公正的违法、违规行为的；</w:t>
      </w:r>
    </w:p>
    <w:p w14:paraId="4635FC51">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投标人的报价均超过了采购预算，采购人不能支付的；</w:t>
      </w:r>
    </w:p>
    <w:p w14:paraId="64B9C32D">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因重大变故，采购任务取消的。</w:t>
      </w:r>
    </w:p>
    <w:p w14:paraId="568F5287">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废标后，采购代理机构应当将废标理由通知所有投标人。</w:t>
      </w:r>
    </w:p>
    <w:p w14:paraId="0FB8DD24">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12.  评标细则详见第六部分“评标原则及方法”。</w:t>
      </w:r>
    </w:p>
    <w:p w14:paraId="7CF5D9A7">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13.  未尽事宜遵循相关法律法规及规范性文件执行。</w:t>
      </w:r>
    </w:p>
    <w:p w14:paraId="2568DF4B">
      <w:pPr>
        <w:pStyle w:val="3"/>
        <w:spacing w:line="680" w:lineRule="exact"/>
        <w:jc w:val="center"/>
        <w:rPr>
          <w:rFonts w:ascii="宋体" w:hAnsi="宋体" w:eastAsia="宋体" w:cs="宋体"/>
          <w:color w:val="auto"/>
          <w:sz w:val="28"/>
          <w:szCs w:val="28"/>
          <w:highlight w:val="none"/>
        </w:rPr>
      </w:pPr>
      <w:bookmarkStart w:id="41" w:name="_Toc26082"/>
      <w:r>
        <w:rPr>
          <w:rFonts w:hint="eastAsia" w:ascii="宋体" w:hAnsi="宋体" w:eastAsia="宋体" w:cs="宋体"/>
          <w:color w:val="auto"/>
          <w:sz w:val="28"/>
          <w:szCs w:val="28"/>
          <w:highlight w:val="none"/>
        </w:rPr>
        <w:t>六、 中标和合同</w:t>
      </w:r>
      <w:bookmarkEnd w:id="40"/>
      <w:bookmarkEnd w:id="41"/>
    </w:p>
    <w:p w14:paraId="524BF39B">
      <w:pPr>
        <w:tabs>
          <w:tab w:val="left" w:pos="1365"/>
        </w:tabs>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1.   确定中标人</w:t>
      </w:r>
    </w:p>
    <w:p w14:paraId="59498EE1">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1.1  采购代理机构应当在评标结束后2个工作日内将评标报告送采购人。</w:t>
      </w:r>
    </w:p>
    <w:p w14:paraId="26F92182">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1.2  采购人应当自收到评标报告之日起5个工作日内，在评标报告确定的中标候选人名单中按顺序确定中标人。中标候选人并列的，由采购人采取随机抽取的方式确定。</w:t>
      </w:r>
    </w:p>
    <w:p w14:paraId="523F376A">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1.3  采购人在收到评标报告5个工作日内未按评标报告推荐的中标候选人顺序确定中标人，又不能说明合法理由的，视同按评标报告推荐的顺序确定排名第一的中标候选人为中标人。</w:t>
      </w:r>
    </w:p>
    <w:p w14:paraId="5AEB8188">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中标公告</w:t>
      </w:r>
    </w:p>
    <w:p w14:paraId="2C537E1F">
      <w:pPr>
        <w:spacing w:line="440" w:lineRule="exact"/>
        <w:ind w:left="550"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采购人或者采购代理机构应当自中标人确定之日起2个工作日内，在乐采云平台上公告中标结果，招标文件应当随中标结果同时公告。</w:t>
      </w:r>
    </w:p>
    <w:p w14:paraId="6C4C62B2">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   </w:t>
      </w:r>
      <w:r>
        <w:rPr>
          <w:rFonts w:hint="eastAsia" w:ascii="宋体" w:hAnsi="宋体" w:cs="宋体"/>
          <w:b/>
          <w:bCs/>
          <w:color w:val="auto"/>
          <w:sz w:val="22"/>
          <w:szCs w:val="22"/>
          <w:highlight w:val="none"/>
        </w:rPr>
        <w:t>中标通知书</w:t>
      </w:r>
    </w:p>
    <w:p w14:paraId="31BA5E48">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3.1  在公告中标结果的同时</w:t>
      </w:r>
      <w:r>
        <w:rPr>
          <w:rFonts w:hint="eastAsia" w:ascii="宋体" w:hAnsi="宋体" w:cs="宋体"/>
          <w:color w:val="auto"/>
          <w:sz w:val="22"/>
          <w:szCs w:val="22"/>
          <w:highlight w:val="none"/>
        </w:rPr>
        <w:t>，采购人或采购代理机构向中标人发出中标通知书。</w:t>
      </w:r>
    </w:p>
    <w:p w14:paraId="34CF21C9">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3.2  </w:t>
      </w:r>
      <w:r>
        <w:rPr>
          <w:rFonts w:hint="eastAsia" w:ascii="宋体" w:hAnsi="宋体" w:cs="宋体"/>
          <w:color w:val="auto"/>
          <w:sz w:val="22"/>
          <w:szCs w:val="22"/>
          <w:highlight w:val="none"/>
        </w:rPr>
        <w:t>中标通知书是合同的一个组成部分,对采购人和中标人均具有同等法律效力。</w:t>
      </w:r>
    </w:p>
    <w:p w14:paraId="2DF63EB5">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4.   </w:t>
      </w:r>
      <w:r>
        <w:rPr>
          <w:rFonts w:hint="eastAsia" w:ascii="宋体" w:hAnsi="宋体" w:cs="宋体"/>
          <w:b/>
          <w:bCs/>
          <w:color w:val="auto"/>
          <w:sz w:val="22"/>
          <w:szCs w:val="22"/>
          <w:highlight w:val="none"/>
        </w:rPr>
        <w:t>签订合同</w:t>
      </w:r>
    </w:p>
    <w:p w14:paraId="4CF69497">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4.1  采购人应当自中标通知书发出之日起</w:t>
      </w:r>
      <w:r>
        <w:rPr>
          <w:rFonts w:ascii="宋体" w:hAnsi="宋体" w:cs="宋体"/>
          <w:bCs/>
          <w:color w:val="auto"/>
          <w:sz w:val="22"/>
          <w:szCs w:val="22"/>
          <w:highlight w:val="none"/>
        </w:rPr>
        <w:t>30</w:t>
      </w:r>
      <w:r>
        <w:rPr>
          <w:rFonts w:hint="eastAsia" w:ascii="宋体" w:hAnsi="宋体" w:cs="宋体"/>
          <w:bCs/>
          <w:color w:val="auto"/>
          <w:sz w:val="22"/>
          <w:szCs w:val="22"/>
          <w:highlight w:val="none"/>
        </w:rPr>
        <w:t>日内，按照招标文件和中标人投标文件的规定，与中标人签订书面合同。所签订的合同不得对招标文件确定的事项和中标人投标文件作实质性修改。</w:t>
      </w:r>
    </w:p>
    <w:p w14:paraId="12570B26">
      <w:pPr>
        <w:spacing w:line="440" w:lineRule="exact"/>
        <w:ind w:left="550" w:hanging="550" w:hangingChars="250"/>
        <w:rPr>
          <w:rFonts w:ascii="宋体" w:hAnsi="宋体" w:cs="宋体"/>
          <w:bCs/>
          <w:color w:val="auto"/>
          <w:sz w:val="22"/>
          <w:szCs w:val="22"/>
          <w:highlight w:val="none"/>
        </w:rPr>
      </w:pPr>
      <w:r>
        <w:rPr>
          <w:rFonts w:hint="eastAsia" w:ascii="宋体" w:hAnsi="宋体" w:cs="宋体"/>
          <w:color w:val="auto"/>
          <w:sz w:val="22"/>
          <w:szCs w:val="22"/>
          <w:highlight w:val="none"/>
        </w:rPr>
        <w:t xml:space="preserve">4.2  </w:t>
      </w:r>
      <w:r>
        <w:rPr>
          <w:rFonts w:hint="eastAsia" w:ascii="宋体" w:hAnsi="宋体" w:cs="宋体"/>
          <w:color w:val="auto"/>
          <w:spacing w:val="6"/>
          <w:sz w:val="22"/>
          <w:szCs w:val="22"/>
          <w:highlight w:val="none"/>
        </w:rPr>
        <w:t>在签订合同前，采购人有权在中标总价不变的前提下要求中标人对商务报价中的不平衡报价和缺漏项进行调整，如果中标人无合理理由拒绝调整，其中标资格将被取消，且将导致其它进一步的赔偿和处罚。</w:t>
      </w:r>
    </w:p>
    <w:p w14:paraId="69E73E30">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4.3  招标文件、中标人的投标文件、投标修改文件、评标过程中有关澄清文件及经投标人和评委双方签字的询标纪要和中标通知书均作为合同附件。</w:t>
      </w:r>
    </w:p>
    <w:p w14:paraId="53D2772B">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4.4  采购人不得向中标人提出任何不合理的要求作为签订合同的条件。</w:t>
      </w:r>
    </w:p>
    <w:p w14:paraId="2B67D979">
      <w:pPr>
        <w:spacing w:line="440" w:lineRule="exact"/>
        <w:ind w:left="440" w:hanging="440" w:hangingChars="200"/>
        <w:rPr>
          <w:rFonts w:ascii="宋体" w:hAnsi="宋体" w:cs="宋体"/>
          <w:bCs/>
          <w:color w:val="auto"/>
          <w:sz w:val="22"/>
          <w:szCs w:val="22"/>
          <w:highlight w:val="none"/>
        </w:rPr>
      </w:pPr>
      <w:r>
        <w:rPr>
          <w:rFonts w:hint="eastAsia" w:ascii="宋体" w:hAnsi="宋体" w:cs="宋体"/>
          <w:color w:val="auto"/>
          <w:sz w:val="22"/>
          <w:szCs w:val="22"/>
          <w:highlight w:val="none"/>
        </w:rPr>
        <w:t>4.5  拒签合同的违约责任</w:t>
      </w:r>
    </w:p>
    <w:p w14:paraId="2E39B6B4">
      <w:pPr>
        <w:spacing w:line="440" w:lineRule="exact"/>
        <w:ind w:left="565" w:leftChars="269"/>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中标人接到中标通知书后，在规定时间内借故否认已经承诺的条件而拒签合同的，以违约处理。</w:t>
      </w:r>
    </w:p>
    <w:p w14:paraId="0A93EAFA">
      <w:pPr>
        <w:spacing w:line="440" w:lineRule="exact"/>
        <w:ind w:left="571" w:hanging="571" w:hangingChars="245"/>
        <w:rPr>
          <w:rFonts w:ascii="宋体" w:hAnsi="宋体" w:cs="宋体"/>
          <w:b/>
          <w:color w:val="auto"/>
          <w:spacing w:val="6"/>
          <w:sz w:val="22"/>
          <w:szCs w:val="22"/>
          <w:highlight w:val="none"/>
          <w:shd w:val="pct10" w:color="auto" w:fill="FFFFFF"/>
        </w:rPr>
      </w:pPr>
      <w:r>
        <w:rPr>
          <w:rFonts w:hint="eastAsia" w:ascii="宋体" w:hAnsi="宋体" w:cs="宋体"/>
          <w:b/>
          <w:color w:val="auto"/>
          <w:spacing w:val="6"/>
          <w:sz w:val="22"/>
          <w:szCs w:val="22"/>
          <w:highlight w:val="none"/>
        </w:rPr>
        <w:t>4.6  合同一式肆份，其中采购人二份，中标人二份，中标人在采购合同签订后应及时提交壹份电子版交采购代理机构备案。</w:t>
      </w:r>
      <w:r>
        <w:rPr>
          <w:rFonts w:hint="eastAsia" w:ascii="宋体" w:hAnsi="宋体" w:cs="宋体"/>
          <w:b/>
          <w:color w:val="auto"/>
          <w:spacing w:val="6"/>
          <w:sz w:val="22"/>
          <w:szCs w:val="22"/>
          <w:highlight w:val="none"/>
          <w:shd w:val="pct10" w:color="auto" w:fill="FFFFFF"/>
        </w:rPr>
        <w:t>同时提交一份投标文件正式版的扫描件（PDF格式）供采购人备案用。</w:t>
      </w:r>
    </w:p>
    <w:p w14:paraId="1AC18A5C">
      <w:pPr>
        <w:spacing w:line="440" w:lineRule="exact"/>
        <w:rPr>
          <w:rFonts w:ascii="宋体" w:hAnsi="宋体" w:cs="宋体"/>
          <w:b/>
          <w:color w:val="auto"/>
          <w:spacing w:val="6"/>
          <w:sz w:val="22"/>
          <w:szCs w:val="22"/>
          <w:highlight w:val="none"/>
        </w:rPr>
      </w:pPr>
      <w:r>
        <w:rPr>
          <w:rFonts w:hint="eastAsia" w:ascii="宋体" w:hAnsi="宋体" w:cs="宋体"/>
          <w:color w:val="auto"/>
          <w:spacing w:val="6"/>
          <w:sz w:val="22"/>
          <w:szCs w:val="22"/>
          <w:highlight w:val="none"/>
        </w:rPr>
        <w:t xml:space="preserve">5.   </w:t>
      </w:r>
      <w:r>
        <w:rPr>
          <w:rFonts w:hint="eastAsia" w:ascii="宋体" w:hAnsi="宋体" w:cs="宋体"/>
          <w:b/>
          <w:color w:val="auto"/>
          <w:spacing w:val="6"/>
          <w:sz w:val="22"/>
          <w:szCs w:val="22"/>
          <w:highlight w:val="none"/>
          <w:u w:val="single"/>
        </w:rPr>
        <w:t>履约保证金</w:t>
      </w:r>
    </w:p>
    <w:p w14:paraId="02A11C07">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5.1  本项目无履约保证金。</w:t>
      </w:r>
    </w:p>
    <w:p w14:paraId="0A13CFC1">
      <w:pPr>
        <w:spacing w:line="440" w:lineRule="exact"/>
        <w:ind w:left="442" w:hanging="442" w:hangingChars="200"/>
        <w:rPr>
          <w:rFonts w:ascii="宋体" w:hAnsi="宋体" w:cs="宋体"/>
          <w:b/>
          <w:bCs/>
          <w:color w:val="auto"/>
          <w:sz w:val="22"/>
          <w:szCs w:val="22"/>
          <w:highlight w:val="none"/>
        </w:rPr>
      </w:pPr>
      <w:r>
        <w:rPr>
          <w:rFonts w:hint="eastAsia" w:ascii="宋体" w:hAnsi="宋体" w:cs="宋体"/>
          <w:b/>
          <w:bCs/>
          <w:color w:val="auto"/>
          <w:sz w:val="22"/>
          <w:szCs w:val="22"/>
          <w:highlight w:val="none"/>
        </w:rPr>
        <w:t>6.   合同履行时更改采购数量的权利</w:t>
      </w:r>
    </w:p>
    <w:p w14:paraId="71646125">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1642DB60">
      <w:pPr>
        <w:spacing w:line="44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7.   质疑与投诉</w:t>
      </w:r>
    </w:p>
    <w:p w14:paraId="4FC1EF67">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7.1  供应商认为采购文件、采购过程、成交结果使自己的合法权益受到损害的，可以在知道或应知其权益受到损害之日起七个工作日内以书面形式向采购人或采购代理机构提出质疑。</w:t>
      </w:r>
    </w:p>
    <w:p w14:paraId="5D551712">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7.2  采购人或采购代理机构在收到供应商的书面质疑后七个工作日内作出答复，但答复的内容不得涉及商业秘密。质疑供应商对采购人或采购代理机构的答复不满意，可以在答复期满后十五个工作日内向采购人监督管理部门投诉。</w:t>
      </w:r>
    </w:p>
    <w:p w14:paraId="457EFD90">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7.3  投诉人投诉时，应提交投诉书，投诉书应当由本人或法定代表人签字盖公章，投诉书应说明具体的投诉事项及事实依据。投诉人对投诉书的真实性负责，恶意投诉将承当相应的法律和民事责任。</w:t>
      </w:r>
    </w:p>
    <w:p w14:paraId="4876078E">
      <w:pPr>
        <w:pStyle w:val="3"/>
        <w:spacing w:line="680" w:lineRule="exact"/>
        <w:jc w:val="center"/>
        <w:rPr>
          <w:rFonts w:ascii="宋体" w:hAnsi="宋体" w:eastAsia="宋体" w:cs="宋体"/>
          <w:b w:val="0"/>
          <w:color w:val="auto"/>
          <w:highlight w:val="none"/>
        </w:rPr>
      </w:pPr>
      <w:bookmarkStart w:id="42" w:name="_Toc16582"/>
      <w:bookmarkStart w:id="43" w:name="_Toc77407760"/>
      <w:bookmarkStart w:id="44" w:name="_Toc89248785"/>
      <w:bookmarkStart w:id="45" w:name="_Toc77410345"/>
      <w:bookmarkStart w:id="46" w:name="_Toc208045865"/>
      <w:bookmarkStart w:id="47" w:name="_Toc230773781"/>
      <w:bookmarkStart w:id="48" w:name="_Toc185326503"/>
      <w:r>
        <w:rPr>
          <w:rFonts w:hint="eastAsia" w:ascii="宋体" w:hAnsi="宋体" w:eastAsia="宋体" w:cs="宋体"/>
          <w:color w:val="auto"/>
          <w:sz w:val="28"/>
          <w:szCs w:val="28"/>
          <w:highlight w:val="none"/>
        </w:rPr>
        <w:t>七、 可中止电子交易活动的情形</w:t>
      </w:r>
      <w:bookmarkEnd w:id="42"/>
      <w:bookmarkEnd w:id="43"/>
      <w:bookmarkEnd w:id="44"/>
      <w:bookmarkEnd w:id="45"/>
    </w:p>
    <w:p w14:paraId="732867D5">
      <w:pPr>
        <w:tabs>
          <w:tab w:val="left" w:pos="1365"/>
        </w:tabs>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采购过程中出现以下情形，导致电子交易平台无法正常运行，或者无法保证电子交易的公平、公正和安全时，采购代理机构可中止电子交易活动：</w:t>
      </w:r>
    </w:p>
    <w:p w14:paraId="6343F175">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电子交易平台发生故障而无法登录访问的；</w:t>
      </w:r>
    </w:p>
    <w:p w14:paraId="0C8A5580">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电子交易平台应用或数据库出现错误，不能进行正常操作的；</w:t>
      </w:r>
    </w:p>
    <w:p w14:paraId="6DA74CBA">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电子交易平台发现严重安全漏洞，有潜在泄密危险的；</w:t>
      </w:r>
    </w:p>
    <w:p w14:paraId="314A5DCB">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病毒发作导致不能进行正常操作的；</w:t>
      </w:r>
    </w:p>
    <w:p w14:paraId="512BF926">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其他无法保证电子交易的公平、公正和安全的情况。</w:t>
      </w:r>
    </w:p>
    <w:p w14:paraId="428AD75C">
      <w:pPr>
        <w:tabs>
          <w:tab w:val="left" w:pos="1365"/>
        </w:tabs>
        <w:spacing w:line="440" w:lineRule="exact"/>
        <w:ind w:left="420" w:leftChars="200"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出现前款规定情形，不影响采购公平、公正性的，采购代理机构可以待上述情形消除后继续组织电子交易活动；影响或可能影响采购公平、公正性的，应当重新采购。</w:t>
      </w:r>
    </w:p>
    <w:bookmarkEnd w:id="46"/>
    <w:bookmarkEnd w:id="47"/>
    <w:bookmarkEnd w:id="48"/>
    <w:p w14:paraId="4D6A4D31">
      <w:pPr>
        <w:rPr>
          <w:rFonts w:ascii="黑体" w:hAnsi="黑体" w:eastAsia="黑体"/>
          <w:bCs/>
          <w:color w:val="auto"/>
          <w:sz w:val="36"/>
          <w:szCs w:val="36"/>
          <w:highlight w:val="none"/>
        </w:rPr>
      </w:pPr>
      <w:bookmarkStart w:id="49" w:name="_Toc8176"/>
      <w:bookmarkStart w:id="50" w:name="_Toc230773782"/>
      <w:r>
        <w:rPr>
          <w:rFonts w:hint="eastAsia" w:ascii="黑体" w:hAnsi="黑体" w:eastAsia="黑体"/>
          <w:bCs/>
          <w:color w:val="auto"/>
          <w:sz w:val="36"/>
          <w:szCs w:val="36"/>
          <w:highlight w:val="none"/>
        </w:rPr>
        <w:br w:type="page"/>
      </w:r>
    </w:p>
    <w:p w14:paraId="269EDCDB">
      <w:pPr>
        <w:pStyle w:val="2"/>
        <w:tabs>
          <w:tab w:val="clear" w:pos="840"/>
        </w:tabs>
        <w:adjustRightInd/>
        <w:snapToGrid/>
        <w:spacing w:before="340" w:after="330" w:line="600" w:lineRule="exact"/>
        <w:jc w:val="center"/>
        <w:rPr>
          <w:rFonts w:ascii="黑体" w:hAnsi="黑体" w:eastAsia="黑体"/>
          <w:bCs/>
          <w:color w:val="auto"/>
          <w:sz w:val="36"/>
          <w:szCs w:val="36"/>
          <w:highlight w:val="none"/>
        </w:rPr>
      </w:pPr>
      <w:bookmarkStart w:id="51" w:name="_Toc23591"/>
      <w:r>
        <w:rPr>
          <w:rFonts w:hint="eastAsia" w:ascii="黑体" w:hAnsi="黑体" w:eastAsia="黑体"/>
          <w:bCs/>
          <w:color w:val="auto"/>
          <w:sz w:val="36"/>
          <w:szCs w:val="36"/>
          <w:highlight w:val="none"/>
        </w:rPr>
        <w:t>第三部分</w:t>
      </w:r>
      <w:bookmarkEnd w:id="49"/>
      <w:r>
        <w:rPr>
          <w:rFonts w:hint="eastAsia" w:ascii="黑体" w:hAnsi="黑体" w:eastAsia="黑体"/>
          <w:bCs/>
          <w:color w:val="auto"/>
          <w:sz w:val="36"/>
          <w:szCs w:val="36"/>
          <w:highlight w:val="none"/>
        </w:rPr>
        <w:t xml:space="preserve"> </w:t>
      </w:r>
      <w:r>
        <w:rPr>
          <w:rFonts w:ascii="黑体" w:hAnsi="黑体" w:eastAsia="黑体"/>
          <w:bCs/>
          <w:color w:val="auto"/>
          <w:sz w:val="36"/>
          <w:szCs w:val="36"/>
          <w:highlight w:val="none"/>
        </w:rPr>
        <w:t xml:space="preserve"> </w:t>
      </w:r>
      <w:r>
        <w:rPr>
          <w:rFonts w:hint="eastAsia" w:ascii="黑体" w:hAnsi="黑体" w:eastAsia="黑体"/>
          <w:color w:val="auto"/>
          <w:sz w:val="36"/>
          <w:szCs w:val="36"/>
          <w:highlight w:val="none"/>
        </w:rPr>
        <w:t>主要合同条款</w:t>
      </w:r>
      <w:bookmarkEnd w:id="51"/>
    </w:p>
    <w:bookmarkEnd w:id="50"/>
    <w:p w14:paraId="19509506">
      <w:pPr>
        <w:keepNext w:val="0"/>
        <w:keepLines w:val="0"/>
        <w:pageBreakBefore w:val="0"/>
        <w:widowControl w:val="0"/>
        <w:kinsoku/>
        <w:wordWrap/>
        <w:overflowPunct/>
        <w:topLinePunct w:val="0"/>
        <w:bidi w:val="0"/>
        <w:spacing w:line="400" w:lineRule="exact"/>
        <w:ind w:right="-185" w:rightChars="-88" w:firstLine="482" w:firstLineChars="200"/>
        <w:textAlignment w:val="auto"/>
        <w:rPr>
          <w:rFonts w:ascii="宋体" w:hAnsi="宋体"/>
          <w:b/>
          <w:color w:val="auto"/>
          <w:sz w:val="24"/>
          <w:highlight w:val="none"/>
        </w:rPr>
      </w:pPr>
      <w:bookmarkStart w:id="52" w:name="_Toc2505009"/>
      <w:bookmarkStart w:id="53" w:name="_Toc230773783"/>
      <w:r>
        <w:rPr>
          <w:rFonts w:ascii="宋体" w:hAnsi="宋体"/>
          <w:b/>
          <w:color w:val="auto"/>
          <w:sz w:val="24"/>
          <w:highlight w:val="none"/>
        </w:rPr>
        <w:t>（本条款为</w:t>
      </w:r>
      <w:r>
        <w:rPr>
          <w:rFonts w:hint="eastAsia" w:ascii="宋体" w:hAnsi="宋体"/>
          <w:b/>
          <w:color w:val="auto"/>
          <w:sz w:val="24"/>
          <w:highlight w:val="none"/>
          <w:lang w:val="en-US" w:eastAsia="zh-CN"/>
        </w:rPr>
        <w:t>甲乙</w:t>
      </w:r>
      <w:r>
        <w:rPr>
          <w:rFonts w:ascii="宋体" w:hAnsi="宋体"/>
          <w:b/>
          <w:color w:val="auto"/>
          <w:sz w:val="24"/>
          <w:highlight w:val="none"/>
        </w:rPr>
        <w:t>双方必须遵守的基本条款，双方可根据实际情况签订合同</w:t>
      </w:r>
      <w:r>
        <w:rPr>
          <w:rFonts w:hint="eastAsia" w:ascii="宋体" w:hAnsi="宋体"/>
          <w:b/>
          <w:color w:val="auto"/>
          <w:sz w:val="24"/>
          <w:highlight w:val="none"/>
        </w:rPr>
        <w:t>文本</w:t>
      </w:r>
      <w:r>
        <w:rPr>
          <w:rFonts w:ascii="宋体" w:hAnsi="宋体"/>
          <w:b/>
          <w:color w:val="auto"/>
          <w:sz w:val="24"/>
          <w:highlight w:val="none"/>
        </w:rPr>
        <w:t>；正式合同以双方签字盖章的文本为准。）</w:t>
      </w:r>
    </w:p>
    <w:p w14:paraId="59E7384C">
      <w:pPr>
        <w:pStyle w:val="26"/>
        <w:keepNext w:val="0"/>
        <w:keepLines w:val="0"/>
        <w:pageBreakBefore w:val="0"/>
        <w:kinsoku/>
        <w:wordWrap/>
        <w:topLinePunct w:val="0"/>
        <w:bidi w:val="0"/>
        <w:snapToGrid w:val="0"/>
        <w:spacing w:line="44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温州市第七人民医院</w:t>
      </w:r>
      <w:r>
        <w:rPr>
          <w:rFonts w:hint="eastAsia" w:ascii="宋体" w:hAnsi="宋体" w:eastAsia="宋体" w:cs="宋体"/>
          <w:color w:val="auto"/>
          <w:sz w:val="22"/>
          <w:szCs w:val="22"/>
          <w:highlight w:val="none"/>
        </w:rPr>
        <w:t>委托代理机构组织公开招标的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）经评标委员会评审，确认</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为本项目的乙方，甲、乙双方根据《中华人民共和国民法典》及本项目招标文件、招投标文件等有关规定，本着友好合作、协商一致的原则，就本项目有关事宜达成协议如下：</w:t>
      </w:r>
    </w:p>
    <w:p w14:paraId="7DF438B8">
      <w:pPr>
        <w:pStyle w:val="26"/>
        <w:keepNext w:val="0"/>
        <w:keepLines w:val="0"/>
        <w:pageBreakBefore w:val="0"/>
        <w:kinsoku/>
        <w:wordWrap/>
        <w:topLinePunct w:val="0"/>
        <w:bidi w:val="0"/>
        <w:snapToGrid w:val="0"/>
        <w:spacing w:line="440" w:lineRule="exact"/>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一、</w:t>
      </w:r>
      <w:r>
        <w:rPr>
          <w:rFonts w:hint="eastAsia" w:ascii="宋体" w:hAnsi="宋体" w:eastAsia="宋体" w:cs="宋体"/>
          <w:b/>
          <w:color w:val="auto"/>
          <w:sz w:val="22"/>
          <w:szCs w:val="22"/>
          <w:highlight w:val="none"/>
          <w:lang w:val="en-US" w:eastAsia="zh-CN"/>
        </w:rPr>
        <w:t>养护</w:t>
      </w:r>
      <w:r>
        <w:rPr>
          <w:rFonts w:hint="eastAsia" w:ascii="宋体" w:hAnsi="宋体" w:eastAsia="宋体" w:cs="宋体"/>
          <w:b/>
          <w:color w:val="auto"/>
          <w:sz w:val="22"/>
          <w:szCs w:val="22"/>
          <w:highlight w:val="none"/>
        </w:rPr>
        <w:t>服务基本概况：</w:t>
      </w:r>
    </w:p>
    <w:p w14:paraId="69D1E856">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 养护内容：</w:t>
      </w:r>
      <w:r>
        <w:rPr>
          <w:rFonts w:hint="eastAsia" w:ascii="宋体" w:hAnsi="宋体" w:eastAsia="宋体" w:cs="宋体"/>
          <w:color w:val="auto"/>
          <w:sz w:val="22"/>
          <w:szCs w:val="22"/>
          <w:highlight w:val="none"/>
          <w:lang w:eastAsia="zh-CN"/>
        </w:rPr>
        <w:t>温州市第七人民医院</w:t>
      </w:r>
      <w:r>
        <w:rPr>
          <w:rFonts w:hint="eastAsia" w:ascii="宋体" w:hAnsi="宋体" w:eastAsia="宋体" w:cs="宋体"/>
          <w:color w:val="auto"/>
          <w:sz w:val="22"/>
          <w:szCs w:val="22"/>
          <w:highlight w:val="none"/>
          <w:lang w:val="en-US" w:eastAsia="zh-CN"/>
        </w:rPr>
        <w:t>（其中潘桥院区绿地养护（含一期和二期绿地养护）：15049.84</w:t>
      </w:r>
      <w:r>
        <w:rPr>
          <w:rFonts w:hint="eastAsia"/>
          <w:color w:val="auto"/>
          <w:highlight w:val="none"/>
        </w:rPr>
        <w:t>㎡</w:t>
      </w:r>
      <w:r>
        <w:rPr>
          <w:rFonts w:hint="eastAsia"/>
          <w:color w:val="auto"/>
          <w:highlight w:val="none"/>
          <w:lang w:eastAsia="zh-CN"/>
        </w:rPr>
        <w:t>；潘桥院区大门口时花种植：</w:t>
      </w:r>
      <w:r>
        <w:rPr>
          <w:rFonts w:hint="eastAsia"/>
          <w:color w:val="auto"/>
          <w:highlight w:val="none"/>
          <w:lang w:val="en-US" w:eastAsia="zh-CN"/>
        </w:rPr>
        <w:t>50</w:t>
      </w:r>
      <w:r>
        <w:rPr>
          <w:rFonts w:hint="eastAsia"/>
          <w:color w:val="auto"/>
          <w:highlight w:val="none"/>
        </w:rPr>
        <w:t>㎡</w:t>
      </w:r>
      <w:r>
        <w:rPr>
          <w:rFonts w:hint="eastAsia"/>
          <w:color w:val="auto"/>
          <w:highlight w:val="none"/>
          <w:lang w:eastAsia="zh-CN"/>
        </w:rPr>
        <w:t>；西山院区绿地养护：1900</w:t>
      </w:r>
      <w:r>
        <w:rPr>
          <w:rFonts w:hint="eastAsia"/>
          <w:color w:val="auto"/>
          <w:highlight w:val="none"/>
        </w:rPr>
        <w:t>㎡</w:t>
      </w:r>
      <w:r>
        <w:rPr>
          <w:rFonts w:hint="eastAsia"/>
          <w:color w:val="auto"/>
          <w:highlight w:val="none"/>
          <w:lang w:eastAsia="zh-CN"/>
        </w:rPr>
        <w:t>；白楼下港务院区绿地养护：3800</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潘桥院区边坡、后山道路旁打除草剂,清理藤蔓：每年不少于5次；潘桥院区果树浇水、除草、施肥，杀虫等养护及潘桥院区固定绿化工人</w:t>
      </w:r>
      <w:r>
        <w:rPr>
          <w:rFonts w:hint="eastAsia" w:ascii="宋体" w:hAnsi="宋体" w:eastAsia="宋体" w:cs="宋体"/>
          <w:color w:val="auto"/>
          <w:sz w:val="22"/>
          <w:szCs w:val="22"/>
          <w:highlight w:val="none"/>
          <w:lang w:val="en-US" w:eastAsia="zh-CN"/>
        </w:rPr>
        <w:t>），含草坪、灌木、乔木、垂直绿化的养护以及护栏、树牌、警示牌等附属设施的维护。</w:t>
      </w:r>
    </w:p>
    <w:p w14:paraId="531C0054">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绿化养护管理质量要求：绿地植物根据</w:t>
      </w:r>
      <w:r>
        <w:rPr>
          <w:rFonts w:hint="eastAsia" w:ascii="宋体" w:hAnsi="宋体" w:eastAsia="宋体" w:cs="宋体"/>
          <w:color w:val="auto"/>
          <w:sz w:val="22"/>
          <w:szCs w:val="22"/>
          <w:highlight w:val="none"/>
          <w:lang w:val="en-US" w:eastAsia="zh-CN"/>
        </w:rPr>
        <w:t>相关标准</w:t>
      </w:r>
      <w:r>
        <w:rPr>
          <w:rFonts w:hint="eastAsia" w:ascii="宋体" w:hAnsi="宋体" w:eastAsia="宋体" w:cs="宋体"/>
          <w:color w:val="auto"/>
          <w:sz w:val="22"/>
          <w:szCs w:val="22"/>
          <w:highlight w:val="none"/>
        </w:rPr>
        <w:t>进行养护，所属设施设备的保养和清卫保洁按招标文件要求和监管条例相关要求。</w:t>
      </w:r>
    </w:p>
    <w:p w14:paraId="645ABBE4">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乙方在技术资信标中明确的服务内容、管理措施、岗位责任制和服务流程、服务管理质量目标、控制及检验手段作为考核办法的补充考核依据，乙方必须严格落实。</w:t>
      </w:r>
    </w:p>
    <w:p w14:paraId="6BCD3AC3">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乙方技术标中约定的拟</w:t>
      </w:r>
      <w:r>
        <w:rPr>
          <w:rFonts w:hint="eastAsia" w:ascii="宋体" w:hAnsi="宋体" w:eastAsia="宋体" w:cs="宋体"/>
          <w:color w:val="auto"/>
          <w:sz w:val="22"/>
          <w:szCs w:val="22"/>
          <w:highlight w:val="none"/>
          <w:lang w:val="en-US" w:eastAsia="zh-CN"/>
        </w:rPr>
        <w:t>派</w:t>
      </w:r>
      <w:r>
        <w:rPr>
          <w:rFonts w:hint="eastAsia" w:ascii="宋体" w:hAnsi="宋体" w:eastAsia="宋体" w:cs="宋体"/>
          <w:color w:val="auto"/>
          <w:sz w:val="22"/>
          <w:szCs w:val="22"/>
          <w:highlight w:val="none"/>
        </w:rPr>
        <w:t>项目管理人员和其他人员、项目部及其他人员的考核激励办法和稳定人员、提升人员素质的具体措施应严格履行、落实到位，否则甲方可单方面采取相应措施予以落实。</w:t>
      </w:r>
    </w:p>
    <w:p w14:paraId="08720837">
      <w:pPr>
        <w:pStyle w:val="26"/>
        <w:keepNext w:val="0"/>
        <w:keepLines w:val="0"/>
        <w:pageBreakBefore w:val="0"/>
        <w:kinsoku/>
        <w:wordWrap/>
        <w:topLinePunct w:val="0"/>
        <w:bidi w:val="0"/>
        <w:snapToGrid w:val="0"/>
        <w:spacing w:line="440" w:lineRule="exact"/>
        <w:ind w:left="221" w:leftChars="-52" w:hanging="330" w:hangingChars="150"/>
        <w:rPr>
          <w:rFonts w:hint="eastAsia" w:ascii="新宋体" w:hAnsi="新宋体" w:eastAsia="新宋体" w:cs="新宋体"/>
          <w:color w:val="auto"/>
          <w:sz w:val="22"/>
          <w:szCs w:val="22"/>
          <w:highlight w:val="none"/>
        </w:rPr>
      </w:pPr>
      <w:r>
        <w:rPr>
          <w:rFonts w:hint="eastAsia" w:hAnsi="宋体" w:cs="宋体"/>
          <w:color w:val="auto"/>
          <w:sz w:val="22"/>
          <w:szCs w:val="22"/>
          <w:highlight w:val="none"/>
          <w:lang w:val="en-US" w:eastAsia="zh-CN"/>
        </w:rPr>
        <w:t xml:space="preserve">5. </w:t>
      </w:r>
      <w:r>
        <w:rPr>
          <w:rFonts w:hint="eastAsia" w:ascii="新宋体" w:hAnsi="新宋体" w:eastAsia="新宋体" w:cs="新宋体"/>
          <w:color w:val="auto"/>
          <w:sz w:val="22"/>
          <w:szCs w:val="22"/>
          <w:highlight w:val="none"/>
        </w:rPr>
        <w:t>本项目分为室外已有绿化养护</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要求在养护</w:t>
      </w:r>
      <w:r>
        <w:rPr>
          <w:rFonts w:hint="eastAsia" w:ascii="新宋体" w:hAnsi="新宋体" w:eastAsia="新宋体" w:cs="新宋体"/>
          <w:color w:val="auto"/>
          <w:sz w:val="22"/>
          <w:szCs w:val="22"/>
          <w:highlight w:val="none"/>
          <w:lang w:eastAsia="zh-CN"/>
        </w:rPr>
        <w:t>期</w:t>
      </w:r>
      <w:r>
        <w:rPr>
          <w:rFonts w:hint="eastAsia" w:ascii="新宋体" w:hAnsi="新宋体" w:eastAsia="新宋体" w:cs="新宋体"/>
          <w:color w:val="auto"/>
          <w:sz w:val="22"/>
          <w:szCs w:val="22"/>
          <w:highlight w:val="none"/>
        </w:rPr>
        <w:t>植物包活(时花除外)，即出现植物死亡/枯叶超过1/3时服务商免费更换同等价值或以上的植物。</w:t>
      </w:r>
    </w:p>
    <w:p w14:paraId="27C6ED89">
      <w:pPr>
        <w:pStyle w:val="26"/>
        <w:keepNext w:val="0"/>
        <w:keepLines w:val="0"/>
        <w:pageBreakBefore w:val="0"/>
        <w:kinsoku/>
        <w:wordWrap/>
        <w:topLinePunct w:val="0"/>
        <w:bidi w:val="0"/>
        <w:snapToGrid w:val="0"/>
        <w:spacing w:line="440" w:lineRule="exact"/>
        <w:ind w:left="221" w:leftChars="-52" w:hanging="330" w:hanging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 xml:space="preserve">6. </w:t>
      </w:r>
      <w:r>
        <w:rPr>
          <w:rFonts w:hint="eastAsia" w:ascii="新宋体" w:hAnsi="新宋体" w:eastAsia="新宋体" w:cs="新宋体"/>
          <w:color w:val="auto"/>
          <w:sz w:val="22"/>
          <w:szCs w:val="22"/>
          <w:highlight w:val="none"/>
        </w:rPr>
        <w:t>时花补种需按照医院要求的时间、标准执行，</w:t>
      </w:r>
      <w:r>
        <w:rPr>
          <w:rFonts w:hint="eastAsia" w:ascii="新宋体" w:hAnsi="新宋体" w:eastAsia="新宋体" w:cs="新宋体"/>
          <w:color w:val="auto"/>
          <w:sz w:val="22"/>
          <w:szCs w:val="22"/>
          <w:highlight w:val="none"/>
          <w:lang w:eastAsia="zh-CN"/>
        </w:rPr>
        <w:t>每年补种</w:t>
      </w:r>
      <w:r>
        <w:rPr>
          <w:rFonts w:hint="eastAsia" w:ascii="新宋体" w:hAnsi="新宋体" w:eastAsia="新宋体" w:cs="新宋体"/>
          <w:color w:val="auto"/>
          <w:sz w:val="22"/>
          <w:szCs w:val="22"/>
          <w:highlight w:val="none"/>
          <w:lang w:val="en-US" w:eastAsia="zh-CN"/>
        </w:rPr>
        <w:t>4次，</w:t>
      </w:r>
      <w:r>
        <w:rPr>
          <w:rFonts w:hint="eastAsia" w:ascii="新宋体" w:hAnsi="新宋体" w:eastAsia="新宋体" w:cs="新宋体"/>
          <w:color w:val="auto"/>
          <w:sz w:val="22"/>
          <w:szCs w:val="22"/>
          <w:highlight w:val="none"/>
        </w:rPr>
        <w:t>时花的包活期不得低于2个月。</w:t>
      </w:r>
    </w:p>
    <w:p w14:paraId="3A5A4ED0">
      <w:pPr>
        <w:pStyle w:val="26"/>
        <w:keepNext w:val="0"/>
        <w:keepLines w:val="0"/>
        <w:pageBreakBefore w:val="0"/>
        <w:kinsoku/>
        <w:wordWrap/>
        <w:topLinePunct w:val="0"/>
        <w:bidi w:val="0"/>
        <w:snapToGrid w:val="0"/>
        <w:spacing w:line="440" w:lineRule="exact"/>
        <w:ind w:left="221" w:leftChars="-52" w:hanging="330" w:hanging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 xml:space="preserve">7. </w:t>
      </w:r>
      <w:r>
        <w:rPr>
          <w:rFonts w:hint="eastAsia" w:ascii="新宋体" w:hAnsi="新宋体" w:eastAsia="新宋体" w:cs="新宋体"/>
          <w:color w:val="auto"/>
          <w:sz w:val="22"/>
          <w:szCs w:val="22"/>
          <w:highlight w:val="none"/>
        </w:rPr>
        <w:t>树木管理服务</w:t>
      </w:r>
    </w:p>
    <w:p w14:paraId="6267632B">
      <w:pPr>
        <w:keepNext w:val="0"/>
        <w:keepLines w:val="0"/>
        <w:pageBreakBefore w:val="0"/>
        <w:numPr>
          <w:ilvl w:val="0"/>
          <w:numId w:val="2"/>
        </w:numPr>
        <w:tabs>
          <w:tab w:val="left" w:pos="0"/>
        </w:tabs>
        <w:kinsoku/>
        <w:wordWrap/>
        <w:overflowPunct/>
        <w:topLinePunct w:val="0"/>
        <w:bidi w:val="0"/>
        <w:adjustRightInd w:val="0"/>
        <w:snapToGrid w:val="0"/>
        <w:spacing w:line="460" w:lineRule="exact"/>
        <w:ind w:left="0"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树木挂牌，给每棵树标明树种等相关内容。</w:t>
      </w:r>
    </w:p>
    <w:p w14:paraId="0EE6415E">
      <w:pPr>
        <w:keepNext w:val="0"/>
        <w:keepLines w:val="0"/>
        <w:pageBreakBefore w:val="0"/>
        <w:numPr>
          <w:ilvl w:val="0"/>
          <w:numId w:val="2"/>
        </w:numPr>
        <w:tabs>
          <w:tab w:val="left" w:pos="0"/>
        </w:tabs>
        <w:kinsoku/>
        <w:wordWrap/>
        <w:overflowPunct/>
        <w:topLinePunct w:val="0"/>
        <w:bidi w:val="0"/>
        <w:adjustRightInd w:val="0"/>
        <w:snapToGrid w:val="0"/>
        <w:spacing w:line="460" w:lineRule="exact"/>
        <w:ind w:left="0" w:firstLine="440" w:firstLineChars="200"/>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按园林绿化养护管理级标准的要求进行修剪、移植、喷淋、施肥、杀虫、补种、除杂草和防台风处理等。</w:t>
      </w:r>
    </w:p>
    <w:p w14:paraId="2713812A">
      <w:pPr>
        <w:pStyle w:val="26"/>
        <w:keepNext w:val="0"/>
        <w:keepLines w:val="0"/>
        <w:pageBreakBefore w:val="0"/>
        <w:kinsoku/>
        <w:wordWrap/>
        <w:topLinePunct w:val="0"/>
        <w:bidi w:val="0"/>
        <w:snapToGrid w:val="0"/>
        <w:spacing w:line="44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二、服务地点、服务期限</w:t>
      </w:r>
    </w:p>
    <w:p w14:paraId="4CE23B8E">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服务地点：</w:t>
      </w:r>
      <w:r>
        <w:rPr>
          <w:rFonts w:hint="eastAsia" w:ascii="宋体" w:hAnsi="宋体" w:eastAsia="宋体" w:cs="宋体"/>
          <w:color w:val="auto"/>
          <w:sz w:val="22"/>
          <w:szCs w:val="22"/>
          <w:highlight w:val="none"/>
          <w:lang w:eastAsia="zh-CN"/>
        </w:rPr>
        <w:t>温州市第七人民医院潘桥院区、西山院区、白楼下港务院区</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rPr>
        <w:t>。</w:t>
      </w:r>
    </w:p>
    <w:p w14:paraId="355DCC31">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服务期限：本项目服务期为</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年，自202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日起至202</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日止</w:t>
      </w:r>
      <w:r>
        <w:rPr>
          <w:rFonts w:hint="eastAsia" w:ascii="宋体" w:hAnsi="宋体" w:eastAsia="宋体" w:cs="宋体"/>
          <w:color w:val="auto"/>
          <w:sz w:val="22"/>
          <w:szCs w:val="22"/>
          <w:highlight w:val="none"/>
          <w:lang w:eastAsia="zh-CN"/>
        </w:rPr>
        <w:t>。</w:t>
      </w:r>
    </w:p>
    <w:p w14:paraId="6E329B67">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3.</w:t>
      </w:r>
      <w:r>
        <w:rPr>
          <w:rFonts w:hint="eastAsia"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养护项目负责人：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 xml:space="preserve"> 。</w:t>
      </w:r>
    </w:p>
    <w:p w14:paraId="2A2087DC">
      <w:pPr>
        <w:pStyle w:val="26"/>
        <w:keepNext w:val="0"/>
        <w:keepLines w:val="0"/>
        <w:pageBreakBefore w:val="0"/>
        <w:kinsoku/>
        <w:wordWrap/>
        <w:topLinePunct w:val="0"/>
        <w:bidi w:val="0"/>
        <w:snapToGrid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lang w:eastAsia="zh-CN"/>
        </w:rPr>
        <w:t>三、</w:t>
      </w:r>
      <w:r>
        <w:rPr>
          <w:rFonts w:hint="eastAsia" w:ascii="宋体" w:hAnsi="宋体" w:eastAsia="宋体" w:cs="宋体"/>
          <w:b/>
          <w:color w:val="auto"/>
          <w:sz w:val="22"/>
          <w:szCs w:val="22"/>
          <w:highlight w:val="none"/>
        </w:rPr>
        <w:t>付款方式</w:t>
      </w:r>
    </w:p>
    <w:p w14:paraId="17CA9A64">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合同价款：合同总金额：人民币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val="en-US" w:eastAsia="zh-CN"/>
        </w:rPr>
        <w:t>包括</w:t>
      </w:r>
      <w:r>
        <w:rPr>
          <w:rFonts w:ascii="新宋体" w:hAnsi="新宋体" w:eastAsia="新宋体"/>
          <w:b/>
          <w:color w:val="auto"/>
          <w:sz w:val="22"/>
          <w:szCs w:val="22"/>
          <w:highlight w:val="none"/>
          <w:u w:val="single"/>
        </w:rPr>
        <w:t>在承包区域内提供</w:t>
      </w:r>
      <w:r>
        <w:rPr>
          <w:rFonts w:hint="eastAsia" w:ascii="新宋体" w:hAnsi="新宋体" w:eastAsia="新宋体"/>
          <w:b/>
          <w:color w:val="auto"/>
          <w:sz w:val="22"/>
          <w:szCs w:val="22"/>
          <w:highlight w:val="none"/>
          <w:u w:val="single"/>
        </w:rPr>
        <w:t>绿化养护服务所需的养护人员的工作餐费补助、住宿补贴、五险一金、服装费，交通补贴、节假日补贴、教育培训费、暂住费及处理一切伤亡事故等，以及绿化养护工具、材料（肥料和农药）和冬季树木保暖、旱季补水、台风季节等特殊情况下的材料及</w:t>
      </w:r>
      <w:r>
        <w:rPr>
          <w:rFonts w:hint="eastAsia" w:ascii="新宋体" w:hAnsi="新宋体" w:eastAsia="新宋体"/>
          <w:b/>
          <w:color w:val="auto"/>
          <w:sz w:val="22"/>
          <w:szCs w:val="22"/>
          <w:highlight w:val="none"/>
          <w:u w:val="single"/>
          <w:lang w:val="en-US" w:eastAsia="zh-CN"/>
        </w:rPr>
        <w:t>绿化垃圾</w:t>
      </w:r>
      <w:r>
        <w:rPr>
          <w:rFonts w:hint="eastAsia" w:ascii="新宋体" w:hAnsi="新宋体" w:eastAsia="新宋体"/>
          <w:b/>
          <w:color w:val="auto"/>
          <w:sz w:val="22"/>
          <w:szCs w:val="22"/>
          <w:highlight w:val="none"/>
          <w:u w:val="single"/>
        </w:rPr>
        <w:t>清理、设备设施（如喷水、修剪、锄草、治虫等必要机械）、企业应缴税金和应得利润、突发应急及上级布置的专项任务、物价因素、采购代理服务费等完成合同所需的一切本身和不可或缺的所有工作开支、政策性文件规定及合同包含的所有风险、责任等各项全部费用并承担一切风险责任</w:t>
      </w:r>
      <w:r>
        <w:rPr>
          <w:rFonts w:hint="eastAsia" w:ascii="宋体" w:hAnsi="宋体" w:eastAsia="宋体" w:cs="宋体"/>
          <w:color w:val="auto"/>
          <w:sz w:val="22"/>
          <w:szCs w:val="22"/>
          <w:highlight w:val="none"/>
        </w:rPr>
        <w:t>。</w:t>
      </w:r>
    </w:p>
    <w:p w14:paraId="3557D2E6">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付款方式：</w:t>
      </w:r>
    </w:p>
    <w:p w14:paraId="15B45268">
      <w:pPr>
        <w:pStyle w:val="26"/>
        <w:keepNext w:val="0"/>
        <w:keepLines w:val="0"/>
        <w:pageBreakBefore w:val="0"/>
        <w:widowControl/>
        <w:kinsoku/>
        <w:wordWrap/>
        <w:overflowPunct w:val="0"/>
        <w:topLinePunct w:val="0"/>
        <w:autoSpaceDE w:val="0"/>
        <w:autoSpaceDN w:val="0"/>
        <w:bidi w:val="0"/>
        <w:adjustRightInd w:val="0"/>
        <w:snapToGrid w:val="0"/>
        <w:spacing w:line="440" w:lineRule="exact"/>
        <w:ind w:left="437" w:leftChars="208" w:firstLine="0" w:firstLineChars="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甲方在合同签订并收到乙方开具的正式发票后</w:t>
      </w:r>
      <w:r>
        <w:rPr>
          <w:rFonts w:hint="eastAsia"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个工作日内</w:t>
      </w:r>
      <w:r>
        <w:rPr>
          <w:rFonts w:hint="eastAsia" w:hAnsi="宋体" w:cs="宋体"/>
          <w:color w:val="auto"/>
          <w:sz w:val="22"/>
          <w:szCs w:val="22"/>
          <w:highlight w:val="none"/>
          <w:lang w:val="en-US" w:eastAsia="zh-CN"/>
        </w:rPr>
        <w:t>支付，</w:t>
      </w:r>
      <w:r>
        <w:rPr>
          <w:rFonts w:hint="eastAsia" w:ascii="宋体" w:hAnsi="宋体" w:eastAsia="宋体" w:cs="宋体"/>
          <w:color w:val="auto"/>
          <w:sz w:val="22"/>
          <w:szCs w:val="22"/>
          <w:highlight w:val="none"/>
        </w:rPr>
        <w:t>根据先提供服务后支付原则，按合同定期与</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八</w:t>
      </w:r>
      <w:r>
        <w:rPr>
          <w:rFonts w:hint="eastAsia" w:ascii="宋体" w:hAnsi="宋体" w:eastAsia="宋体" w:cs="宋体"/>
          <w:color w:val="auto"/>
          <w:sz w:val="22"/>
          <w:szCs w:val="22"/>
          <w:highlight w:val="none"/>
        </w:rPr>
        <w:t>次结算费用（结算前</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需向</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提供正式税务发票）。每三个月结算一次，付款时间为每三个月后</w:t>
      </w:r>
      <w:r>
        <w:rPr>
          <w:rFonts w:hint="eastAsia" w:hAnsi="宋体" w:cs="宋体"/>
          <w:color w:val="auto"/>
          <w:sz w:val="22"/>
          <w:szCs w:val="22"/>
          <w:highlight w:val="none"/>
          <w:lang w:val="en-US" w:eastAsia="zh-CN"/>
        </w:rPr>
        <w:t>15</w:t>
      </w:r>
      <w:r>
        <w:rPr>
          <w:rFonts w:hint="eastAsia" w:ascii="宋体" w:hAnsi="宋体" w:eastAsia="宋体" w:cs="宋体"/>
          <w:color w:val="auto"/>
          <w:sz w:val="22"/>
          <w:szCs w:val="22"/>
          <w:highlight w:val="none"/>
        </w:rPr>
        <w:t>个</w:t>
      </w:r>
      <w:r>
        <w:rPr>
          <w:rFonts w:hint="eastAsia" w:ascii="宋体" w:hAnsi="宋体" w:eastAsia="宋体" w:cs="宋体"/>
          <w:color w:val="auto"/>
          <w:sz w:val="22"/>
          <w:szCs w:val="22"/>
          <w:highlight w:val="none"/>
          <w:lang w:eastAsia="zh-CN"/>
        </w:rPr>
        <w:t>工作日</w:t>
      </w:r>
      <w:r>
        <w:rPr>
          <w:rFonts w:hint="eastAsia" w:ascii="宋体" w:hAnsi="宋体" w:eastAsia="宋体" w:cs="宋体"/>
          <w:color w:val="auto"/>
          <w:sz w:val="22"/>
          <w:szCs w:val="22"/>
          <w:highlight w:val="none"/>
        </w:rPr>
        <w:t>内付款。</w:t>
      </w:r>
    </w:p>
    <w:p w14:paraId="4B127D7C">
      <w:pPr>
        <w:keepNext w:val="0"/>
        <w:keepLines w:val="0"/>
        <w:pageBreakBefore w:val="0"/>
        <w:tabs>
          <w:tab w:val="left" w:pos="840"/>
        </w:tabs>
        <w:kinsoku/>
        <w:wordWrap/>
        <w:topLinePunct w:val="0"/>
        <w:bidi w:val="0"/>
        <w:spacing w:line="440" w:lineRule="exac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lang w:val="zh-CN" w:eastAsia="zh-CN" w:bidi="ar-SA"/>
        </w:rPr>
        <w:t>责任与义务</w:t>
      </w:r>
    </w:p>
    <w:p w14:paraId="749BEAEE">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（一）甲方职责：</w:t>
      </w:r>
    </w:p>
    <w:p w14:paraId="3F6B4675">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val="zh-CN"/>
        </w:rPr>
        <w:t>按本合同约定的时间和要求，按期支付绿化养护作业</w:t>
      </w:r>
      <w:r>
        <w:rPr>
          <w:rFonts w:hint="eastAsia" w:hAnsi="宋体" w:cs="宋体"/>
          <w:color w:val="auto"/>
          <w:sz w:val="22"/>
          <w:szCs w:val="22"/>
          <w:highlight w:val="none"/>
          <w:lang w:val="zh-CN"/>
        </w:rPr>
        <w:t>合同</w:t>
      </w:r>
      <w:r>
        <w:rPr>
          <w:rFonts w:hint="eastAsia" w:ascii="宋体" w:hAnsi="宋体" w:eastAsia="宋体" w:cs="宋体"/>
          <w:color w:val="auto"/>
          <w:sz w:val="22"/>
          <w:szCs w:val="22"/>
          <w:highlight w:val="none"/>
          <w:lang w:val="zh-CN"/>
        </w:rPr>
        <w:t>款。</w:t>
      </w:r>
    </w:p>
    <w:p w14:paraId="1F64BA2B">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val="zh-CN"/>
        </w:rPr>
        <w:t>根据甲方绿化养护要求及乙方投标文件中的承诺，对乙方提供的服务及履行本合同情况进行指导、检查，考评。</w:t>
      </w:r>
    </w:p>
    <w:p w14:paraId="4D86B846">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甲方监督检查乙方落实安全生产措施（包括防台、高空作业、防火等）</w:t>
      </w:r>
      <w:r>
        <w:rPr>
          <w:rFonts w:hint="eastAsia" w:ascii="宋体" w:hAnsi="宋体" w:eastAsia="宋体" w:cs="宋体"/>
          <w:color w:val="auto"/>
          <w:sz w:val="22"/>
          <w:szCs w:val="22"/>
          <w:highlight w:val="none"/>
          <w:lang w:val="zh-CN"/>
        </w:rPr>
        <w:t>。</w:t>
      </w:r>
    </w:p>
    <w:p w14:paraId="248BA762">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val="zh-CN"/>
        </w:rPr>
        <w:t>甲方有权随时对人员和设备、工器具的到位情况进行督查，乙方应指派项目经理进行配合。</w:t>
      </w:r>
    </w:p>
    <w:p w14:paraId="7454C1AC">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val="zh-CN"/>
        </w:rPr>
        <w:t>乙方项目经理或工作人员不符合要求，甲方有权要求更换。</w:t>
      </w:r>
    </w:p>
    <w:p w14:paraId="28403F6D">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lang w:val="zh-CN"/>
        </w:rPr>
        <w:t>乙方职责：</w:t>
      </w:r>
    </w:p>
    <w:p w14:paraId="65C5B3BD">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乙方必须为本项目承包区域内绿化养护工作配备足够的绿化养护人员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项目经理变更需征得甲方同意,</w:t>
      </w:r>
      <w:r>
        <w:rPr>
          <w:rFonts w:hint="eastAsia" w:ascii="宋体" w:hAnsi="宋体" w:eastAsia="宋体" w:cs="宋体"/>
          <w:color w:val="auto"/>
          <w:sz w:val="22"/>
          <w:szCs w:val="22"/>
          <w:highlight w:val="none"/>
          <w:lang w:eastAsia="zh-Hans"/>
        </w:rPr>
        <w:t>如乙方擅自变更项目经理，需要承担违约责任</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乙方在养护期内须提供一名潘桥院区固定绿化工人。</w:t>
      </w:r>
    </w:p>
    <w:p w14:paraId="1C97524E">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乙方须为员工办理劳动保险等手续，提供工作服等必要劳保用品，工作人员工作时间须统一着装。</w:t>
      </w:r>
    </w:p>
    <w:p w14:paraId="55B2FCBB">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乙方承担其工作人员的住宿、工资、酬金、社保费以及员工教育培训，如发生纠纷或人身安全、生产安全等事故，所有责任由乙方承担。</w:t>
      </w:r>
    </w:p>
    <w:p w14:paraId="3071C9FD">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乙方须自觉服从</w:t>
      </w:r>
      <w:r>
        <w:rPr>
          <w:rFonts w:hint="eastAsia" w:ascii="宋体" w:hAnsi="宋体" w:eastAsia="宋体" w:cs="宋体"/>
          <w:color w:val="auto"/>
          <w:sz w:val="22"/>
          <w:szCs w:val="22"/>
          <w:highlight w:val="none"/>
          <w:lang w:eastAsia="zh-CN"/>
        </w:rPr>
        <w:t>医院</w:t>
      </w:r>
      <w:r>
        <w:rPr>
          <w:rFonts w:hint="eastAsia" w:ascii="宋体" w:hAnsi="宋体" w:eastAsia="宋体" w:cs="宋体"/>
          <w:color w:val="auto"/>
          <w:sz w:val="22"/>
          <w:szCs w:val="22"/>
          <w:highlight w:val="none"/>
        </w:rPr>
        <w:t>的管理，遵守</w:t>
      </w:r>
      <w:r>
        <w:rPr>
          <w:rFonts w:hint="eastAsia" w:ascii="宋体" w:hAnsi="宋体" w:eastAsia="宋体" w:cs="宋体"/>
          <w:color w:val="auto"/>
          <w:sz w:val="22"/>
          <w:szCs w:val="22"/>
          <w:highlight w:val="none"/>
          <w:lang w:eastAsia="zh-CN"/>
        </w:rPr>
        <w:t>医院</w:t>
      </w:r>
      <w:r>
        <w:rPr>
          <w:rFonts w:hint="eastAsia" w:ascii="宋体" w:hAnsi="宋体" w:eastAsia="宋体" w:cs="宋体"/>
          <w:color w:val="auto"/>
          <w:sz w:val="22"/>
          <w:szCs w:val="22"/>
          <w:highlight w:val="none"/>
        </w:rPr>
        <w:t>的各项规章制度，合理安排绿化养护时间，不得干扰正常的</w:t>
      </w:r>
      <w:r>
        <w:rPr>
          <w:rFonts w:hint="eastAsia" w:ascii="宋体" w:hAnsi="宋体" w:eastAsia="宋体" w:cs="宋体"/>
          <w:color w:val="auto"/>
          <w:sz w:val="22"/>
          <w:szCs w:val="22"/>
          <w:highlight w:val="none"/>
          <w:lang w:val="en-US" w:eastAsia="zh-CN"/>
        </w:rPr>
        <w:t>医院管理</w:t>
      </w:r>
      <w:r>
        <w:rPr>
          <w:rFonts w:hint="eastAsia" w:ascii="宋体" w:hAnsi="宋体" w:eastAsia="宋体" w:cs="宋体"/>
          <w:color w:val="auto"/>
          <w:sz w:val="22"/>
          <w:szCs w:val="22"/>
          <w:highlight w:val="none"/>
        </w:rPr>
        <w:t>秩序。</w:t>
      </w:r>
    </w:p>
    <w:p w14:paraId="760C9FD7">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乙方每月</w:t>
      </w:r>
      <w:r>
        <w:rPr>
          <w:rFonts w:hint="eastAsia" w:ascii="宋体" w:hAnsi="宋体" w:eastAsia="宋体" w:cs="宋体"/>
          <w:color w:val="auto"/>
          <w:sz w:val="22"/>
          <w:szCs w:val="22"/>
          <w:highlight w:val="none"/>
          <w:lang w:eastAsia="zh-CN"/>
        </w:rPr>
        <w:t>5日</w:t>
      </w:r>
      <w:r>
        <w:rPr>
          <w:rFonts w:hint="eastAsia" w:ascii="宋体" w:hAnsi="宋体" w:eastAsia="宋体" w:cs="宋体"/>
          <w:color w:val="auto"/>
          <w:sz w:val="22"/>
          <w:szCs w:val="22"/>
          <w:highlight w:val="none"/>
        </w:rPr>
        <w:t>向甲方上报养护计划及上月的养护总结。包括详细的时间段，养护内容、养护耗材、养护指标、人员安排等；施肥、喷洒杀虫剂时须提前通知甲方，方便甲方现场核验数量、质量。</w:t>
      </w:r>
    </w:p>
    <w:p w14:paraId="537C4FF4">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乙方必须确保招标文件中承诺的设备、工器具按时到位。</w:t>
      </w:r>
    </w:p>
    <w:p w14:paraId="6C3485F7">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如因甲方景观改造种植树木或苗木生长需要移植、挖除、栽种新品种的</w:t>
      </w:r>
      <w:r>
        <w:rPr>
          <w:rFonts w:hint="eastAsia" w:ascii="宋体" w:hAnsi="宋体" w:eastAsia="宋体" w:cs="宋体"/>
          <w:color w:val="auto"/>
          <w:sz w:val="22"/>
          <w:szCs w:val="22"/>
          <w:highlight w:val="none"/>
          <w:lang w:eastAsia="zh-Hans"/>
        </w:rPr>
        <w:t>，且移植、挖除、栽种新品种的行为经甲方书面同意的</w:t>
      </w:r>
      <w:r>
        <w:rPr>
          <w:rFonts w:hint="eastAsia" w:ascii="宋体" w:hAnsi="宋体" w:eastAsia="宋体" w:cs="宋体"/>
          <w:color w:val="auto"/>
          <w:sz w:val="22"/>
          <w:szCs w:val="22"/>
          <w:highlight w:val="none"/>
        </w:rPr>
        <w:t>，费用按实结算。</w:t>
      </w:r>
    </w:p>
    <w:p w14:paraId="08F9351A">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如遇甲方需要播种草籽、花籽，更换花箱等，人工及养护费用不再另算。</w:t>
      </w:r>
    </w:p>
    <w:p w14:paraId="2EBCDD26">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对于易被踩踏的绿地及绿篱，乙方应采取必要的保护措施，如因乙方保护不当，绿地及绿篱被踩死，乙方应负责补植同品种、同规格的草坪及绿篱。</w:t>
      </w:r>
    </w:p>
    <w:p w14:paraId="6352784E">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.乙方养护不力造成植物死亡的，负责适时补植同样品种和大小基本相符的植物。如造成贵重树木死亡，甲方有权要求按同规格品种补植并保活或按当前市场价赔偿。</w:t>
      </w:r>
    </w:p>
    <w:p w14:paraId="7EB5A59D">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.补植应根据分类树种的最佳种植时间进行，且不迟于移交前一个月。因甲方要求必须马上补植的，在甲方通知2天内补植完成。</w:t>
      </w:r>
    </w:p>
    <w:p w14:paraId="15AF4100">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遇院内水电零星工程施工，涉及部分乔木、灌木移栽时，乙方须无条件配合移栽种植并养护。</w:t>
      </w:r>
    </w:p>
    <w:p w14:paraId="66D853F5">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.乙方应爱护甲方的相关设施，如因乙方操作失误造成甲方水管、电路、消防栓等设备或其他设施损坏，需及时向甲方报告并尽快修复，产生费用及造成损失由乙方承担。</w:t>
      </w:r>
    </w:p>
    <w:p w14:paraId="19BF0CE6">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.甲方有重要活动、会议安排或者其他突发事件时，乙方必须无条件组织力量全面做好绿化养护工作，紧急情况随叫随到。</w:t>
      </w:r>
    </w:p>
    <w:p w14:paraId="68792E59">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.遇到灾害性气候，乙方应及时组织人员进行抗旱浇水、抗台护树、抗雪保树、抗寒保暖工作。因乙方保护措施不当造成的损失由乙方承担，如乙方工作到位，则损失由甲乙双方协商确定。</w:t>
      </w:r>
    </w:p>
    <w:p w14:paraId="46971702">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rPr>
        <w:t>.乙方负责落实安全防火和安全生产措施，及时消除安全隐患，如因乙方原因造成火灾、爆炸、农药中毒等严重事件，乙方需承担所有责任并赔偿甲方因此而遭受的全部损失。</w:t>
      </w:r>
    </w:p>
    <w:p w14:paraId="29CAB921">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rPr>
        <w:t>.乙方不得将本承包项目进行转包。</w:t>
      </w:r>
    </w:p>
    <w:p w14:paraId="6CCA8A9A">
      <w:pPr>
        <w:keepNext w:val="0"/>
        <w:keepLines w:val="0"/>
        <w:pageBreakBefore w:val="0"/>
        <w:tabs>
          <w:tab w:val="left" w:pos="840"/>
        </w:tabs>
        <w:kinsoku/>
        <w:wordWrap/>
        <w:topLinePunct w:val="0"/>
        <w:bidi w:val="0"/>
        <w:spacing w:line="440" w:lineRule="exac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六、养护的质量标准及监督检查</w:t>
      </w:r>
    </w:p>
    <w:p w14:paraId="369EBC94">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绿地养护标准按投标文件中所述、经甲方批准的绿化养护管理计划以及</w:t>
      </w:r>
      <w:r>
        <w:rPr>
          <w:rFonts w:hint="eastAsia" w:ascii="宋体" w:hAnsi="宋体" w:eastAsia="宋体" w:cs="宋体"/>
          <w:color w:val="auto"/>
          <w:sz w:val="22"/>
          <w:szCs w:val="22"/>
          <w:highlight w:val="none"/>
          <w:lang w:val="en-US" w:eastAsia="zh-CN"/>
        </w:rPr>
        <w:t>标准</w:t>
      </w:r>
      <w:r>
        <w:rPr>
          <w:rFonts w:hint="eastAsia" w:ascii="宋体" w:hAnsi="宋体" w:eastAsia="宋体" w:cs="宋体"/>
          <w:color w:val="auto"/>
          <w:sz w:val="22"/>
          <w:szCs w:val="22"/>
          <w:highlight w:val="none"/>
        </w:rPr>
        <w:t>认真做好承包范围内的养护工作。</w:t>
      </w:r>
    </w:p>
    <w:p w14:paraId="336192C2">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管理标准：</w:t>
      </w:r>
    </w:p>
    <w:p w14:paraId="284A2913">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及时清理绿化带、草坪内的石块、垃圾、杂草等，确保绿地内常年清洁；</w:t>
      </w:r>
    </w:p>
    <w:p w14:paraId="05A02982">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路边踩踏草地以及私自开垦绿化带，及时采取防护措施，如不采取措施由乙方补偿；</w:t>
      </w:r>
    </w:p>
    <w:p w14:paraId="14D30DCF">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草坪边缘与路面应及时切边，及时清除路面、建筑物缝隙内杂草；</w:t>
      </w:r>
    </w:p>
    <w:p w14:paraId="0B80D9AB">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应适时对树木的叶</w:t>
      </w:r>
      <w:r>
        <w:rPr>
          <w:rFonts w:hint="eastAsia" w:ascii="宋体" w:hAnsi="宋体" w:eastAsia="宋体" w:cs="宋体"/>
          <w:color w:val="auto"/>
          <w:sz w:val="22"/>
          <w:szCs w:val="22"/>
          <w:highlight w:val="none"/>
          <w:lang w:val="en-US" w:eastAsia="zh-CN"/>
        </w:rPr>
        <w:t>片</w:t>
      </w:r>
      <w:r>
        <w:rPr>
          <w:rFonts w:hint="eastAsia" w:ascii="宋体" w:hAnsi="宋体" w:eastAsia="宋体" w:cs="宋体"/>
          <w:color w:val="auto"/>
          <w:sz w:val="22"/>
          <w:szCs w:val="22"/>
          <w:highlight w:val="none"/>
        </w:rPr>
        <w:t>、园林设施进行清洗，平时没有积尘；</w:t>
      </w:r>
    </w:p>
    <w:p w14:paraId="2925A3F0">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定期设置、维护树牌、草坪提示牌等附属设施</w:t>
      </w:r>
      <w:r>
        <w:rPr>
          <w:rFonts w:hint="eastAsia" w:ascii="宋体" w:hAnsi="宋体" w:eastAsia="宋体" w:cs="宋体"/>
          <w:color w:val="auto"/>
          <w:sz w:val="22"/>
          <w:szCs w:val="22"/>
          <w:highlight w:val="none"/>
          <w:lang w:val="zh-CN"/>
        </w:rPr>
        <w:t>。</w:t>
      </w:r>
    </w:p>
    <w:p w14:paraId="01C36373">
      <w:pPr>
        <w:keepNext w:val="0"/>
        <w:keepLines w:val="0"/>
        <w:pageBreakBefore w:val="0"/>
        <w:numPr>
          <w:ilvl w:val="0"/>
          <w:numId w:val="0"/>
        </w:numPr>
        <w:tabs>
          <w:tab w:val="left" w:pos="0"/>
        </w:tabs>
        <w:kinsoku/>
        <w:wordWrap/>
        <w:overflowPunct/>
        <w:topLinePunct w:val="0"/>
        <w:bidi w:val="0"/>
        <w:adjustRightInd w:val="0"/>
        <w:snapToGrid w:val="0"/>
        <w:spacing w:line="460" w:lineRule="exact"/>
        <w:ind w:left="420" w:leftChars="0" w:hanging="420" w:firstLineChars="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kern w:val="2"/>
          <w:sz w:val="22"/>
          <w:szCs w:val="22"/>
          <w:highlight w:val="none"/>
          <w:lang w:val="en-US" w:eastAsia="zh-CN" w:bidi="ar-SA"/>
        </w:rPr>
        <w:t>3、</w:t>
      </w:r>
      <w:r>
        <w:rPr>
          <w:rFonts w:hint="eastAsia" w:ascii="新宋体" w:hAnsi="新宋体" w:eastAsia="新宋体" w:cs="新宋体"/>
          <w:b/>
          <w:bCs/>
          <w:color w:val="auto"/>
          <w:sz w:val="22"/>
          <w:szCs w:val="22"/>
          <w:highlight w:val="none"/>
        </w:rPr>
        <w:t>服务要求</w:t>
      </w:r>
    </w:p>
    <w:p w14:paraId="2D2E1AAC">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1.</w:t>
      </w:r>
      <w:r>
        <w:rPr>
          <w:rFonts w:hint="eastAsia" w:ascii="新宋体" w:hAnsi="新宋体" w:eastAsia="新宋体" w:cs="新宋体"/>
          <w:color w:val="auto"/>
          <w:kern w:val="2"/>
          <w:sz w:val="22"/>
          <w:szCs w:val="22"/>
          <w:highlight w:val="none"/>
          <w:lang w:val="en-US" w:eastAsia="zh-CN" w:bidi="ar-SA"/>
        </w:rPr>
        <w:t xml:space="preserve"> </w:t>
      </w:r>
      <w:r>
        <w:rPr>
          <w:rFonts w:hint="eastAsia" w:ascii="新宋体" w:hAnsi="新宋体" w:eastAsia="新宋体" w:cs="新宋体"/>
          <w:color w:val="auto"/>
          <w:sz w:val="22"/>
          <w:szCs w:val="22"/>
          <w:highlight w:val="none"/>
        </w:rPr>
        <w:t>绿化管理达到园林绿化养护管理一级标准以上。</w:t>
      </w:r>
    </w:p>
    <w:p w14:paraId="40FDFD82">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2.</w:t>
      </w:r>
      <w:r>
        <w:rPr>
          <w:rFonts w:hint="eastAsia" w:ascii="新宋体" w:hAnsi="新宋体" w:eastAsia="新宋体" w:cs="新宋体"/>
          <w:color w:val="auto"/>
          <w:kern w:val="2"/>
          <w:sz w:val="22"/>
          <w:szCs w:val="22"/>
          <w:highlight w:val="none"/>
          <w:lang w:val="en-US" w:eastAsia="zh-CN" w:bidi="ar-SA"/>
        </w:rPr>
        <w:t xml:space="preserve"> </w:t>
      </w:r>
      <w:r>
        <w:rPr>
          <w:rFonts w:hint="eastAsia" w:ascii="新宋体" w:hAnsi="新宋体" w:eastAsia="新宋体" w:cs="新宋体"/>
          <w:color w:val="auto"/>
          <w:sz w:val="22"/>
          <w:szCs w:val="22"/>
          <w:highlight w:val="none"/>
        </w:rPr>
        <w:t>确保树木100%的存活率，养护期间如养护对象非乙方原因造成的枯死，由甲方购买品种乙方免费补种，其他原因造成枯死的由乙方按原品种原直径补种。</w:t>
      </w:r>
    </w:p>
    <w:p w14:paraId="78F17152">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3.</w:t>
      </w:r>
      <w:r>
        <w:rPr>
          <w:rFonts w:hint="eastAsia" w:ascii="新宋体" w:hAnsi="新宋体" w:eastAsia="新宋体" w:cs="新宋体"/>
          <w:color w:val="auto"/>
          <w:kern w:val="2"/>
          <w:sz w:val="22"/>
          <w:szCs w:val="22"/>
          <w:highlight w:val="none"/>
          <w:lang w:val="en-US" w:eastAsia="zh-CN" w:bidi="ar-SA"/>
        </w:rPr>
        <w:t xml:space="preserve"> </w:t>
      </w:r>
      <w:r>
        <w:rPr>
          <w:rFonts w:hint="eastAsia" w:ascii="新宋体" w:hAnsi="新宋体" w:eastAsia="新宋体" w:cs="新宋体"/>
          <w:color w:val="auto"/>
          <w:sz w:val="22"/>
          <w:szCs w:val="22"/>
          <w:highlight w:val="none"/>
        </w:rPr>
        <w:t>病虫害多发季节，乙方应配备专职植保员对病虫害进行控制并及早防治，采用无害农药及生物防治方法，并报院方备案，不得使用禁用农药。</w:t>
      </w:r>
    </w:p>
    <w:p w14:paraId="13C4B094">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4.</w:t>
      </w:r>
      <w:r>
        <w:rPr>
          <w:rFonts w:hint="eastAsia" w:ascii="新宋体" w:hAnsi="新宋体" w:eastAsia="新宋体" w:cs="新宋体"/>
          <w:color w:val="auto"/>
          <w:kern w:val="2"/>
          <w:sz w:val="22"/>
          <w:szCs w:val="22"/>
          <w:highlight w:val="none"/>
          <w:lang w:val="en-US" w:eastAsia="zh-CN" w:bidi="ar-SA"/>
        </w:rPr>
        <w:t xml:space="preserve"> </w:t>
      </w:r>
      <w:r>
        <w:rPr>
          <w:rFonts w:hint="eastAsia"/>
          <w:color w:val="auto"/>
          <w:highlight w:val="none"/>
          <w:lang w:eastAsia="zh-CN"/>
        </w:rPr>
        <w:t>乙方应严格按照国家和地方关于农药使用、保管和看护的相关规定和标准执行工作。若因乙方工人对农药保管和看护不利导致农药泄漏、中毒等事故，乙方应承担全部责任，并赔偿由此给甲方造成的所有损失，包括但不限于医疗费用、误工费、护理费、交通食宿费、伤残赔偿金等；赔偿金额应根据实际损失进行计算，包括直接经济损失和间接经济损失。具体计算方法可参照《中国人民共和国侵权责任法》等相关法律法规的规定。</w:t>
      </w:r>
    </w:p>
    <w:p w14:paraId="594827BA">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5.</w:t>
      </w:r>
      <w:r>
        <w:rPr>
          <w:rFonts w:hint="eastAsia" w:ascii="新宋体" w:hAnsi="新宋体" w:eastAsia="新宋体" w:cs="新宋体"/>
          <w:color w:val="auto"/>
          <w:kern w:val="2"/>
          <w:sz w:val="22"/>
          <w:szCs w:val="22"/>
          <w:highlight w:val="none"/>
          <w:lang w:val="en-US" w:eastAsia="zh-CN" w:bidi="ar-SA"/>
        </w:rPr>
        <w:t xml:space="preserve"> </w:t>
      </w:r>
      <w:r>
        <w:rPr>
          <w:rFonts w:hint="eastAsia" w:ascii="新宋体" w:hAnsi="新宋体" w:eastAsia="新宋体" w:cs="新宋体"/>
          <w:color w:val="auto"/>
          <w:sz w:val="22"/>
          <w:szCs w:val="22"/>
          <w:highlight w:val="none"/>
        </w:rPr>
        <w:t>认真负责地摆放和养护甲方承租的全部绿植。并根据不同季节和绿植生长情况及时更换，保持所供绿植无病虫害、叶面无尘土达到新鲜和美观效果。</w:t>
      </w:r>
    </w:p>
    <w:p w14:paraId="0E97E556">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6.</w:t>
      </w:r>
      <w:r>
        <w:rPr>
          <w:rFonts w:hint="eastAsia" w:ascii="新宋体" w:hAnsi="新宋体" w:eastAsia="新宋体" w:cs="新宋体"/>
          <w:color w:val="auto"/>
          <w:kern w:val="2"/>
          <w:sz w:val="22"/>
          <w:szCs w:val="22"/>
          <w:highlight w:val="none"/>
          <w:lang w:val="en-US" w:eastAsia="zh-CN" w:bidi="ar-SA"/>
        </w:rPr>
        <w:t xml:space="preserve"> </w:t>
      </w:r>
      <w:r>
        <w:rPr>
          <w:rFonts w:hint="eastAsia" w:ascii="新宋体" w:hAnsi="新宋体" w:eastAsia="新宋体" w:cs="新宋体"/>
          <w:color w:val="auto"/>
          <w:sz w:val="22"/>
          <w:szCs w:val="22"/>
          <w:highlight w:val="none"/>
        </w:rPr>
        <w:t>及时更换失去观赏价值的绿植，对租摆的绿植种类在同档次的条件下进行适当调整。</w:t>
      </w:r>
    </w:p>
    <w:p w14:paraId="7048DA08">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7.</w:t>
      </w:r>
      <w:r>
        <w:rPr>
          <w:rFonts w:hint="eastAsia" w:ascii="新宋体" w:hAnsi="新宋体" w:eastAsia="新宋体" w:cs="新宋体"/>
          <w:color w:val="auto"/>
          <w:kern w:val="2"/>
          <w:sz w:val="22"/>
          <w:szCs w:val="22"/>
          <w:highlight w:val="none"/>
          <w:lang w:val="en-US" w:eastAsia="zh-CN" w:bidi="ar-SA"/>
        </w:rPr>
        <w:t xml:space="preserve"> </w:t>
      </w:r>
      <w:r>
        <w:rPr>
          <w:rFonts w:hint="eastAsia" w:ascii="新宋体" w:hAnsi="新宋体" w:eastAsia="新宋体" w:cs="新宋体"/>
          <w:color w:val="auto"/>
          <w:sz w:val="22"/>
          <w:szCs w:val="22"/>
          <w:highlight w:val="none"/>
        </w:rPr>
        <w:t>园林绿化垃圾需及时清理，禁止在院区焚烧、填埋及长期(不超过三天)堆放。绿化垃圾清理费由乙方承担。</w:t>
      </w:r>
    </w:p>
    <w:p w14:paraId="17B1C34B">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8.</w:t>
      </w:r>
      <w:r>
        <w:rPr>
          <w:rFonts w:hint="eastAsia" w:ascii="新宋体" w:hAnsi="新宋体" w:eastAsia="新宋体" w:cs="新宋体"/>
          <w:color w:val="auto"/>
          <w:kern w:val="2"/>
          <w:sz w:val="22"/>
          <w:szCs w:val="22"/>
          <w:highlight w:val="none"/>
          <w:lang w:val="en-US" w:eastAsia="zh-CN" w:bidi="ar-SA"/>
        </w:rPr>
        <w:t xml:space="preserve"> </w:t>
      </w:r>
      <w:r>
        <w:rPr>
          <w:rFonts w:hint="eastAsia" w:ascii="新宋体" w:hAnsi="新宋体" w:eastAsia="新宋体" w:cs="新宋体"/>
          <w:color w:val="auto"/>
          <w:sz w:val="22"/>
          <w:szCs w:val="22"/>
          <w:highlight w:val="none"/>
        </w:rPr>
        <w:t>加强日常巡查，根据不同品种的植物、植被的生物学特性及生长需要，保证植物正常生长所需的养分及水分等条件:完成每季度不少于一次(6-9月二次/月)的修剪、杀虫和除杂草，并按时施肥(主干道的行道树及中心区域的乔木每年施有机肥不少于一次)、喷淋和补种。</w:t>
      </w:r>
    </w:p>
    <w:p w14:paraId="01406AED">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9.</w:t>
      </w:r>
      <w:r>
        <w:rPr>
          <w:rFonts w:hint="eastAsia" w:ascii="新宋体" w:hAnsi="新宋体" w:eastAsia="新宋体" w:cs="新宋体"/>
          <w:color w:val="auto"/>
          <w:kern w:val="2"/>
          <w:sz w:val="22"/>
          <w:szCs w:val="22"/>
          <w:highlight w:val="none"/>
          <w:lang w:val="en-US" w:eastAsia="zh-CN" w:bidi="ar-SA"/>
        </w:rPr>
        <w:t xml:space="preserve"> </w:t>
      </w:r>
      <w:r>
        <w:rPr>
          <w:rFonts w:hint="eastAsia" w:ascii="新宋体" w:hAnsi="新宋体" w:eastAsia="新宋体" w:cs="新宋体"/>
          <w:color w:val="auto"/>
          <w:sz w:val="22"/>
          <w:szCs w:val="22"/>
          <w:highlight w:val="none"/>
        </w:rPr>
        <w:t>每年重大节假日前，需在医院各主干道的行道树及中心区域的树本进行粉刷白灰水一次。</w:t>
      </w:r>
    </w:p>
    <w:p w14:paraId="1B71678B">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10.</w:t>
      </w:r>
      <w:r>
        <w:rPr>
          <w:rFonts w:hint="eastAsia" w:ascii="新宋体" w:hAnsi="新宋体" w:eastAsia="新宋体" w:cs="新宋体"/>
          <w:color w:val="auto"/>
          <w:sz w:val="22"/>
          <w:szCs w:val="22"/>
          <w:highlight w:val="none"/>
        </w:rPr>
        <w:t>配合医院的大型活动专门做好绿化美化相关工作。</w:t>
      </w:r>
    </w:p>
    <w:p w14:paraId="34F8699D">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11.</w:t>
      </w:r>
      <w:r>
        <w:rPr>
          <w:rFonts w:hint="eastAsia" w:ascii="新宋体" w:hAnsi="新宋体" w:eastAsia="新宋体" w:cs="新宋体"/>
          <w:color w:val="auto"/>
          <w:sz w:val="22"/>
          <w:szCs w:val="22"/>
          <w:highlight w:val="none"/>
        </w:rPr>
        <w:t>甲方提供一处场地给乙方用于绿植的养护及有苗。甲方只提供场地，场地的设施由乙方负责。</w:t>
      </w:r>
    </w:p>
    <w:p w14:paraId="5FE265BC">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12.</w:t>
      </w:r>
      <w:r>
        <w:rPr>
          <w:rFonts w:hint="eastAsia" w:ascii="新宋体" w:hAnsi="新宋体" w:eastAsia="新宋体" w:cs="新宋体"/>
          <w:color w:val="auto"/>
          <w:sz w:val="22"/>
          <w:szCs w:val="22"/>
          <w:highlight w:val="none"/>
        </w:rPr>
        <w:t>乙方如使用对人畜具有危害性的农药等化学物资需上报医院总务科核后批准使用。</w:t>
      </w:r>
    </w:p>
    <w:p w14:paraId="01B9285B">
      <w:pPr>
        <w:keepNext w:val="0"/>
        <w:keepLines w:val="0"/>
        <w:pageBreakBefore w:val="0"/>
        <w:numPr>
          <w:ilvl w:val="0"/>
          <w:numId w:val="0"/>
        </w:numPr>
        <w:tabs>
          <w:tab w:val="left" w:pos="0"/>
        </w:tabs>
        <w:kinsoku/>
        <w:wordWrap/>
        <w:overflowPunct/>
        <w:topLinePunct w:val="0"/>
        <w:bidi w:val="0"/>
        <w:adjustRightInd w:val="0"/>
        <w:snapToGrid w:val="0"/>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13.</w:t>
      </w:r>
      <w:r>
        <w:rPr>
          <w:rFonts w:hint="eastAsia" w:ascii="新宋体" w:hAnsi="新宋体" w:eastAsia="新宋体" w:cs="新宋体"/>
          <w:color w:val="auto"/>
          <w:sz w:val="22"/>
          <w:szCs w:val="22"/>
          <w:highlight w:val="none"/>
        </w:rPr>
        <w:t>乙方应本着尽可能节约用水用电，维护甲方权益的原则，使用甲方无偿提供的水电。</w:t>
      </w:r>
    </w:p>
    <w:p w14:paraId="02EFE5CD">
      <w:pPr>
        <w:keepNext w:val="0"/>
        <w:keepLines w:val="0"/>
        <w:pageBreakBefore w:val="0"/>
        <w:tabs>
          <w:tab w:val="left" w:pos="840"/>
        </w:tabs>
        <w:kinsoku/>
        <w:wordWrap/>
        <w:topLinePunct w:val="0"/>
        <w:bidi w:val="0"/>
        <w:spacing w:line="440" w:lineRule="exac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七、违约责任</w:t>
      </w:r>
    </w:p>
    <w:p w14:paraId="3775989E">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乙方违反国家法律法规或地方性规定，甲方有权单方终止本合同，由乙方承担一切经济损失和法律责任。</w:t>
      </w:r>
    </w:p>
    <w:p w14:paraId="31B1ABAF">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因机械、工具、技术、劳动等达不到招标文件要求或投标文件中的相关承诺条款，甲方有权单方终止本合同，经济损失和法律责任由乙方承担；乙方擅自将绿化养护任务转包给第三者的，甲方有权单方终止本合同，转包合同无效，由此造成的经济损失和法律责任由乙方承担，因乙方违约造成甲方损失的，甲方从乙方</w:t>
      </w:r>
      <w:r>
        <w:rPr>
          <w:rFonts w:hint="eastAsia" w:hAnsi="宋体" w:cs="宋体"/>
          <w:color w:val="auto"/>
          <w:sz w:val="22"/>
          <w:szCs w:val="22"/>
          <w:highlight w:val="none"/>
          <w:lang w:eastAsia="zh-CN"/>
        </w:rPr>
        <w:t>合同款</w:t>
      </w:r>
      <w:r>
        <w:rPr>
          <w:rFonts w:hint="eastAsia" w:ascii="宋体" w:hAnsi="宋体" w:eastAsia="宋体" w:cs="宋体"/>
          <w:color w:val="auto"/>
          <w:sz w:val="22"/>
          <w:szCs w:val="22"/>
          <w:highlight w:val="none"/>
        </w:rPr>
        <w:t>中扣除。</w:t>
      </w:r>
    </w:p>
    <w:p w14:paraId="4B41FC69">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乙方因机械、工具或技术、劳动等跟不上管理需要影响工作，未达到质量标准，按照考核与处罚标准的规定，甲方有权单方终止本合同，并没收履约保证金。</w:t>
      </w:r>
    </w:p>
    <w:p w14:paraId="180E1D1A">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除不可抗力事件外，乙方不得以任何理由停止正常运营，否则视为违反合同。</w:t>
      </w:r>
    </w:p>
    <w:p w14:paraId="5B3D7926">
      <w:pPr>
        <w:keepNext w:val="0"/>
        <w:keepLines w:val="0"/>
        <w:pageBreakBefore w:val="0"/>
        <w:tabs>
          <w:tab w:val="left" w:pos="840"/>
        </w:tabs>
        <w:kinsoku/>
        <w:wordWrap/>
        <w:topLinePunct w:val="0"/>
        <w:bidi w:val="0"/>
        <w:spacing w:line="440" w:lineRule="exac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八、争议解决</w:t>
      </w:r>
    </w:p>
    <w:p w14:paraId="32CC73B1">
      <w:pPr>
        <w:keepNext w:val="0"/>
        <w:keepLines w:val="0"/>
        <w:pageBreakBefore w:val="0"/>
        <w:widowControl w:val="0"/>
        <w:kinsoku/>
        <w:wordWrap/>
        <w:overflowPunct/>
        <w:topLinePunct w:val="0"/>
        <w:autoSpaceDE w:val="0"/>
        <w:autoSpaceDN w:val="0"/>
        <w:bidi w:val="0"/>
        <w:adjustRightIn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双方在执行合同中所发生的一切争议，应通过协商解决。如协商不成，可向甲方所在地法院起诉。</w:t>
      </w:r>
    </w:p>
    <w:p w14:paraId="2FB0251A">
      <w:pPr>
        <w:keepNext w:val="0"/>
        <w:keepLines w:val="0"/>
        <w:pageBreakBefore w:val="0"/>
        <w:tabs>
          <w:tab w:val="left" w:pos="840"/>
        </w:tabs>
        <w:kinsoku/>
        <w:wordWrap/>
        <w:topLinePunct w:val="0"/>
        <w:bidi w:val="0"/>
        <w:spacing w:line="440" w:lineRule="exac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九、合同生效及其他</w:t>
      </w:r>
    </w:p>
    <w:p w14:paraId="3108CDBA">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本合同在经双方法定代表人或授权代表签署，甲方与乙方加盖印章后生效。</w:t>
      </w:r>
    </w:p>
    <w:p w14:paraId="77A708AF">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招标文件、投标文件与本合同具有同等法律效力，如有冲突之处，以本合同内容为准。</w:t>
      </w:r>
    </w:p>
    <w:p w14:paraId="23F59ADC">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合同期内如相关院区遇政府强制性拆迁或院区租赁合同终止，则该院区的绿地养护业务自动终止，服务费结算至截止日当天。</w:t>
      </w:r>
    </w:p>
    <w:p w14:paraId="5C2BF0E4">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hAnsi="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本合同未尽事宜，遵照《中华人民共和国民法典》有关条文执行。</w:t>
      </w:r>
    </w:p>
    <w:p w14:paraId="6F31DB38">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rPr>
      </w:pPr>
      <w:r>
        <w:rPr>
          <w:rFonts w:hint="eastAsia"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lang w:val="en-US" w:eastAsia="zh-CN"/>
        </w:rPr>
        <w:t>肆</w:t>
      </w:r>
      <w:r>
        <w:rPr>
          <w:rFonts w:hint="eastAsia" w:ascii="宋体" w:hAnsi="宋体" w:eastAsia="宋体" w:cs="宋体"/>
          <w:color w:val="auto"/>
          <w:sz w:val="22"/>
          <w:szCs w:val="22"/>
          <w:highlight w:val="none"/>
        </w:rPr>
        <w:t>份，具有同等法律效力，甲方</w:t>
      </w:r>
      <w:r>
        <w:rPr>
          <w:rFonts w:hint="eastAsia" w:ascii="宋体" w:hAnsi="宋体" w:eastAsia="宋体" w:cs="宋体"/>
          <w:color w:val="auto"/>
          <w:sz w:val="22"/>
          <w:szCs w:val="22"/>
          <w:highlight w:val="none"/>
          <w:lang w:val="en-US" w:eastAsia="zh-CN"/>
        </w:rPr>
        <w:t>贰</w:t>
      </w:r>
      <w:r>
        <w:rPr>
          <w:rFonts w:hint="eastAsia" w:ascii="宋体" w:hAnsi="宋体" w:eastAsia="宋体" w:cs="宋体"/>
          <w:color w:val="auto"/>
          <w:sz w:val="22"/>
          <w:szCs w:val="22"/>
          <w:highlight w:val="none"/>
        </w:rPr>
        <w:t>份、乙方</w:t>
      </w:r>
      <w:r>
        <w:rPr>
          <w:rFonts w:hint="eastAsia" w:ascii="宋体" w:hAnsi="宋体" w:eastAsia="宋体" w:cs="宋体"/>
          <w:color w:val="auto"/>
          <w:sz w:val="22"/>
          <w:szCs w:val="22"/>
          <w:highlight w:val="none"/>
          <w:lang w:val="en-US" w:eastAsia="zh-CN"/>
        </w:rPr>
        <w:t>贰</w:t>
      </w:r>
      <w:r>
        <w:rPr>
          <w:rFonts w:hint="eastAsia" w:ascii="宋体" w:hAnsi="宋体" w:eastAsia="宋体" w:cs="宋体"/>
          <w:color w:val="auto"/>
          <w:sz w:val="22"/>
          <w:szCs w:val="22"/>
          <w:highlight w:val="none"/>
        </w:rPr>
        <w:t>份。</w:t>
      </w:r>
    </w:p>
    <w:p w14:paraId="0649823D">
      <w:pPr>
        <w:pStyle w:val="39"/>
        <w:keepNext w:val="0"/>
        <w:keepLines w:val="0"/>
        <w:pageBreakBefore w:val="0"/>
        <w:kinsoku/>
        <w:wordWrap/>
        <w:topLinePunct w:val="0"/>
        <w:bidi w:val="0"/>
        <w:spacing w:line="440" w:lineRule="exact"/>
        <w:rPr>
          <w:rFonts w:hint="eastAsia" w:ascii="宋体" w:hAnsi="宋体" w:eastAsia="宋体" w:cs="宋体"/>
          <w:color w:val="auto"/>
          <w:sz w:val="22"/>
          <w:szCs w:val="22"/>
          <w:highlight w:val="none"/>
        </w:rPr>
      </w:pPr>
    </w:p>
    <w:p w14:paraId="1893BA0C">
      <w:pPr>
        <w:pStyle w:val="26"/>
        <w:keepNext w:val="0"/>
        <w:keepLines w:val="0"/>
        <w:pageBreakBefore w:val="0"/>
        <w:kinsoku/>
        <w:wordWrap/>
        <w:topLinePunct w:val="0"/>
        <w:bidi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lang w:eastAsia="zh-CN"/>
        </w:rPr>
        <w:t>温州市第七人民医院</w:t>
      </w:r>
      <w:r>
        <w:rPr>
          <w:rFonts w:hint="eastAsia" w:ascii="宋体" w:hAnsi="宋体" w:eastAsia="宋体" w:cs="宋体"/>
          <w:color w:val="auto"/>
          <w:sz w:val="22"/>
          <w:szCs w:val="22"/>
          <w:highlight w:val="none"/>
        </w:rPr>
        <w:t xml:space="preserve">                      乙方：</w:t>
      </w:r>
    </w:p>
    <w:p w14:paraId="019FF1CB">
      <w:pPr>
        <w:pStyle w:val="26"/>
        <w:keepNext w:val="0"/>
        <w:keepLines w:val="0"/>
        <w:pageBreakBefore w:val="0"/>
        <w:kinsoku/>
        <w:wordWrap/>
        <w:topLinePunct w:val="0"/>
        <w:bidi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（盖章）                                     （盖章）</w:t>
      </w:r>
    </w:p>
    <w:p w14:paraId="014F5CF6">
      <w:pPr>
        <w:pStyle w:val="26"/>
        <w:keepNext w:val="0"/>
        <w:keepLines w:val="0"/>
        <w:pageBreakBefore w:val="0"/>
        <w:kinsoku/>
        <w:wordWrap/>
        <w:topLinePunct w:val="0"/>
        <w:bidi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授权代表（签字）：                            授权代表（签字）：</w:t>
      </w:r>
    </w:p>
    <w:p w14:paraId="778E9301">
      <w:pPr>
        <w:pStyle w:val="26"/>
        <w:keepNext w:val="0"/>
        <w:keepLines w:val="0"/>
        <w:pageBreakBefore w:val="0"/>
        <w:kinsoku/>
        <w:wordWrap/>
        <w:topLinePunct w:val="0"/>
        <w:bidi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                                        地址：</w:t>
      </w:r>
    </w:p>
    <w:p w14:paraId="6586CB29">
      <w:pPr>
        <w:pStyle w:val="26"/>
        <w:keepNext w:val="0"/>
        <w:keepLines w:val="0"/>
        <w:pageBreakBefore w:val="0"/>
        <w:kinsoku/>
        <w:wordWrap/>
        <w:topLinePunct w:val="0"/>
        <w:bidi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                                    邮政编码：</w:t>
      </w:r>
    </w:p>
    <w:p w14:paraId="7DED90AD">
      <w:pPr>
        <w:pStyle w:val="26"/>
        <w:keepNext w:val="0"/>
        <w:keepLines w:val="0"/>
        <w:pageBreakBefore w:val="0"/>
        <w:kinsoku/>
        <w:wordWrap/>
        <w:topLinePunct w:val="0"/>
        <w:bidi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                                        电话：</w:t>
      </w:r>
    </w:p>
    <w:p w14:paraId="3C63F255">
      <w:pPr>
        <w:pStyle w:val="26"/>
        <w:keepNext w:val="0"/>
        <w:keepLines w:val="0"/>
        <w:pageBreakBefore w:val="0"/>
        <w:kinsoku/>
        <w:wordWrap/>
        <w:topLinePunct w:val="0"/>
        <w:bidi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                                        传真：</w:t>
      </w:r>
    </w:p>
    <w:p w14:paraId="48710C34">
      <w:pPr>
        <w:pStyle w:val="26"/>
        <w:keepNext w:val="0"/>
        <w:keepLines w:val="0"/>
        <w:pageBreakBefore w:val="0"/>
        <w:kinsoku/>
        <w:wordWrap/>
        <w:topLinePunct w:val="0"/>
        <w:bidi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                                    开户银行：</w:t>
      </w:r>
    </w:p>
    <w:p w14:paraId="25ADCCD7">
      <w:pPr>
        <w:keepNext w:val="0"/>
        <w:keepLines w:val="0"/>
        <w:pageBreakBefore w:val="0"/>
        <w:tabs>
          <w:tab w:val="left" w:pos="840"/>
        </w:tabs>
        <w:kinsoku/>
        <w:wordWrap/>
        <w:topLinePunct w:val="0"/>
        <w:bidi w:val="0"/>
        <w:spacing w:line="4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                                        账号：</w:t>
      </w:r>
    </w:p>
    <w:p w14:paraId="0B8DB2ED">
      <w:pPr>
        <w:rPr>
          <w:rFonts w:hAnsi="宋体" w:cs="宋体"/>
          <w:b/>
          <w:bCs/>
          <w:color w:val="auto"/>
          <w:sz w:val="28"/>
          <w:szCs w:val="28"/>
          <w:highlight w:val="none"/>
        </w:rPr>
      </w:pPr>
    </w:p>
    <w:p w14:paraId="1FDA96C8">
      <w:pPr>
        <w:keepNext w:val="0"/>
        <w:keepLines w:val="0"/>
        <w:pageBreakBefore w:val="0"/>
        <w:kinsoku/>
        <w:wordWrap/>
        <w:topLinePunct w:val="0"/>
        <w:bidi w:val="0"/>
        <w:spacing w:line="460" w:lineRule="exact"/>
        <w:jc w:val="left"/>
        <w:rPr>
          <w:rFonts w:hint="eastAsia" w:ascii="新宋体" w:hAnsi="新宋体" w:eastAsia="新宋体" w:cs="新宋体"/>
          <w:b/>
          <w:color w:val="auto"/>
          <w:sz w:val="22"/>
          <w:szCs w:val="22"/>
          <w:highlight w:val="none"/>
          <w:lang w:val="en-US" w:eastAsia="zh-CN"/>
        </w:rPr>
      </w:pPr>
      <w:r>
        <w:rPr>
          <w:rFonts w:hint="eastAsia" w:hAnsi="宋体" w:cs="宋体"/>
          <w:bCs/>
          <w:color w:val="auto"/>
          <w:sz w:val="28"/>
          <w:szCs w:val="28"/>
          <w:highlight w:val="none"/>
        </w:rPr>
        <w:br w:type="page"/>
      </w:r>
      <w:bookmarkEnd w:id="52"/>
      <w:r>
        <w:rPr>
          <w:rFonts w:hint="eastAsia" w:ascii="新宋体" w:hAnsi="新宋体" w:eastAsia="新宋体" w:cs="新宋体"/>
          <w:b/>
          <w:color w:val="auto"/>
          <w:sz w:val="22"/>
          <w:szCs w:val="22"/>
          <w:highlight w:val="none"/>
          <w:lang w:val="en-US" w:eastAsia="zh-CN"/>
        </w:rPr>
        <w:t>合同附件：</w:t>
      </w:r>
    </w:p>
    <w:p w14:paraId="2284FE3C">
      <w:pPr>
        <w:keepNext w:val="0"/>
        <w:keepLines w:val="0"/>
        <w:pageBreakBefore w:val="0"/>
        <w:kinsoku/>
        <w:wordWrap/>
        <w:topLinePunct w:val="0"/>
        <w:bidi w:val="0"/>
        <w:spacing w:line="460" w:lineRule="exact"/>
        <w:jc w:val="center"/>
        <w:outlineLvl w:val="1"/>
        <w:rPr>
          <w:rFonts w:hint="eastAsia" w:ascii="新宋体" w:hAnsi="新宋体" w:eastAsia="新宋体" w:cs="新宋体"/>
          <w:b/>
          <w:color w:val="auto"/>
          <w:sz w:val="22"/>
          <w:szCs w:val="22"/>
          <w:highlight w:val="none"/>
        </w:rPr>
      </w:pPr>
      <w:bookmarkStart w:id="54" w:name="_Toc21836"/>
      <w:r>
        <w:rPr>
          <w:rFonts w:hint="eastAsia" w:ascii="新宋体" w:hAnsi="新宋体" w:eastAsia="新宋体" w:cs="新宋体"/>
          <w:b/>
          <w:color w:val="auto"/>
          <w:sz w:val="22"/>
          <w:szCs w:val="22"/>
          <w:highlight w:val="none"/>
        </w:rPr>
        <w:t>医疗卫生机构廉洁购销合同</w:t>
      </w:r>
      <w:bookmarkEnd w:id="54"/>
    </w:p>
    <w:p w14:paraId="250A47BB">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bCs/>
          <w:color w:val="auto"/>
          <w:sz w:val="22"/>
          <w:szCs w:val="22"/>
          <w:highlight w:val="none"/>
        </w:rPr>
        <w:t>（医疗卫生机构）：</w:t>
      </w:r>
    </w:p>
    <w:p w14:paraId="4E2E25DD">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乙方</w:t>
      </w:r>
      <w:r>
        <w:rPr>
          <w:rFonts w:hint="eastAsia" w:ascii="新宋体" w:hAnsi="新宋体" w:eastAsia="新宋体" w:cs="新宋体"/>
          <w:bCs/>
          <w:color w:val="auto"/>
          <w:sz w:val="22"/>
          <w:szCs w:val="22"/>
          <w:highlight w:val="none"/>
        </w:rPr>
        <w:t>（医药生产经营企业及其代理人）：</w:t>
      </w:r>
    </w:p>
    <w:p w14:paraId="028142D7">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为进一步加强医疗卫生行风建设，规范医疗卫生机构医药购销行为，有效防范商业贿赂行为，营造公平交易、诚实守信的购销环境，经甲、乙双方协商，同意签订本合同，并共同遵守：</w:t>
      </w:r>
    </w:p>
    <w:p w14:paraId="2E2FEAC3">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一、甲乙双方按照《民法典》及医药产品购销合同约定购销药品、医用设备、医用耗材等医药产品。</w:t>
      </w:r>
    </w:p>
    <w:p w14:paraId="30CE01F4">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二、甲方应当严格执行医药产品购销合同验收、入库制度，对采购医药产品及发票进行查验，不得违反有关规定合同外采购、违价采购或从非规定渠道采购。</w:t>
      </w:r>
    </w:p>
    <w:p w14:paraId="6E55DC10">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099777DB">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四、严禁甲方工作人员利用任何途径和方式，为乙方统计医师个人及临床科室有关医药产品用量信息，或为乙方统计提供便利。</w:t>
      </w:r>
    </w:p>
    <w:p w14:paraId="4235D1B5">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五、乙方不得以回扣、宴请等方式影响甲方工作人员采购或使用医药产品的选择权，不得在学术活动中提供旅游、超标准支付食宿费用。</w:t>
      </w:r>
    </w:p>
    <w:p w14:paraId="304E8308">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A3BB9EA">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新宋体" w:hAnsi="新宋体" w:eastAsia="新宋体" w:cs="新宋体"/>
          <w:bCs/>
          <w:color w:val="auto"/>
          <w:sz w:val="22"/>
          <w:szCs w:val="22"/>
          <w:highlight w:val="none"/>
          <w:shd w:val="clear" w:color="auto" w:fill="FFFFFF"/>
        </w:rPr>
        <w:t>（国卫法制发〔2013〕50号）</w:t>
      </w:r>
      <w:r>
        <w:rPr>
          <w:rFonts w:hint="eastAsia" w:ascii="新宋体" w:hAnsi="新宋体" w:eastAsia="新宋体" w:cs="新宋体"/>
          <w:bCs/>
          <w:color w:val="auto"/>
          <w:sz w:val="22"/>
          <w:szCs w:val="22"/>
          <w:highlight w:val="none"/>
        </w:rPr>
        <w:t>相关规定处理。</w:t>
      </w:r>
    </w:p>
    <w:p w14:paraId="0D8668C6">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八、本合同作为医药产品购销合同的重要组成部分，与购销合同一并执行，具有同等的法律效力。</w:t>
      </w:r>
    </w:p>
    <w:p w14:paraId="564788BD">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九、本合同一式二份，甲、乙双方各执一份，并从签订之日起生效。</w:t>
      </w:r>
    </w:p>
    <w:p w14:paraId="380547F6">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p>
    <w:p w14:paraId="33D3B196">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甲方（盖章）：                     乙方（盖章）：</w:t>
      </w:r>
    </w:p>
    <w:p w14:paraId="631C7CF5">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法定代表人（负责人）：             法定代表人（负责人）：</w:t>
      </w:r>
    </w:p>
    <w:p w14:paraId="4E4073E8">
      <w:pPr>
        <w:pStyle w:val="26"/>
        <w:keepNext w:val="0"/>
        <w:keepLines w:val="0"/>
        <w:pageBreakBefore w:val="0"/>
        <w:kinsoku/>
        <w:wordWrap/>
        <w:topLinePunct w:val="0"/>
        <w:bidi w:val="0"/>
        <w:snapToGrid w:val="0"/>
        <w:spacing w:line="460" w:lineRule="exact"/>
        <w:ind w:firstLine="880" w:firstLineChars="4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年   月   日                       年   月  日</w:t>
      </w:r>
    </w:p>
    <w:p w14:paraId="24527E1F">
      <w:pPr>
        <w:rPr>
          <w:rFonts w:hint="eastAsia" w:ascii="黑体" w:hAnsi="黑体" w:eastAsia="黑体"/>
          <w:b/>
          <w:bCs/>
          <w:color w:val="auto"/>
          <w:kern w:val="44"/>
          <w:sz w:val="36"/>
          <w:szCs w:val="36"/>
          <w:highlight w:val="none"/>
        </w:rPr>
      </w:pPr>
      <w:r>
        <w:rPr>
          <w:rFonts w:hint="eastAsia" w:ascii="黑体" w:hAnsi="黑体" w:eastAsia="黑体"/>
          <w:b/>
          <w:bCs/>
          <w:color w:val="auto"/>
          <w:kern w:val="44"/>
          <w:sz w:val="36"/>
          <w:szCs w:val="36"/>
          <w:highlight w:val="none"/>
        </w:rPr>
        <w:br w:type="page"/>
      </w:r>
    </w:p>
    <w:p w14:paraId="1E335D2B">
      <w:pPr>
        <w:spacing w:line="430" w:lineRule="exact"/>
        <w:jc w:val="center"/>
        <w:outlineLvl w:val="0"/>
        <w:rPr>
          <w:rFonts w:ascii="黑体" w:hAnsi="黑体" w:eastAsia="黑体"/>
          <w:bCs/>
          <w:color w:val="auto"/>
          <w:sz w:val="36"/>
          <w:szCs w:val="36"/>
          <w:highlight w:val="none"/>
        </w:rPr>
      </w:pPr>
      <w:bookmarkStart w:id="55" w:name="_Toc22961"/>
      <w:r>
        <w:rPr>
          <w:rFonts w:hint="eastAsia" w:ascii="黑体" w:hAnsi="黑体" w:eastAsia="黑体"/>
          <w:b/>
          <w:bCs/>
          <w:color w:val="auto"/>
          <w:kern w:val="44"/>
          <w:sz w:val="36"/>
          <w:szCs w:val="36"/>
          <w:highlight w:val="none"/>
        </w:rPr>
        <w:t>第四部分  附   件</w:t>
      </w:r>
      <w:bookmarkEnd w:id="53"/>
      <w:bookmarkEnd w:id="55"/>
    </w:p>
    <w:p w14:paraId="26A2F645">
      <w:pPr>
        <w:pStyle w:val="3"/>
        <w:spacing w:line="240" w:lineRule="auto"/>
        <w:rPr>
          <w:rFonts w:ascii="宋体" w:hAnsi="宋体" w:eastAsia="宋体" w:cs="宋体"/>
          <w:color w:val="auto"/>
          <w:sz w:val="24"/>
          <w:szCs w:val="24"/>
          <w:highlight w:val="none"/>
        </w:rPr>
      </w:pPr>
      <w:bookmarkStart w:id="56" w:name="_Toc230773784"/>
      <w:bookmarkStart w:id="57" w:name="_Toc18416"/>
      <w:r>
        <w:rPr>
          <w:rFonts w:hint="eastAsia" w:ascii="宋体" w:hAnsi="宋体" w:eastAsia="宋体" w:cs="宋体"/>
          <w:color w:val="auto"/>
          <w:sz w:val="24"/>
          <w:szCs w:val="24"/>
          <w:highlight w:val="none"/>
        </w:rPr>
        <w:t>附件一 投标函</w:t>
      </w:r>
      <w:bookmarkEnd w:id="56"/>
      <w:bookmarkEnd w:id="57"/>
    </w:p>
    <w:p w14:paraId="7D3683A7">
      <w:pPr>
        <w:spacing w:line="4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14:paraId="565AAEFC">
      <w:pPr>
        <w:spacing w:line="440" w:lineRule="exact"/>
        <w:rPr>
          <w:rFonts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温州市第七人民医院</w:t>
      </w:r>
    </w:p>
    <w:p w14:paraId="6DC4C699">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根据贵方为项目（项目编号:）的投标邀请，我方</w:t>
      </w:r>
      <w:r>
        <w:rPr>
          <w:rFonts w:hint="eastAsia" w:ascii="宋体" w:hAnsi="宋体" w:cs="宋体"/>
          <w:color w:val="auto"/>
          <w:sz w:val="22"/>
          <w:szCs w:val="22"/>
          <w:highlight w:val="none"/>
          <w:u w:val="single"/>
        </w:rPr>
        <w:t xml:space="preserve">           　　　      （投标人名称）</w:t>
      </w:r>
      <w:r>
        <w:rPr>
          <w:rFonts w:hint="eastAsia" w:ascii="宋体" w:hAnsi="宋体" w:cs="宋体"/>
          <w:color w:val="auto"/>
          <w:sz w:val="22"/>
          <w:szCs w:val="22"/>
          <w:highlight w:val="none"/>
        </w:rPr>
        <w:t>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w:t>
      </w:r>
    </w:p>
    <w:p w14:paraId="10E786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在此提交的投标文件中，包括如下内容，并已分别加密上传：</w:t>
      </w:r>
    </w:p>
    <w:p w14:paraId="146906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（一）按“投标人须知”要求编制投标文件的“资格文件”；</w:t>
      </w:r>
    </w:p>
    <w:p w14:paraId="2D2910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（二）按“投标人须知”要求编制投标文件的“商务技术文件”；</w:t>
      </w:r>
    </w:p>
    <w:p w14:paraId="66A665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（三）按“投标人须知”要求编制投标文件的“报价文件”；</w:t>
      </w:r>
    </w:p>
    <w:p w14:paraId="052D720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我方己完全明白招标文件的所有条款要求，并重申以下几点：</w:t>
      </w:r>
    </w:p>
    <w:p w14:paraId="3A81100C">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（一）本投标文件的有效期自投标截止日起</w:t>
      </w:r>
      <w:r>
        <w:rPr>
          <w:rFonts w:hint="eastAsia" w:ascii="宋体" w:hAnsi="宋体" w:cs="宋体"/>
          <w:b/>
          <w:color w:val="auto"/>
          <w:sz w:val="22"/>
          <w:szCs w:val="22"/>
          <w:highlight w:val="none"/>
          <w:u w:val="single"/>
        </w:rPr>
        <w:t>90</w:t>
      </w:r>
      <w:r>
        <w:rPr>
          <w:rFonts w:hint="eastAsia" w:ascii="宋体" w:hAnsi="宋体" w:cs="宋体"/>
          <w:color w:val="auto"/>
          <w:sz w:val="22"/>
          <w:szCs w:val="22"/>
          <w:highlight w:val="none"/>
        </w:rPr>
        <w:t>天内有效，如中标，有效期将延至合同终止日为止；</w:t>
      </w:r>
    </w:p>
    <w:p w14:paraId="6D8CE2F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（二）我方已详细研究了招标文件的所有内容包括修改书（如有）和所有已提供的参考资料以及有关附件，我方完全理解并同意放弃在此方面提出含糊意见或误解的一切权利；</w:t>
      </w:r>
    </w:p>
    <w:p w14:paraId="602605EC">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（三）我方同意提供按照贵方可能要求的与投标有关的一切数据或资料；</w:t>
      </w:r>
    </w:p>
    <w:p w14:paraId="2B2D7910">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（四）我方理解贵方不一定接受最低报价；</w:t>
      </w:r>
    </w:p>
    <w:p w14:paraId="3513BDE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（五）我方如果中标，将保证履行招标文件以及招标文件修改书（如有）中的全部责任和义务，按质、按量、按期完成《合同书》中的全部任务。</w:t>
      </w:r>
    </w:p>
    <w:p w14:paraId="6B6B86B0">
      <w:pPr>
        <w:spacing w:line="440" w:lineRule="exact"/>
        <w:ind w:left="315"/>
        <w:rPr>
          <w:rFonts w:ascii="宋体" w:hAnsi="宋体" w:cs="宋体"/>
          <w:color w:val="auto"/>
          <w:sz w:val="22"/>
          <w:szCs w:val="22"/>
          <w:highlight w:val="none"/>
        </w:rPr>
      </w:pPr>
      <w:r>
        <w:rPr>
          <w:rFonts w:hint="eastAsia" w:ascii="宋体" w:hAnsi="宋体" w:cs="宋体"/>
          <w:color w:val="auto"/>
          <w:sz w:val="22"/>
          <w:szCs w:val="22"/>
          <w:highlight w:val="none"/>
        </w:rPr>
        <w:t>（六）所有与本投标有关的函件请发往下列地址：</w:t>
      </w:r>
    </w:p>
    <w:p w14:paraId="079EFC56">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14:paraId="048E4B5A">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14:paraId="245F62F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14:paraId="4F96E9BB">
      <w:pPr>
        <w:spacing w:line="440" w:lineRule="exact"/>
        <w:ind w:firstLine="770" w:firstLineChars="350"/>
        <w:rPr>
          <w:rFonts w:ascii="宋体" w:hAnsi="宋体" w:cs="宋体"/>
          <w:color w:val="auto"/>
          <w:sz w:val="22"/>
          <w:szCs w:val="22"/>
          <w:highlight w:val="none"/>
          <w:u w:val="singl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14:paraId="53FCC8C1">
      <w:pPr>
        <w:spacing w:line="440" w:lineRule="exact"/>
        <w:ind w:firstLine="435"/>
        <w:rPr>
          <w:rFonts w:ascii="宋体" w:hAnsi="宋体" w:cs="宋体"/>
          <w:color w:val="auto"/>
          <w:sz w:val="22"/>
          <w:szCs w:val="22"/>
          <w:highlight w:val="none"/>
        </w:rPr>
      </w:pPr>
    </w:p>
    <w:p w14:paraId="110AB032">
      <w:pPr>
        <w:spacing w:line="440" w:lineRule="exact"/>
        <w:ind w:firstLine="4180" w:firstLineChars="1900"/>
        <w:rPr>
          <w:rFonts w:ascii="宋体" w:hAnsi="宋体" w:cs="宋体"/>
          <w:color w:val="auto"/>
          <w:sz w:val="22"/>
          <w:szCs w:val="22"/>
          <w:highlight w:val="none"/>
        </w:rPr>
      </w:pPr>
      <w:bookmarkStart w:id="58" w:name="_Toc195336280"/>
      <w:bookmarkStart w:id="59" w:name="_Toc218392089"/>
      <w:bookmarkStart w:id="60" w:name="_Toc230773785"/>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58F932A7">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公章</w:t>
      </w:r>
      <w:r>
        <w:rPr>
          <w:rFonts w:hint="eastAsia" w:ascii="宋体" w:hAnsi="宋体" w:cs="宋体"/>
          <w:color w:val="auto"/>
          <w:sz w:val="22"/>
          <w:szCs w:val="22"/>
          <w:highlight w:val="none"/>
          <w:u w:val="single"/>
        </w:rPr>
        <w:t xml:space="preserve">（电子签名/公章）                        </w:t>
      </w:r>
    </w:p>
    <w:p w14:paraId="41FD649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日期</w:t>
      </w:r>
      <w:r>
        <w:rPr>
          <w:rFonts w:hint="eastAsia" w:ascii="宋体" w:hAnsi="宋体" w:cs="宋体"/>
          <w:color w:val="auto"/>
          <w:sz w:val="22"/>
          <w:szCs w:val="22"/>
          <w:highlight w:val="none"/>
          <w:u w:val="single"/>
        </w:rPr>
        <w:t xml:space="preserve">                           </w:t>
      </w:r>
    </w:p>
    <w:p w14:paraId="0613C172">
      <w:pPr>
        <w:spacing w:line="440" w:lineRule="exact"/>
        <w:ind w:firstLine="435"/>
        <w:rPr>
          <w:rFonts w:ascii="宋体" w:hAnsi="宋体" w:cs="宋体"/>
          <w:color w:val="auto"/>
          <w:sz w:val="22"/>
          <w:szCs w:val="22"/>
          <w:highlight w:val="none"/>
          <w:u w:val="single"/>
        </w:rPr>
      </w:pPr>
    </w:p>
    <w:p w14:paraId="63657A52">
      <w:pPr>
        <w:spacing w:line="440" w:lineRule="exact"/>
        <w:ind w:firstLine="435"/>
        <w:rPr>
          <w:rFonts w:ascii="宋体" w:hAnsi="宋体" w:cs="宋体"/>
          <w:color w:val="auto"/>
          <w:sz w:val="22"/>
          <w:szCs w:val="22"/>
          <w:highlight w:val="none"/>
          <w:u w:val="single"/>
        </w:rPr>
      </w:pPr>
    </w:p>
    <w:p w14:paraId="2814F501">
      <w:pPr>
        <w:spacing w:line="440" w:lineRule="exact"/>
        <w:ind w:firstLine="435"/>
        <w:rPr>
          <w:rFonts w:ascii="宋体" w:hAnsi="宋体" w:cs="宋体"/>
          <w:color w:val="auto"/>
          <w:sz w:val="22"/>
          <w:szCs w:val="22"/>
          <w:highlight w:val="none"/>
          <w:u w:val="single"/>
        </w:rPr>
      </w:pPr>
    </w:p>
    <w:p w14:paraId="73D01BB9">
      <w:pPr>
        <w:pStyle w:val="3"/>
        <w:spacing w:line="240" w:lineRule="auto"/>
        <w:rPr>
          <w:rFonts w:ascii="宋体" w:hAnsi="宋体" w:eastAsia="宋体" w:cs="宋体"/>
          <w:color w:val="auto"/>
          <w:sz w:val="24"/>
          <w:szCs w:val="24"/>
          <w:highlight w:val="none"/>
        </w:rPr>
      </w:pPr>
      <w:bookmarkStart w:id="61" w:name="_Toc27161"/>
      <w:r>
        <w:rPr>
          <w:rFonts w:hint="eastAsia" w:ascii="宋体" w:hAnsi="宋体" w:eastAsia="宋体" w:cs="宋体"/>
          <w:color w:val="auto"/>
          <w:sz w:val="24"/>
          <w:szCs w:val="24"/>
          <w:highlight w:val="none"/>
        </w:rPr>
        <w:t>附件二</w:t>
      </w:r>
      <w:bookmarkEnd w:id="58"/>
      <w:bookmarkEnd w:id="59"/>
      <w:r>
        <w:rPr>
          <w:rFonts w:hint="eastAsia" w:ascii="宋体" w:hAnsi="宋体" w:eastAsia="宋体" w:cs="宋体"/>
          <w:color w:val="auto"/>
          <w:sz w:val="24"/>
          <w:szCs w:val="24"/>
          <w:highlight w:val="none"/>
        </w:rPr>
        <w:t xml:space="preserve"> 投标报价一览表</w:t>
      </w:r>
      <w:bookmarkEnd w:id="60"/>
      <w:bookmarkEnd w:id="61"/>
    </w:p>
    <w:p w14:paraId="5DF3224F">
      <w:pPr>
        <w:spacing w:line="380" w:lineRule="exact"/>
        <w:jc w:val="center"/>
        <w:rPr>
          <w:rFonts w:ascii="宋体" w:hAnsi="宋体" w:cs="宋体"/>
          <w:b/>
          <w:bCs/>
          <w:color w:val="auto"/>
          <w:sz w:val="28"/>
          <w:highlight w:val="none"/>
        </w:rPr>
      </w:pPr>
      <w:bookmarkStart w:id="62" w:name="_Toc218392090"/>
      <w:bookmarkStart w:id="63" w:name="_Toc195336281"/>
      <w:bookmarkStart w:id="64" w:name="_Toc345161250"/>
      <w:bookmarkStart w:id="65" w:name="_Toc230773786"/>
      <w:bookmarkStart w:id="66" w:name="_Toc230773789"/>
    </w:p>
    <w:p w14:paraId="71B48F0F">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投标报价一览表</w:t>
      </w:r>
    </w:p>
    <w:p w14:paraId="1319044B">
      <w:pPr>
        <w:spacing w:line="380" w:lineRule="exact"/>
        <w:jc w:val="center"/>
        <w:rPr>
          <w:rFonts w:ascii="宋体" w:hAnsi="宋体" w:cs="宋体"/>
          <w:b/>
          <w:bCs/>
          <w:color w:val="auto"/>
          <w:sz w:val="28"/>
          <w:highlight w:val="none"/>
        </w:rPr>
      </w:pPr>
    </w:p>
    <w:p w14:paraId="6D08AEDF">
      <w:pPr>
        <w:spacing w:line="38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项目名称：                          </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 xml:space="preserve">          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5238"/>
        <w:gridCol w:w="1782"/>
      </w:tblGrid>
      <w:tr w14:paraId="6E17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Align w:val="center"/>
          </w:tcPr>
          <w:p w14:paraId="6469E70C">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1980" w:type="dxa"/>
            <w:vAlign w:val="center"/>
          </w:tcPr>
          <w:p w14:paraId="052EA66A">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项目名称</w:t>
            </w:r>
          </w:p>
        </w:tc>
        <w:tc>
          <w:tcPr>
            <w:tcW w:w="5238" w:type="dxa"/>
            <w:vAlign w:val="center"/>
          </w:tcPr>
          <w:p w14:paraId="40C16EED">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投标报价</w:t>
            </w:r>
          </w:p>
        </w:tc>
        <w:tc>
          <w:tcPr>
            <w:tcW w:w="1782" w:type="dxa"/>
            <w:vAlign w:val="center"/>
          </w:tcPr>
          <w:p w14:paraId="3765484B">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备注</w:t>
            </w:r>
          </w:p>
        </w:tc>
      </w:tr>
      <w:tr w14:paraId="133A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28" w:type="dxa"/>
            <w:vMerge w:val="restart"/>
            <w:vAlign w:val="center"/>
          </w:tcPr>
          <w:p w14:paraId="4DF6E0FA">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w:t>
            </w:r>
          </w:p>
        </w:tc>
        <w:tc>
          <w:tcPr>
            <w:tcW w:w="1980" w:type="dxa"/>
            <w:vMerge w:val="restart"/>
            <w:vAlign w:val="center"/>
          </w:tcPr>
          <w:p w14:paraId="1CE81385">
            <w:pPr>
              <w:spacing w:line="3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2026年绿化养护采购</w:t>
            </w:r>
          </w:p>
        </w:tc>
        <w:tc>
          <w:tcPr>
            <w:tcW w:w="5238" w:type="dxa"/>
            <w:vAlign w:val="center"/>
          </w:tcPr>
          <w:p w14:paraId="44B1C419">
            <w:pPr>
              <w:spacing w:line="380" w:lineRule="exact"/>
              <w:rPr>
                <w:rFonts w:ascii="宋体" w:hAnsi="宋体"/>
                <w:bCs/>
                <w:color w:val="auto"/>
                <w:sz w:val="22"/>
                <w:szCs w:val="22"/>
                <w:highlight w:val="none"/>
              </w:rPr>
            </w:pPr>
            <w:r>
              <w:rPr>
                <w:rFonts w:hint="eastAsia" w:ascii="宋体" w:hAnsi="宋体"/>
                <w:bCs/>
                <w:color w:val="auto"/>
                <w:sz w:val="22"/>
                <w:szCs w:val="22"/>
                <w:highlight w:val="none"/>
              </w:rPr>
              <w:t>小写：￥</w:t>
            </w:r>
          </w:p>
        </w:tc>
        <w:tc>
          <w:tcPr>
            <w:tcW w:w="1782" w:type="dxa"/>
            <w:vMerge w:val="restart"/>
            <w:vAlign w:val="center"/>
          </w:tcPr>
          <w:p w14:paraId="133A1523">
            <w:pPr>
              <w:spacing w:line="380" w:lineRule="exact"/>
              <w:jc w:val="center"/>
              <w:rPr>
                <w:rFonts w:hint="default" w:ascii="宋体" w:hAnsi="宋体" w:eastAsia="宋体"/>
                <w:bCs/>
                <w:color w:val="auto"/>
                <w:sz w:val="22"/>
                <w:szCs w:val="22"/>
                <w:highlight w:val="none"/>
                <w:u w:val="single"/>
                <w:lang w:val="en-US" w:eastAsia="zh-CN"/>
              </w:rPr>
            </w:pPr>
            <w:r>
              <w:rPr>
                <w:rFonts w:hint="eastAsia" w:ascii="宋体" w:hAnsi="宋体"/>
                <w:bCs/>
                <w:color w:val="auto"/>
                <w:sz w:val="22"/>
                <w:szCs w:val="22"/>
                <w:highlight w:val="none"/>
                <w:u w:val="single"/>
                <w:lang w:val="en-US" w:eastAsia="zh-CN"/>
              </w:rPr>
              <w:t>承包服务期2年</w:t>
            </w:r>
          </w:p>
        </w:tc>
      </w:tr>
      <w:tr w14:paraId="2AEB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28" w:type="dxa"/>
            <w:vMerge w:val="continue"/>
            <w:vAlign w:val="center"/>
          </w:tcPr>
          <w:p w14:paraId="21786444">
            <w:pPr>
              <w:spacing w:line="380" w:lineRule="exact"/>
              <w:jc w:val="center"/>
              <w:rPr>
                <w:rFonts w:ascii="宋体" w:hAnsi="宋体" w:cs="宋体"/>
                <w:color w:val="auto"/>
                <w:sz w:val="22"/>
                <w:szCs w:val="22"/>
                <w:highlight w:val="none"/>
              </w:rPr>
            </w:pPr>
          </w:p>
        </w:tc>
        <w:tc>
          <w:tcPr>
            <w:tcW w:w="1980" w:type="dxa"/>
            <w:vMerge w:val="continue"/>
            <w:vAlign w:val="center"/>
          </w:tcPr>
          <w:p w14:paraId="64CC1DE7">
            <w:pPr>
              <w:spacing w:line="380" w:lineRule="exact"/>
              <w:jc w:val="center"/>
              <w:rPr>
                <w:rFonts w:ascii="宋体" w:hAnsi="宋体" w:cs="宋体"/>
                <w:color w:val="auto"/>
                <w:sz w:val="22"/>
                <w:szCs w:val="22"/>
                <w:highlight w:val="none"/>
              </w:rPr>
            </w:pPr>
          </w:p>
        </w:tc>
        <w:tc>
          <w:tcPr>
            <w:tcW w:w="5238" w:type="dxa"/>
            <w:vAlign w:val="center"/>
          </w:tcPr>
          <w:p w14:paraId="1FCD74FB">
            <w:pPr>
              <w:spacing w:line="380" w:lineRule="exact"/>
              <w:rPr>
                <w:rFonts w:ascii="宋体" w:hAnsi="宋体"/>
                <w:bCs/>
                <w:color w:val="auto"/>
                <w:sz w:val="22"/>
                <w:szCs w:val="22"/>
                <w:highlight w:val="none"/>
              </w:rPr>
            </w:pPr>
            <w:r>
              <w:rPr>
                <w:rFonts w:hint="eastAsia" w:ascii="宋体" w:hAnsi="宋体"/>
                <w:bCs/>
                <w:color w:val="auto"/>
                <w:sz w:val="22"/>
                <w:szCs w:val="22"/>
                <w:highlight w:val="none"/>
              </w:rPr>
              <w:t>大写：人民币</w:t>
            </w:r>
          </w:p>
        </w:tc>
        <w:tc>
          <w:tcPr>
            <w:tcW w:w="1782" w:type="dxa"/>
            <w:vMerge w:val="continue"/>
            <w:vAlign w:val="center"/>
          </w:tcPr>
          <w:p w14:paraId="25A5D210">
            <w:pPr>
              <w:spacing w:line="380" w:lineRule="exact"/>
              <w:jc w:val="center"/>
              <w:rPr>
                <w:rFonts w:ascii="宋体" w:hAnsi="宋体"/>
                <w:bCs/>
                <w:color w:val="auto"/>
                <w:sz w:val="22"/>
                <w:szCs w:val="22"/>
                <w:highlight w:val="none"/>
              </w:rPr>
            </w:pPr>
          </w:p>
        </w:tc>
      </w:tr>
    </w:tbl>
    <w:p w14:paraId="695C5B2B">
      <w:pPr>
        <w:spacing w:line="440" w:lineRule="exact"/>
        <w:ind w:left="528" w:leftChars="38" w:hanging="448" w:hangingChars="203"/>
        <w:rPr>
          <w:rFonts w:ascii="宋体" w:hAnsi="宋体"/>
          <w:b/>
          <w:bCs/>
          <w:color w:val="auto"/>
          <w:sz w:val="22"/>
          <w:szCs w:val="22"/>
          <w:highlight w:val="none"/>
        </w:rPr>
      </w:pPr>
      <w:r>
        <w:rPr>
          <w:rFonts w:hint="eastAsia" w:ascii="宋体" w:hAnsi="宋体" w:cs="宋体"/>
          <w:b/>
          <w:bCs/>
          <w:color w:val="auto"/>
          <w:sz w:val="22"/>
          <w:szCs w:val="22"/>
          <w:highlight w:val="none"/>
        </w:rPr>
        <w:t>说明：</w:t>
      </w:r>
      <w:r>
        <w:rPr>
          <w:rFonts w:hint="eastAsia" w:ascii="宋体" w:hAnsi="宋体"/>
          <w:b/>
          <w:bCs/>
          <w:color w:val="auto"/>
          <w:sz w:val="22"/>
          <w:szCs w:val="22"/>
          <w:highlight w:val="none"/>
        </w:rPr>
        <w:t>1.此栏内投标报价应与附件三“投标分项报价表”中相应总计价相一致；</w:t>
      </w:r>
    </w:p>
    <w:p w14:paraId="08D9A17A">
      <w:pPr>
        <w:spacing w:line="440" w:lineRule="exact"/>
        <w:ind w:left="535" w:leftChars="-171" w:hanging="894" w:hangingChars="405"/>
        <w:rPr>
          <w:rFonts w:ascii="宋体" w:hAnsi="宋体"/>
          <w:b/>
          <w:bCs/>
          <w:color w:val="auto"/>
          <w:sz w:val="22"/>
          <w:szCs w:val="22"/>
          <w:highlight w:val="none"/>
        </w:rPr>
      </w:pPr>
      <w:r>
        <w:rPr>
          <w:rFonts w:hint="eastAsia" w:ascii="宋体" w:hAnsi="宋体"/>
          <w:b/>
          <w:bCs/>
          <w:color w:val="auto"/>
          <w:sz w:val="22"/>
          <w:szCs w:val="22"/>
          <w:highlight w:val="none"/>
        </w:rPr>
        <w:t xml:space="preserve">          2.总报价应包括采购代理服务费。</w:t>
      </w:r>
    </w:p>
    <w:p w14:paraId="1944391B">
      <w:pPr>
        <w:spacing w:line="440" w:lineRule="exact"/>
        <w:ind w:firstLine="9460" w:firstLineChars="4300"/>
        <w:rPr>
          <w:rFonts w:ascii="宋体" w:hAnsi="宋体" w:cs="宋体"/>
          <w:color w:val="auto"/>
          <w:sz w:val="22"/>
          <w:szCs w:val="22"/>
          <w:highlight w:val="none"/>
        </w:rPr>
      </w:pPr>
    </w:p>
    <w:p w14:paraId="398535F2">
      <w:pPr>
        <w:spacing w:line="440" w:lineRule="exact"/>
        <w:ind w:firstLine="9460" w:firstLineChars="4300"/>
        <w:rPr>
          <w:rFonts w:ascii="宋体" w:hAnsi="宋体" w:cs="宋体"/>
          <w:color w:val="auto"/>
          <w:sz w:val="22"/>
          <w:szCs w:val="22"/>
          <w:highlight w:val="none"/>
        </w:rPr>
      </w:pPr>
    </w:p>
    <w:p w14:paraId="63BFD7D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投标人全称（电子签名/公章）：</w:t>
      </w:r>
    </w:p>
    <w:p w14:paraId="07BA149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20F6F621">
      <w:pPr>
        <w:spacing w:line="440" w:lineRule="exact"/>
        <w:rPr>
          <w:rFonts w:ascii="宋体" w:hAnsi="宋体" w:cs="宋体"/>
          <w:color w:val="auto"/>
          <w:sz w:val="22"/>
          <w:szCs w:val="22"/>
          <w:highlight w:val="none"/>
        </w:rPr>
      </w:pPr>
    </w:p>
    <w:p w14:paraId="59EEC11C">
      <w:pPr>
        <w:pStyle w:val="3"/>
        <w:spacing w:line="240" w:lineRule="auto"/>
        <w:rPr>
          <w:rFonts w:ascii="宋体" w:hAnsi="宋体" w:eastAsia="宋体"/>
          <w:color w:val="auto"/>
          <w:sz w:val="24"/>
          <w:szCs w:val="24"/>
          <w:highlight w:val="none"/>
        </w:rPr>
      </w:pPr>
      <w:bookmarkStart w:id="67" w:name="_Toc340922814"/>
      <w:r>
        <w:rPr>
          <w:rFonts w:ascii="宋体" w:hAnsi="宋体" w:eastAsia="宋体"/>
          <w:color w:val="auto"/>
          <w:sz w:val="24"/>
          <w:szCs w:val="24"/>
          <w:highlight w:val="none"/>
        </w:rPr>
        <w:br w:type="page"/>
      </w:r>
      <w:bookmarkStart w:id="68" w:name="_Toc24412"/>
      <w:bookmarkStart w:id="69" w:name="_Toc23721"/>
      <w:bookmarkStart w:id="70" w:name="_Toc20986"/>
      <w:r>
        <w:rPr>
          <w:rFonts w:hint="eastAsia" w:ascii="宋体" w:hAnsi="宋体" w:eastAsia="宋体"/>
          <w:color w:val="auto"/>
          <w:sz w:val="24"/>
          <w:szCs w:val="24"/>
          <w:highlight w:val="none"/>
        </w:rPr>
        <w:t>附件三 投标分项报价表</w:t>
      </w:r>
      <w:bookmarkEnd w:id="68"/>
      <w:bookmarkEnd w:id="69"/>
      <w:bookmarkEnd w:id="70"/>
    </w:p>
    <w:p w14:paraId="789D960D">
      <w:pPr>
        <w:spacing w:line="440" w:lineRule="exact"/>
        <w:jc w:val="center"/>
        <w:rPr>
          <w:rFonts w:ascii="宋体" w:hAnsi="宋体"/>
          <w:bCs/>
          <w:color w:val="auto"/>
          <w:sz w:val="28"/>
          <w:szCs w:val="28"/>
          <w:highlight w:val="none"/>
        </w:rPr>
      </w:pPr>
      <w:r>
        <w:rPr>
          <w:rFonts w:hint="eastAsia" w:ascii="宋体" w:hAnsi="宋体"/>
          <w:b/>
          <w:bCs/>
          <w:color w:val="auto"/>
          <w:sz w:val="28"/>
          <w:szCs w:val="28"/>
          <w:highlight w:val="none"/>
        </w:rPr>
        <w:t>投标分项报价表</w:t>
      </w:r>
    </w:p>
    <w:p w14:paraId="25250078">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40"/>
        <w:tblW w:w="9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047"/>
        <w:gridCol w:w="1355"/>
        <w:gridCol w:w="1640"/>
        <w:gridCol w:w="920"/>
        <w:gridCol w:w="1940"/>
        <w:gridCol w:w="1467"/>
      </w:tblGrid>
      <w:tr w14:paraId="69EE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02" w:type="dxa"/>
            <w:noWrap w:val="0"/>
            <w:vAlign w:val="center"/>
          </w:tcPr>
          <w:p w14:paraId="4B0AE1E8">
            <w:pPr>
              <w:tabs>
                <w:tab w:val="left" w:pos="1620"/>
              </w:tabs>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序号</w:t>
            </w:r>
          </w:p>
        </w:tc>
        <w:tc>
          <w:tcPr>
            <w:tcW w:w="2047" w:type="dxa"/>
            <w:noWrap w:val="0"/>
            <w:vAlign w:val="center"/>
          </w:tcPr>
          <w:p w14:paraId="07F544A3">
            <w:pPr>
              <w:tabs>
                <w:tab w:val="left" w:pos="1620"/>
              </w:tabs>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内    容</w:t>
            </w:r>
          </w:p>
        </w:tc>
        <w:tc>
          <w:tcPr>
            <w:tcW w:w="1355" w:type="dxa"/>
            <w:noWrap w:val="0"/>
            <w:vAlign w:val="center"/>
          </w:tcPr>
          <w:p w14:paraId="6B3B8637">
            <w:pPr>
              <w:tabs>
                <w:tab w:val="left" w:pos="1620"/>
              </w:tabs>
              <w:spacing w:line="400" w:lineRule="exact"/>
              <w:jc w:val="center"/>
              <w:rPr>
                <w:rFonts w:hint="eastAsia" w:ascii="宋体" w:hAnsi="宋体"/>
                <w:b/>
                <w:color w:val="auto"/>
                <w:sz w:val="22"/>
                <w:szCs w:val="22"/>
                <w:highlight w:val="none"/>
              </w:rPr>
            </w:pPr>
            <w:r>
              <w:rPr>
                <w:rFonts w:ascii="宋体" w:hAnsi="宋体" w:cs="Arial"/>
                <w:b/>
                <w:color w:val="auto"/>
                <w:sz w:val="22"/>
                <w:szCs w:val="22"/>
                <w:highlight w:val="none"/>
              </w:rPr>
              <w:t>数量</w:t>
            </w:r>
          </w:p>
        </w:tc>
        <w:tc>
          <w:tcPr>
            <w:tcW w:w="1640" w:type="dxa"/>
            <w:noWrap w:val="0"/>
            <w:vAlign w:val="center"/>
          </w:tcPr>
          <w:p w14:paraId="32C735F0">
            <w:pPr>
              <w:tabs>
                <w:tab w:val="left" w:pos="1620"/>
              </w:tabs>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综合单价</w:t>
            </w:r>
          </w:p>
          <w:p w14:paraId="0EBAF6FB">
            <w:pPr>
              <w:tabs>
                <w:tab w:val="left" w:pos="1620"/>
              </w:tabs>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（元）</w:t>
            </w:r>
          </w:p>
        </w:tc>
        <w:tc>
          <w:tcPr>
            <w:tcW w:w="920" w:type="dxa"/>
            <w:noWrap w:val="0"/>
            <w:vAlign w:val="center"/>
          </w:tcPr>
          <w:p w14:paraId="422B4F90">
            <w:pPr>
              <w:tabs>
                <w:tab w:val="left" w:pos="1620"/>
              </w:tabs>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养护期</w:t>
            </w:r>
          </w:p>
        </w:tc>
        <w:tc>
          <w:tcPr>
            <w:tcW w:w="1940" w:type="dxa"/>
            <w:noWrap w:val="0"/>
            <w:vAlign w:val="center"/>
          </w:tcPr>
          <w:p w14:paraId="3020BD6A">
            <w:pPr>
              <w:tabs>
                <w:tab w:val="left" w:pos="1620"/>
              </w:tabs>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合价（元）</w:t>
            </w:r>
          </w:p>
        </w:tc>
        <w:tc>
          <w:tcPr>
            <w:tcW w:w="1467" w:type="dxa"/>
            <w:noWrap w:val="0"/>
            <w:vAlign w:val="center"/>
          </w:tcPr>
          <w:p w14:paraId="7C54A1CA">
            <w:pPr>
              <w:tabs>
                <w:tab w:val="left" w:pos="1620"/>
              </w:tabs>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备  注</w:t>
            </w:r>
          </w:p>
        </w:tc>
      </w:tr>
      <w:tr w14:paraId="4A55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02" w:type="dxa"/>
            <w:noWrap w:val="0"/>
            <w:vAlign w:val="center"/>
          </w:tcPr>
          <w:p w14:paraId="0F08D66D">
            <w:pPr>
              <w:tabs>
                <w:tab w:val="left" w:pos="1620"/>
              </w:tabs>
              <w:spacing w:line="400" w:lineRule="exact"/>
              <w:jc w:val="center"/>
              <w:rPr>
                <w:rFonts w:hint="eastAsia" w:ascii="宋体" w:hAnsi="宋体"/>
                <w:b w:val="0"/>
                <w:bCs/>
                <w:color w:val="auto"/>
                <w:sz w:val="22"/>
                <w:szCs w:val="22"/>
                <w:highlight w:val="none"/>
              </w:rPr>
            </w:pPr>
            <w:r>
              <w:rPr>
                <w:rFonts w:hint="eastAsia" w:ascii="宋体" w:hAnsi="宋体"/>
                <w:b w:val="0"/>
                <w:bCs/>
                <w:color w:val="auto"/>
                <w:sz w:val="22"/>
                <w:szCs w:val="22"/>
                <w:highlight w:val="none"/>
              </w:rPr>
              <w:t>1</w:t>
            </w:r>
          </w:p>
        </w:tc>
        <w:tc>
          <w:tcPr>
            <w:tcW w:w="2047" w:type="dxa"/>
            <w:noWrap w:val="0"/>
            <w:vAlign w:val="center"/>
          </w:tcPr>
          <w:p w14:paraId="72BEE84F">
            <w:pPr>
              <w:tabs>
                <w:tab w:val="left" w:pos="1620"/>
              </w:tabs>
              <w:spacing w:line="400" w:lineRule="exact"/>
              <w:jc w:val="center"/>
              <w:rPr>
                <w:rFonts w:hint="eastAsia" w:ascii="宋体" w:hAnsi="宋体" w:eastAsia="宋体"/>
                <w:b w:val="0"/>
                <w:bCs/>
                <w:color w:val="auto"/>
                <w:sz w:val="22"/>
                <w:szCs w:val="22"/>
                <w:highlight w:val="none"/>
                <w:lang w:val="en-US" w:eastAsia="zh-CN"/>
              </w:rPr>
            </w:pPr>
            <w:r>
              <w:rPr>
                <w:rFonts w:hint="eastAsia" w:ascii="宋体" w:hAnsi="宋体" w:eastAsia="宋体"/>
                <w:b w:val="0"/>
                <w:bCs/>
                <w:color w:val="auto"/>
                <w:sz w:val="22"/>
                <w:szCs w:val="22"/>
                <w:highlight w:val="none"/>
                <w:lang w:val="en-US" w:eastAsia="zh-CN"/>
              </w:rPr>
              <w:t>潘桥院区绿地养护（含一期和二期绿地养护）</w:t>
            </w:r>
          </w:p>
        </w:tc>
        <w:tc>
          <w:tcPr>
            <w:tcW w:w="1355" w:type="dxa"/>
            <w:noWrap w:val="0"/>
            <w:vAlign w:val="center"/>
          </w:tcPr>
          <w:p w14:paraId="6B8ED9D8">
            <w:pPr>
              <w:tabs>
                <w:tab w:val="left" w:pos="1620"/>
              </w:tabs>
              <w:spacing w:line="400" w:lineRule="exact"/>
              <w:jc w:val="center"/>
              <w:rPr>
                <w:rFonts w:ascii="宋体" w:hAnsi="宋体" w:cs="Arial"/>
                <w:b w:val="0"/>
                <w:bCs/>
                <w:color w:val="auto"/>
                <w:sz w:val="22"/>
                <w:szCs w:val="22"/>
                <w:highlight w:val="none"/>
              </w:rPr>
            </w:pPr>
            <w:r>
              <w:rPr>
                <w:rFonts w:hint="eastAsia" w:ascii="宋体" w:hAnsi="宋体" w:eastAsia="宋体" w:cs="宋体"/>
                <w:b w:val="0"/>
                <w:bCs/>
                <w:color w:val="auto"/>
                <w:sz w:val="22"/>
                <w:szCs w:val="22"/>
                <w:highlight w:val="none"/>
              </w:rPr>
              <w:t>1</w:t>
            </w:r>
            <w:r>
              <w:rPr>
                <w:rFonts w:hint="eastAsia" w:ascii="宋体" w:hAnsi="宋体" w:eastAsia="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rPr>
              <w:t>049.84㎡</w:t>
            </w:r>
          </w:p>
        </w:tc>
        <w:tc>
          <w:tcPr>
            <w:tcW w:w="1640" w:type="dxa"/>
            <w:noWrap w:val="0"/>
            <w:vAlign w:val="center"/>
          </w:tcPr>
          <w:p w14:paraId="60584885">
            <w:pPr>
              <w:tabs>
                <w:tab w:val="left" w:pos="1620"/>
              </w:tabs>
              <w:spacing w:line="400" w:lineRule="exact"/>
              <w:jc w:val="center"/>
              <w:rPr>
                <w:rFonts w:hint="eastAsia" w:ascii="宋体" w:hAnsi="宋体"/>
                <w:b w:val="0"/>
                <w:bCs/>
                <w:color w:val="auto"/>
                <w:sz w:val="22"/>
                <w:szCs w:val="22"/>
                <w:highlight w:val="none"/>
              </w:rPr>
            </w:pPr>
          </w:p>
        </w:tc>
        <w:tc>
          <w:tcPr>
            <w:tcW w:w="920" w:type="dxa"/>
            <w:vMerge w:val="restart"/>
            <w:noWrap w:val="0"/>
            <w:vAlign w:val="center"/>
          </w:tcPr>
          <w:p w14:paraId="7B368A5F">
            <w:pPr>
              <w:tabs>
                <w:tab w:val="left" w:pos="1620"/>
              </w:tabs>
              <w:spacing w:line="400" w:lineRule="exact"/>
              <w:jc w:val="center"/>
              <w:rPr>
                <w:rFonts w:hint="default" w:ascii="宋体" w:hAnsi="宋体"/>
                <w:b w:val="0"/>
                <w:bCs/>
                <w:color w:val="auto"/>
                <w:sz w:val="22"/>
                <w:szCs w:val="22"/>
                <w:highlight w:val="none"/>
                <w:lang w:val="en-US"/>
              </w:rPr>
            </w:pPr>
            <w:r>
              <w:rPr>
                <w:rFonts w:hint="eastAsia" w:ascii="宋体" w:hAnsi="宋体" w:eastAsia="宋体" w:cs="宋体"/>
                <w:b w:val="0"/>
                <w:bCs/>
                <w:color w:val="auto"/>
                <w:sz w:val="22"/>
                <w:szCs w:val="22"/>
                <w:highlight w:val="none"/>
                <w:lang w:val="en-US" w:eastAsia="zh-CN"/>
              </w:rPr>
              <w:t>2年</w:t>
            </w:r>
          </w:p>
        </w:tc>
        <w:tc>
          <w:tcPr>
            <w:tcW w:w="1940" w:type="dxa"/>
            <w:noWrap w:val="0"/>
            <w:vAlign w:val="center"/>
          </w:tcPr>
          <w:p w14:paraId="39B01724">
            <w:pPr>
              <w:tabs>
                <w:tab w:val="left" w:pos="1620"/>
              </w:tabs>
              <w:spacing w:line="400" w:lineRule="exact"/>
              <w:jc w:val="center"/>
              <w:rPr>
                <w:rFonts w:hint="eastAsia" w:ascii="宋体" w:hAnsi="宋体"/>
                <w:b w:val="0"/>
                <w:bCs/>
                <w:color w:val="auto"/>
                <w:sz w:val="22"/>
                <w:szCs w:val="22"/>
                <w:highlight w:val="none"/>
              </w:rPr>
            </w:pPr>
          </w:p>
        </w:tc>
        <w:tc>
          <w:tcPr>
            <w:tcW w:w="1467" w:type="dxa"/>
            <w:vMerge w:val="restart"/>
            <w:noWrap w:val="0"/>
            <w:vAlign w:val="center"/>
          </w:tcPr>
          <w:p w14:paraId="501CC473">
            <w:pPr>
              <w:tabs>
                <w:tab w:val="left" w:pos="1620"/>
              </w:tabs>
              <w:spacing w:line="400" w:lineRule="exact"/>
              <w:jc w:val="center"/>
              <w:rPr>
                <w:rFonts w:hint="eastAsia" w:ascii="宋体" w:hAnsi="宋体"/>
                <w:b w:val="0"/>
                <w:bCs/>
                <w:color w:val="auto"/>
                <w:sz w:val="22"/>
                <w:szCs w:val="22"/>
                <w:highlight w:val="none"/>
              </w:rPr>
            </w:pPr>
            <w:r>
              <w:rPr>
                <w:rFonts w:hint="eastAsia" w:ascii="宋体" w:hAnsi="宋体" w:eastAsia="宋体" w:cs="宋体"/>
                <w:b w:val="0"/>
                <w:bCs/>
                <w:color w:val="auto"/>
                <w:sz w:val="22"/>
                <w:szCs w:val="22"/>
                <w:highlight w:val="none"/>
              </w:rPr>
              <w:t>含草坪、灌木、乔木、垂直绿化的养护以及护栏、树牌、警示牌等附属设施的维护</w:t>
            </w:r>
          </w:p>
        </w:tc>
      </w:tr>
      <w:tr w14:paraId="00CC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02" w:type="dxa"/>
            <w:noWrap w:val="0"/>
            <w:vAlign w:val="center"/>
          </w:tcPr>
          <w:p w14:paraId="2424D84A">
            <w:pPr>
              <w:tabs>
                <w:tab w:val="left" w:pos="1620"/>
              </w:tabs>
              <w:spacing w:line="400" w:lineRule="exact"/>
              <w:jc w:val="center"/>
              <w:rPr>
                <w:rFonts w:hint="eastAsia" w:ascii="宋体" w:hAnsi="宋体"/>
                <w:b w:val="0"/>
                <w:bCs/>
                <w:color w:val="auto"/>
                <w:sz w:val="22"/>
                <w:szCs w:val="22"/>
                <w:highlight w:val="none"/>
              </w:rPr>
            </w:pPr>
            <w:r>
              <w:rPr>
                <w:rFonts w:hint="eastAsia" w:ascii="宋体" w:hAnsi="宋体"/>
                <w:b w:val="0"/>
                <w:bCs/>
                <w:color w:val="auto"/>
                <w:sz w:val="22"/>
                <w:szCs w:val="22"/>
                <w:highlight w:val="none"/>
              </w:rPr>
              <w:t>2</w:t>
            </w:r>
          </w:p>
        </w:tc>
        <w:tc>
          <w:tcPr>
            <w:tcW w:w="2047" w:type="dxa"/>
            <w:noWrap w:val="0"/>
            <w:vAlign w:val="center"/>
          </w:tcPr>
          <w:p w14:paraId="432476E6">
            <w:pPr>
              <w:tabs>
                <w:tab w:val="left" w:pos="1620"/>
              </w:tabs>
              <w:spacing w:line="400" w:lineRule="exact"/>
              <w:jc w:val="center"/>
              <w:rPr>
                <w:rFonts w:hint="eastAsia" w:ascii="宋体" w:hAnsi="宋体" w:eastAsia="宋体"/>
                <w:b w:val="0"/>
                <w:bCs/>
                <w:color w:val="auto"/>
                <w:sz w:val="22"/>
                <w:szCs w:val="22"/>
                <w:highlight w:val="none"/>
                <w:lang w:val="en-US" w:eastAsia="zh-CN"/>
              </w:rPr>
            </w:pPr>
            <w:r>
              <w:rPr>
                <w:rFonts w:hint="eastAsia" w:ascii="宋体" w:hAnsi="宋体" w:eastAsia="宋体"/>
                <w:b w:val="0"/>
                <w:bCs/>
                <w:color w:val="auto"/>
                <w:sz w:val="22"/>
                <w:szCs w:val="22"/>
                <w:highlight w:val="none"/>
                <w:lang w:val="en-US" w:eastAsia="zh-CN"/>
              </w:rPr>
              <w:t>潘桥院区大门口时花种植</w:t>
            </w:r>
          </w:p>
        </w:tc>
        <w:tc>
          <w:tcPr>
            <w:tcW w:w="1355" w:type="dxa"/>
            <w:noWrap w:val="0"/>
            <w:vAlign w:val="center"/>
          </w:tcPr>
          <w:p w14:paraId="694B6E21">
            <w:pPr>
              <w:tabs>
                <w:tab w:val="left" w:pos="1620"/>
              </w:tabs>
              <w:spacing w:line="400" w:lineRule="exact"/>
              <w:jc w:val="center"/>
              <w:rPr>
                <w:rFonts w:ascii="宋体" w:hAnsi="宋体" w:cs="Arial"/>
                <w:b w:val="0"/>
                <w:bCs/>
                <w:color w:val="auto"/>
                <w:sz w:val="22"/>
                <w:szCs w:val="22"/>
                <w:highlight w:val="none"/>
              </w:rPr>
            </w:pPr>
            <w:r>
              <w:rPr>
                <w:rFonts w:hint="eastAsia" w:ascii="宋体" w:hAnsi="宋体" w:eastAsia="宋体" w:cs="宋体"/>
                <w:b w:val="0"/>
                <w:bCs/>
                <w:color w:val="auto"/>
                <w:sz w:val="22"/>
                <w:szCs w:val="22"/>
                <w:highlight w:val="none"/>
                <w:lang w:val="en-US" w:eastAsia="zh-CN"/>
              </w:rPr>
              <w:t>50</w:t>
            </w:r>
            <w:r>
              <w:rPr>
                <w:rFonts w:hint="eastAsia" w:ascii="宋体" w:hAnsi="宋体" w:eastAsia="宋体" w:cs="宋体"/>
                <w:b w:val="0"/>
                <w:bCs/>
                <w:color w:val="auto"/>
                <w:sz w:val="22"/>
                <w:szCs w:val="22"/>
                <w:highlight w:val="none"/>
              </w:rPr>
              <w:t>㎡</w:t>
            </w:r>
          </w:p>
        </w:tc>
        <w:tc>
          <w:tcPr>
            <w:tcW w:w="1640" w:type="dxa"/>
            <w:noWrap w:val="0"/>
            <w:vAlign w:val="center"/>
          </w:tcPr>
          <w:p w14:paraId="560B792C">
            <w:pPr>
              <w:tabs>
                <w:tab w:val="left" w:pos="1620"/>
              </w:tabs>
              <w:spacing w:line="400" w:lineRule="exact"/>
              <w:jc w:val="center"/>
              <w:rPr>
                <w:rFonts w:hint="eastAsia" w:ascii="宋体" w:hAnsi="宋体"/>
                <w:b w:val="0"/>
                <w:bCs/>
                <w:color w:val="auto"/>
                <w:sz w:val="22"/>
                <w:szCs w:val="22"/>
                <w:highlight w:val="none"/>
              </w:rPr>
            </w:pPr>
          </w:p>
        </w:tc>
        <w:tc>
          <w:tcPr>
            <w:tcW w:w="920" w:type="dxa"/>
            <w:vMerge w:val="continue"/>
            <w:noWrap w:val="0"/>
            <w:vAlign w:val="center"/>
          </w:tcPr>
          <w:p w14:paraId="5EC886A0">
            <w:pPr>
              <w:tabs>
                <w:tab w:val="left" w:pos="1620"/>
              </w:tabs>
              <w:spacing w:line="400" w:lineRule="exact"/>
              <w:jc w:val="center"/>
              <w:rPr>
                <w:rFonts w:hint="eastAsia" w:ascii="宋体" w:hAnsi="宋体"/>
                <w:b w:val="0"/>
                <w:bCs/>
                <w:color w:val="auto"/>
                <w:sz w:val="22"/>
                <w:szCs w:val="22"/>
                <w:highlight w:val="none"/>
              </w:rPr>
            </w:pPr>
          </w:p>
        </w:tc>
        <w:tc>
          <w:tcPr>
            <w:tcW w:w="1940" w:type="dxa"/>
            <w:noWrap w:val="0"/>
            <w:vAlign w:val="center"/>
          </w:tcPr>
          <w:p w14:paraId="3F1FE2CB">
            <w:pPr>
              <w:tabs>
                <w:tab w:val="left" w:pos="1620"/>
              </w:tabs>
              <w:spacing w:line="400" w:lineRule="exact"/>
              <w:jc w:val="center"/>
              <w:rPr>
                <w:rFonts w:hint="eastAsia" w:ascii="宋体" w:hAnsi="宋体"/>
                <w:b w:val="0"/>
                <w:bCs/>
                <w:color w:val="auto"/>
                <w:sz w:val="22"/>
                <w:szCs w:val="22"/>
                <w:highlight w:val="none"/>
              </w:rPr>
            </w:pPr>
          </w:p>
        </w:tc>
        <w:tc>
          <w:tcPr>
            <w:tcW w:w="1467" w:type="dxa"/>
            <w:vMerge w:val="continue"/>
            <w:noWrap w:val="0"/>
            <w:vAlign w:val="center"/>
          </w:tcPr>
          <w:p w14:paraId="659D6A36">
            <w:pPr>
              <w:tabs>
                <w:tab w:val="left" w:pos="1620"/>
              </w:tabs>
              <w:spacing w:line="400" w:lineRule="exact"/>
              <w:jc w:val="center"/>
              <w:rPr>
                <w:rFonts w:hint="eastAsia" w:ascii="宋体" w:hAnsi="宋体"/>
                <w:b w:val="0"/>
                <w:bCs/>
                <w:color w:val="auto"/>
                <w:sz w:val="22"/>
                <w:szCs w:val="22"/>
                <w:highlight w:val="none"/>
              </w:rPr>
            </w:pPr>
          </w:p>
        </w:tc>
      </w:tr>
      <w:tr w14:paraId="0FFF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02" w:type="dxa"/>
            <w:noWrap w:val="0"/>
            <w:vAlign w:val="center"/>
          </w:tcPr>
          <w:p w14:paraId="736D798F">
            <w:pPr>
              <w:tabs>
                <w:tab w:val="left" w:pos="1620"/>
              </w:tabs>
              <w:spacing w:line="400" w:lineRule="exact"/>
              <w:jc w:val="center"/>
              <w:rPr>
                <w:rFonts w:ascii="宋体" w:hAnsi="宋体"/>
                <w:b w:val="0"/>
                <w:bCs/>
                <w:color w:val="auto"/>
                <w:sz w:val="22"/>
                <w:szCs w:val="22"/>
                <w:highlight w:val="none"/>
              </w:rPr>
            </w:pPr>
            <w:r>
              <w:rPr>
                <w:rFonts w:hint="eastAsia" w:ascii="宋体" w:hAnsi="宋体"/>
                <w:b w:val="0"/>
                <w:bCs/>
                <w:color w:val="auto"/>
                <w:sz w:val="22"/>
                <w:szCs w:val="22"/>
                <w:highlight w:val="none"/>
              </w:rPr>
              <w:t>3</w:t>
            </w:r>
          </w:p>
        </w:tc>
        <w:tc>
          <w:tcPr>
            <w:tcW w:w="2047" w:type="dxa"/>
            <w:noWrap w:val="0"/>
            <w:vAlign w:val="center"/>
          </w:tcPr>
          <w:p w14:paraId="143C88A7">
            <w:pPr>
              <w:tabs>
                <w:tab w:val="left" w:pos="1620"/>
              </w:tabs>
              <w:spacing w:line="400" w:lineRule="exact"/>
              <w:jc w:val="center"/>
              <w:rPr>
                <w:rFonts w:hint="eastAsia" w:ascii="宋体" w:hAnsi="宋体" w:eastAsia="宋体"/>
                <w:b w:val="0"/>
                <w:bCs/>
                <w:color w:val="auto"/>
                <w:sz w:val="22"/>
                <w:szCs w:val="22"/>
                <w:highlight w:val="none"/>
                <w:lang w:val="en-US" w:eastAsia="zh-CN"/>
              </w:rPr>
            </w:pPr>
            <w:r>
              <w:rPr>
                <w:rFonts w:hint="eastAsia" w:ascii="宋体" w:hAnsi="宋体" w:eastAsia="宋体"/>
                <w:b w:val="0"/>
                <w:bCs/>
                <w:color w:val="auto"/>
                <w:sz w:val="22"/>
                <w:szCs w:val="22"/>
                <w:highlight w:val="none"/>
                <w:lang w:val="en-US" w:eastAsia="zh-CN"/>
              </w:rPr>
              <w:t>西山院区绿地养护</w:t>
            </w:r>
          </w:p>
        </w:tc>
        <w:tc>
          <w:tcPr>
            <w:tcW w:w="1355" w:type="dxa"/>
            <w:noWrap w:val="0"/>
            <w:vAlign w:val="center"/>
          </w:tcPr>
          <w:p w14:paraId="778A50F1">
            <w:pPr>
              <w:tabs>
                <w:tab w:val="left" w:pos="1620"/>
              </w:tabs>
              <w:spacing w:line="400" w:lineRule="exact"/>
              <w:jc w:val="center"/>
              <w:rPr>
                <w:rFonts w:ascii="宋体" w:hAnsi="宋体" w:cs="Arial"/>
                <w:b w:val="0"/>
                <w:bCs/>
                <w:color w:val="auto"/>
                <w:sz w:val="22"/>
                <w:szCs w:val="22"/>
                <w:highlight w:val="none"/>
              </w:rPr>
            </w:pPr>
            <w:r>
              <w:rPr>
                <w:rFonts w:hint="eastAsia" w:ascii="宋体" w:hAnsi="宋体" w:eastAsia="宋体" w:cs="宋体"/>
                <w:b w:val="0"/>
                <w:bCs/>
                <w:color w:val="auto"/>
                <w:sz w:val="22"/>
                <w:szCs w:val="22"/>
                <w:highlight w:val="none"/>
              </w:rPr>
              <w:t>1900㎡</w:t>
            </w:r>
          </w:p>
        </w:tc>
        <w:tc>
          <w:tcPr>
            <w:tcW w:w="1640" w:type="dxa"/>
            <w:noWrap w:val="0"/>
            <w:vAlign w:val="center"/>
          </w:tcPr>
          <w:p w14:paraId="43E8704F">
            <w:pPr>
              <w:tabs>
                <w:tab w:val="left" w:pos="1620"/>
              </w:tabs>
              <w:spacing w:line="400" w:lineRule="exact"/>
              <w:jc w:val="center"/>
              <w:rPr>
                <w:rFonts w:hint="eastAsia" w:ascii="宋体" w:hAnsi="宋体"/>
                <w:b w:val="0"/>
                <w:bCs/>
                <w:color w:val="auto"/>
                <w:sz w:val="22"/>
                <w:szCs w:val="22"/>
                <w:highlight w:val="none"/>
              </w:rPr>
            </w:pPr>
          </w:p>
        </w:tc>
        <w:tc>
          <w:tcPr>
            <w:tcW w:w="920" w:type="dxa"/>
            <w:vMerge w:val="continue"/>
            <w:noWrap w:val="0"/>
            <w:vAlign w:val="center"/>
          </w:tcPr>
          <w:p w14:paraId="5C52B416">
            <w:pPr>
              <w:tabs>
                <w:tab w:val="left" w:pos="1620"/>
              </w:tabs>
              <w:spacing w:line="400" w:lineRule="exact"/>
              <w:jc w:val="center"/>
              <w:rPr>
                <w:rFonts w:hint="eastAsia" w:ascii="宋体" w:hAnsi="宋体"/>
                <w:b w:val="0"/>
                <w:bCs/>
                <w:color w:val="auto"/>
                <w:sz w:val="22"/>
                <w:szCs w:val="22"/>
                <w:highlight w:val="none"/>
              </w:rPr>
            </w:pPr>
          </w:p>
        </w:tc>
        <w:tc>
          <w:tcPr>
            <w:tcW w:w="1940" w:type="dxa"/>
            <w:noWrap w:val="0"/>
            <w:vAlign w:val="center"/>
          </w:tcPr>
          <w:p w14:paraId="29E95DF3">
            <w:pPr>
              <w:tabs>
                <w:tab w:val="left" w:pos="1620"/>
              </w:tabs>
              <w:spacing w:line="400" w:lineRule="exact"/>
              <w:jc w:val="center"/>
              <w:rPr>
                <w:rFonts w:hint="eastAsia" w:ascii="宋体" w:hAnsi="宋体"/>
                <w:b w:val="0"/>
                <w:bCs/>
                <w:color w:val="auto"/>
                <w:sz w:val="22"/>
                <w:szCs w:val="22"/>
                <w:highlight w:val="none"/>
              </w:rPr>
            </w:pPr>
          </w:p>
        </w:tc>
        <w:tc>
          <w:tcPr>
            <w:tcW w:w="1467" w:type="dxa"/>
            <w:vMerge w:val="continue"/>
            <w:noWrap w:val="0"/>
            <w:vAlign w:val="center"/>
          </w:tcPr>
          <w:p w14:paraId="5FB4E9EB">
            <w:pPr>
              <w:tabs>
                <w:tab w:val="left" w:pos="1620"/>
              </w:tabs>
              <w:spacing w:line="400" w:lineRule="exact"/>
              <w:jc w:val="center"/>
              <w:rPr>
                <w:rFonts w:hint="eastAsia" w:ascii="宋体" w:hAnsi="宋体"/>
                <w:b w:val="0"/>
                <w:bCs/>
                <w:color w:val="auto"/>
                <w:sz w:val="22"/>
                <w:szCs w:val="22"/>
                <w:highlight w:val="none"/>
              </w:rPr>
            </w:pPr>
          </w:p>
        </w:tc>
      </w:tr>
      <w:tr w14:paraId="474D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02" w:type="dxa"/>
            <w:noWrap w:val="0"/>
            <w:vAlign w:val="center"/>
          </w:tcPr>
          <w:p w14:paraId="7C87253A">
            <w:pPr>
              <w:tabs>
                <w:tab w:val="left" w:pos="1620"/>
              </w:tabs>
              <w:spacing w:line="400" w:lineRule="exact"/>
              <w:jc w:val="center"/>
              <w:rPr>
                <w:rFonts w:hint="eastAsia" w:ascii="宋体" w:hAnsi="宋体" w:eastAsia="宋体"/>
                <w:b w:val="0"/>
                <w:bCs/>
                <w:color w:val="auto"/>
                <w:sz w:val="22"/>
                <w:szCs w:val="22"/>
                <w:highlight w:val="none"/>
                <w:lang w:val="en-US" w:eastAsia="zh-CN"/>
              </w:rPr>
            </w:pPr>
            <w:r>
              <w:rPr>
                <w:rFonts w:hint="eastAsia" w:ascii="宋体" w:hAnsi="宋体"/>
                <w:b w:val="0"/>
                <w:bCs/>
                <w:color w:val="auto"/>
                <w:sz w:val="22"/>
                <w:szCs w:val="22"/>
                <w:highlight w:val="none"/>
                <w:lang w:val="en-US" w:eastAsia="zh-CN"/>
              </w:rPr>
              <w:t>4</w:t>
            </w:r>
          </w:p>
        </w:tc>
        <w:tc>
          <w:tcPr>
            <w:tcW w:w="2047" w:type="dxa"/>
            <w:noWrap w:val="0"/>
            <w:vAlign w:val="center"/>
          </w:tcPr>
          <w:p w14:paraId="77FE8B6D">
            <w:pPr>
              <w:tabs>
                <w:tab w:val="left" w:pos="1620"/>
              </w:tabs>
              <w:spacing w:line="400" w:lineRule="exact"/>
              <w:jc w:val="center"/>
              <w:rPr>
                <w:rFonts w:hint="default" w:ascii="宋体" w:hAnsi="宋体" w:eastAsia="宋体" w:cs="宋体"/>
                <w:b w:val="0"/>
                <w:bCs/>
                <w:color w:val="auto"/>
                <w:sz w:val="22"/>
                <w:szCs w:val="22"/>
                <w:highlight w:val="none"/>
                <w:lang w:val="en-US" w:eastAsia="zh-CN"/>
              </w:rPr>
            </w:pPr>
            <w:r>
              <w:rPr>
                <w:rFonts w:hint="default" w:ascii="宋体" w:hAnsi="宋体" w:eastAsia="宋体" w:cs="宋体"/>
                <w:b w:val="0"/>
                <w:bCs/>
                <w:color w:val="auto"/>
                <w:sz w:val="22"/>
                <w:szCs w:val="22"/>
                <w:highlight w:val="none"/>
                <w:lang w:val="en-US" w:eastAsia="zh-CN"/>
              </w:rPr>
              <w:t>白楼下港务院区绿地养护</w:t>
            </w:r>
          </w:p>
        </w:tc>
        <w:tc>
          <w:tcPr>
            <w:tcW w:w="1355" w:type="dxa"/>
            <w:noWrap w:val="0"/>
            <w:vAlign w:val="center"/>
          </w:tcPr>
          <w:p w14:paraId="626486D1">
            <w:pPr>
              <w:tabs>
                <w:tab w:val="left" w:pos="1620"/>
              </w:tabs>
              <w:spacing w:line="40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3800㎡</w:t>
            </w:r>
          </w:p>
        </w:tc>
        <w:tc>
          <w:tcPr>
            <w:tcW w:w="1640" w:type="dxa"/>
            <w:noWrap w:val="0"/>
            <w:vAlign w:val="center"/>
          </w:tcPr>
          <w:p w14:paraId="7250DCDE">
            <w:pPr>
              <w:tabs>
                <w:tab w:val="left" w:pos="1620"/>
              </w:tabs>
              <w:spacing w:line="400" w:lineRule="exact"/>
              <w:jc w:val="center"/>
              <w:rPr>
                <w:rFonts w:hint="eastAsia" w:ascii="宋体" w:hAnsi="宋体"/>
                <w:b w:val="0"/>
                <w:bCs/>
                <w:color w:val="auto"/>
                <w:sz w:val="22"/>
                <w:szCs w:val="22"/>
                <w:highlight w:val="none"/>
              </w:rPr>
            </w:pPr>
          </w:p>
        </w:tc>
        <w:tc>
          <w:tcPr>
            <w:tcW w:w="920" w:type="dxa"/>
            <w:vMerge w:val="continue"/>
            <w:noWrap w:val="0"/>
            <w:vAlign w:val="center"/>
          </w:tcPr>
          <w:p w14:paraId="6A319A30">
            <w:pPr>
              <w:tabs>
                <w:tab w:val="left" w:pos="1620"/>
              </w:tabs>
              <w:spacing w:line="400" w:lineRule="exact"/>
              <w:jc w:val="center"/>
              <w:rPr>
                <w:rFonts w:hint="eastAsia" w:ascii="宋体" w:hAnsi="宋体"/>
                <w:b w:val="0"/>
                <w:bCs/>
                <w:color w:val="auto"/>
                <w:sz w:val="22"/>
                <w:szCs w:val="22"/>
                <w:highlight w:val="none"/>
              </w:rPr>
            </w:pPr>
          </w:p>
        </w:tc>
        <w:tc>
          <w:tcPr>
            <w:tcW w:w="1940" w:type="dxa"/>
            <w:noWrap w:val="0"/>
            <w:vAlign w:val="center"/>
          </w:tcPr>
          <w:p w14:paraId="50D4CB31">
            <w:pPr>
              <w:tabs>
                <w:tab w:val="left" w:pos="1620"/>
              </w:tabs>
              <w:spacing w:line="400" w:lineRule="exact"/>
              <w:jc w:val="center"/>
              <w:rPr>
                <w:rFonts w:hint="eastAsia" w:ascii="宋体" w:hAnsi="宋体"/>
                <w:b w:val="0"/>
                <w:bCs/>
                <w:color w:val="auto"/>
                <w:sz w:val="22"/>
                <w:szCs w:val="22"/>
                <w:highlight w:val="none"/>
              </w:rPr>
            </w:pPr>
          </w:p>
        </w:tc>
        <w:tc>
          <w:tcPr>
            <w:tcW w:w="1467" w:type="dxa"/>
            <w:vMerge w:val="continue"/>
            <w:noWrap w:val="0"/>
            <w:vAlign w:val="center"/>
          </w:tcPr>
          <w:p w14:paraId="5FC71486">
            <w:pPr>
              <w:tabs>
                <w:tab w:val="left" w:pos="1620"/>
              </w:tabs>
              <w:spacing w:line="400" w:lineRule="exact"/>
              <w:jc w:val="center"/>
              <w:rPr>
                <w:rFonts w:hint="eastAsia" w:ascii="宋体" w:hAnsi="宋体"/>
                <w:b w:val="0"/>
                <w:bCs/>
                <w:color w:val="auto"/>
                <w:sz w:val="22"/>
                <w:szCs w:val="22"/>
                <w:highlight w:val="none"/>
              </w:rPr>
            </w:pPr>
          </w:p>
        </w:tc>
      </w:tr>
      <w:tr w14:paraId="05AA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02" w:type="dxa"/>
            <w:noWrap w:val="0"/>
            <w:vAlign w:val="center"/>
          </w:tcPr>
          <w:p w14:paraId="2BE6D056">
            <w:pPr>
              <w:tabs>
                <w:tab w:val="left" w:pos="1620"/>
              </w:tabs>
              <w:spacing w:line="400" w:lineRule="exact"/>
              <w:jc w:val="center"/>
              <w:rPr>
                <w:rFonts w:hint="eastAsia" w:ascii="宋体" w:hAnsi="宋体" w:eastAsia="宋体"/>
                <w:b w:val="0"/>
                <w:bCs/>
                <w:color w:val="auto"/>
                <w:sz w:val="22"/>
                <w:szCs w:val="22"/>
                <w:highlight w:val="none"/>
                <w:lang w:val="en-US" w:eastAsia="zh-CN"/>
              </w:rPr>
            </w:pPr>
            <w:r>
              <w:rPr>
                <w:rFonts w:hint="eastAsia" w:ascii="宋体" w:hAnsi="宋体"/>
                <w:b w:val="0"/>
                <w:bCs/>
                <w:color w:val="auto"/>
                <w:sz w:val="22"/>
                <w:szCs w:val="22"/>
                <w:highlight w:val="none"/>
                <w:lang w:val="en-US" w:eastAsia="zh-CN"/>
              </w:rPr>
              <w:t>5</w:t>
            </w:r>
          </w:p>
        </w:tc>
        <w:tc>
          <w:tcPr>
            <w:tcW w:w="2047" w:type="dxa"/>
            <w:noWrap w:val="0"/>
            <w:vAlign w:val="center"/>
          </w:tcPr>
          <w:p w14:paraId="754679A1">
            <w:pPr>
              <w:tabs>
                <w:tab w:val="left" w:pos="1620"/>
              </w:tabs>
              <w:spacing w:line="400" w:lineRule="exact"/>
              <w:jc w:val="center"/>
              <w:rPr>
                <w:rFonts w:hint="default" w:ascii="宋体" w:hAnsi="宋体" w:eastAsia="宋体" w:cs="宋体"/>
                <w:b w:val="0"/>
                <w:bCs/>
                <w:color w:val="auto"/>
                <w:sz w:val="22"/>
                <w:szCs w:val="22"/>
                <w:highlight w:val="none"/>
                <w:lang w:val="en-US"/>
              </w:rPr>
            </w:pPr>
            <w:r>
              <w:rPr>
                <w:rFonts w:hint="default" w:ascii="宋体" w:hAnsi="宋体" w:eastAsia="宋体" w:cs="宋体"/>
                <w:b w:val="0"/>
                <w:bCs/>
                <w:color w:val="auto"/>
                <w:sz w:val="22"/>
                <w:szCs w:val="22"/>
                <w:highlight w:val="none"/>
                <w:lang w:val="en-US" w:eastAsia="zh-CN"/>
              </w:rPr>
              <w:t>潘桥院区边坡、后山道路旁打除草剂,清理藤蔓</w:t>
            </w:r>
          </w:p>
        </w:tc>
        <w:tc>
          <w:tcPr>
            <w:tcW w:w="2995" w:type="dxa"/>
            <w:gridSpan w:val="2"/>
            <w:noWrap w:val="0"/>
            <w:vAlign w:val="center"/>
          </w:tcPr>
          <w:p w14:paraId="7C9BE940">
            <w:pPr>
              <w:tabs>
                <w:tab w:val="left" w:pos="1620"/>
              </w:tabs>
              <w:spacing w:line="400" w:lineRule="exact"/>
              <w:jc w:val="center"/>
              <w:rPr>
                <w:rFonts w:hint="eastAsia" w:ascii="宋体" w:hAnsi="宋体"/>
                <w:b w:val="0"/>
                <w:bCs/>
                <w:color w:val="auto"/>
                <w:sz w:val="22"/>
                <w:szCs w:val="22"/>
                <w:highlight w:val="none"/>
              </w:rPr>
            </w:pPr>
            <w:r>
              <w:rPr>
                <w:rFonts w:hint="eastAsia" w:ascii="宋体" w:hAnsi="宋体" w:cs="宋体"/>
                <w:b w:val="0"/>
                <w:bCs/>
                <w:color w:val="auto"/>
                <w:sz w:val="22"/>
                <w:szCs w:val="22"/>
                <w:highlight w:val="none"/>
                <w:lang w:val="en-US" w:eastAsia="zh-CN"/>
              </w:rPr>
              <w:t>每年</w:t>
            </w:r>
            <w:r>
              <w:rPr>
                <w:rFonts w:hint="eastAsia" w:ascii="宋体" w:hAnsi="宋体" w:eastAsia="宋体" w:cs="宋体"/>
                <w:b w:val="0"/>
                <w:bCs/>
                <w:color w:val="auto"/>
                <w:sz w:val="22"/>
                <w:szCs w:val="22"/>
                <w:highlight w:val="none"/>
                <w:lang w:val="en-US" w:eastAsia="zh-CN"/>
              </w:rPr>
              <w:t>不少于5次</w:t>
            </w:r>
          </w:p>
        </w:tc>
        <w:tc>
          <w:tcPr>
            <w:tcW w:w="920" w:type="dxa"/>
            <w:vMerge w:val="continue"/>
            <w:noWrap w:val="0"/>
            <w:vAlign w:val="center"/>
          </w:tcPr>
          <w:p w14:paraId="3ADFFD29">
            <w:pPr>
              <w:tabs>
                <w:tab w:val="left" w:pos="1620"/>
              </w:tabs>
              <w:spacing w:line="400" w:lineRule="exact"/>
              <w:jc w:val="center"/>
              <w:rPr>
                <w:rFonts w:hint="eastAsia" w:ascii="宋体" w:hAnsi="宋体"/>
                <w:b w:val="0"/>
                <w:bCs/>
                <w:color w:val="auto"/>
                <w:sz w:val="22"/>
                <w:szCs w:val="22"/>
                <w:highlight w:val="none"/>
              </w:rPr>
            </w:pPr>
          </w:p>
        </w:tc>
        <w:tc>
          <w:tcPr>
            <w:tcW w:w="1940" w:type="dxa"/>
            <w:noWrap w:val="0"/>
            <w:vAlign w:val="center"/>
          </w:tcPr>
          <w:p w14:paraId="35749A49">
            <w:pPr>
              <w:tabs>
                <w:tab w:val="left" w:pos="1620"/>
              </w:tabs>
              <w:spacing w:line="400" w:lineRule="exact"/>
              <w:jc w:val="center"/>
              <w:rPr>
                <w:rFonts w:hint="default" w:ascii="宋体" w:hAnsi="宋体" w:eastAsia="宋体"/>
                <w:b w:val="0"/>
                <w:bCs/>
                <w:color w:val="auto"/>
                <w:sz w:val="22"/>
                <w:szCs w:val="22"/>
                <w:highlight w:val="none"/>
                <w:lang w:val="en-US" w:eastAsia="zh-CN"/>
              </w:rPr>
            </w:pPr>
            <w:r>
              <w:rPr>
                <w:rFonts w:hint="eastAsia" w:ascii="宋体" w:hAnsi="宋体"/>
                <w:b w:val="0"/>
                <w:bCs/>
                <w:color w:val="auto"/>
                <w:sz w:val="22"/>
                <w:szCs w:val="22"/>
                <w:highlight w:val="none"/>
                <w:lang w:val="en-US" w:eastAsia="zh-CN"/>
              </w:rPr>
              <w:t>10000</w:t>
            </w:r>
          </w:p>
        </w:tc>
        <w:tc>
          <w:tcPr>
            <w:tcW w:w="1467" w:type="dxa"/>
            <w:vMerge w:val="continue"/>
            <w:noWrap w:val="0"/>
            <w:vAlign w:val="center"/>
          </w:tcPr>
          <w:p w14:paraId="569105DF">
            <w:pPr>
              <w:tabs>
                <w:tab w:val="left" w:pos="1620"/>
              </w:tabs>
              <w:spacing w:line="400" w:lineRule="exact"/>
              <w:jc w:val="center"/>
              <w:rPr>
                <w:rFonts w:hint="eastAsia" w:ascii="宋体" w:hAnsi="宋体"/>
                <w:b w:val="0"/>
                <w:bCs/>
                <w:color w:val="auto"/>
                <w:sz w:val="22"/>
                <w:szCs w:val="22"/>
                <w:highlight w:val="none"/>
              </w:rPr>
            </w:pPr>
          </w:p>
        </w:tc>
      </w:tr>
      <w:tr w14:paraId="291F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02" w:type="dxa"/>
            <w:noWrap w:val="0"/>
            <w:vAlign w:val="center"/>
          </w:tcPr>
          <w:p w14:paraId="496E929E">
            <w:pPr>
              <w:tabs>
                <w:tab w:val="left" w:pos="1620"/>
              </w:tabs>
              <w:spacing w:line="400" w:lineRule="exact"/>
              <w:jc w:val="center"/>
              <w:rPr>
                <w:rFonts w:hint="default" w:ascii="宋体" w:hAnsi="宋体"/>
                <w:b w:val="0"/>
                <w:bCs/>
                <w:color w:val="auto"/>
                <w:sz w:val="22"/>
                <w:szCs w:val="22"/>
                <w:highlight w:val="none"/>
                <w:lang w:val="en-US" w:eastAsia="zh-CN"/>
              </w:rPr>
            </w:pPr>
            <w:r>
              <w:rPr>
                <w:rFonts w:hint="eastAsia" w:ascii="宋体" w:hAnsi="宋体"/>
                <w:b w:val="0"/>
                <w:bCs/>
                <w:color w:val="auto"/>
                <w:sz w:val="22"/>
                <w:szCs w:val="22"/>
                <w:highlight w:val="none"/>
                <w:lang w:val="en-US" w:eastAsia="zh-CN"/>
              </w:rPr>
              <w:t>6</w:t>
            </w:r>
          </w:p>
        </w:tc>
        <w:tc>
          <w:tcPr>
            <w:tcW w:w="2047" w:type="dxa"/>
            <w:noWrap w:val="0"/>
            <w:vAlign w:val="center"/>
          </w:tcPr>
          <w:p w14:paraId="01573BA9">
            <w:pPr>
              <w:tabs>
                <w:tab w:val="left" w:pos="1620"/>
              </w:tabs>
              <w:spacing w:line="40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潘桥院区果树浇水、除草、施肥，杀虫等养护</w:t>
            </w:r>
          </w:p>
        </w:tc>
        <w:tc>
          <w:tcPr>
            <w:tcW w:w="2995" w:type="dxa"/>
            <w:gridSpan w:val="2"/>
            <w:noWrap w:val="0"/>
            <w:vAlign w:val="center"/>
          </w:tcPr>
          <w:p w14:paraId="465CC58A">
            <w:pPr>
              <w:tabs>
                <w:tab w:val="left" w:pos="1620"/>
              </w:tabs>
              <w:spacing w:line="400" w:lineRule="exact"/>
              <w:jc w:val="center"/>
              <w:rPr>
                <w:rFonts w:hint="eastAsia" w:ascii="宋体" w:hAnsi="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1项</w:t>
            </w:r>
          </w:p>
        </w:tc>
        <w:tc>
          <w:tcPr>
            <w:tcW w:w="920" w:type="dxa"/>
            <w:noWrap w:val="0"/>
            <w:vAlign w:val="center"/>
          </w:tcPr>
          <w:p w14:paraId="1857310C">
            <w:pPr>
              <w:tabs>
                <w:tab w:val="left" w:pos="1620"/>
              </w:tabs>
              <w:spacing w:line="400" w:lineRule="exact"/>
              <w:jc w:val="center"/>
              <w:rPr>
                <w:rFonts w:hint="eastAsia" w:ascii="宋体" w:hAnsi="宋体"/>
                <w:b w:val="0"/>
                <w:bCs/>
                <w:color w:val="auto"/>
                <w:sz w:val="22"/>
                <w:szCs w:val="22"/>
                <w:highlight w:val="none"/>
              </w:rPr>
            </w:pPr>
          </w:p>
        </w:tc>
        <w:tc>
          <w:tcPr>
            <w:tcW w:w="1940" w:type="dxa"/>
            <w:noWrap w:val="0"/>
            <w:vAlign w:val="center"/>
          </w:tcPr>
          <w:p w14:paraId="0A1701F8">
            <w:pPr>
              <w:tabs>
                <w:tab w:val="left" w:pos="1620"/>
              </w:tabs>
              <w:spacing w:line="400" w:lineRule="exact"/>
              <w:jc w:val="center"/>
              <w:rPr>
                <w:rFonts w:hint="eastAsia" w:ascii="宋体" w:hAnsi="宋体"/>
                <w:b w:val="0"/>
                <w:bCs/>
                <w:color w:val="auto"/>
                <w:sz w:val="22"/>
                <w:szCs w:val="22"/>
                <w:highlight w:val="none"/>
              </w:rPr>
            </w:pPr>
          </w:p>
        </w:tc>
        <w:tc>
          <w:tcPr>
            <w:tcW w:w="1467" w:type="dxa"/>
            <w:vMerge w:val="continue"/>
            <w:noWrap w:val="0"/>
            <w:vAlign w:val="center"/>
          </w:tcPr>
          <w:p w14:paraId="5CE450C2">
            <w:pPr>
              <w:tabs>
                <w:tab w:val="left" w:pos="1620"/>
              </w:tabs>
              <w:spacing w:line="400" w:lineRule="exact"/>
              <w:jc w:val="center"/>
              <w:rPr>
                <w:rFonts w:hint="eastAsia" w:ascii="宋体" w:hAnsi="宋体"/>
                <w:b w:val="0"/>
                <w:bCs/>
                <w:color w:val="auto"/>
                <w:sz w:val="22"/>
                <w:szCs w:val="22"/>
                <w:highlight w:val="none"/>
              </w:rPr>
            </w:pPr>
          </w:p>
        </w:tc>
      </w:tr>
      <w:tr w14:paraId="562E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02" w:type="dxa"/>
            <w:noWrap w:val="0"/>
            <w:vAlign w:val="center"/>
          </w:tcPr>
          <w:p w14:paraId="42C5A4EB">
            <w:pPr>
              <w:tabs>
                <w:tab w:val="left" w:pos="1620"/>
              </w:tabs>
              <w:spacing w:line="400" w:lineRule="exact"/>
              <w:jc w:val="center"/>
              <w:rPr>
                <w:rFonts w:hint="default" w:ascii="宋体" w:hAnsi="宋体"/>
                <w:b w:val="0"/>
                <w:bCs/>
                <w:color w:val="auto"/>
                <w:sz w:val="22"/>
                <w:szCs w:val="22"/>
                <w:highlight w:val="none"/>
                <w:lang w:val="en-US" w:eastAsia="zh-CN"/>
              </w:rPr>
            </w:pPr>
            <w:r>
              <w:rPr>
                <w:rFonts w:hint="eastAsia" w:ascii="宋体" w:hAnsi="宋体"/>
                <w:b w:val="0"/>
                <w:bCs/>
                <w:color w:val="auto"/>
                <w:sz w:val="22"/>
                <w:szCs w:val="22"/>
                <w:highlight w:val="none"/>
                <w:lang w:val="en-US" w:eastAsia="zh-CN"/>
              </w:rPr>
              <w:t>7</w:t>
            </w:r>
          </w:p>
        </w:tc>
        <w:tc>
          <w:tcPr>
            <w:tcW w:w="2047" w:type="dxa"/>
            <w:noWrap w:val="0"/>
            <w:vAlign w:val="center"/>
          </w:tcPr>
          <w:p w14:paraId="69889BCD">
            <w:pPr>
              <w:tabs>
                <w:tab w:val="left" w:pos="1620"/>
              </w:tabs>
              <w:spacing w:line="40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菜籽饼（肥料）</w:t>
            </w:r>
          </w:p>
        </w:tc>
        <w:tc>
          <w:tcPr>
            <w:tcW w:w="1355" w:type="dxa"/>
            <w:noWrap w:val="0"/>
            <w:vAlign w:val="center"/>
          </w:tcPr>
          <w:p w14:paraId="680E53DD">
            <w:pPr>
              <w:tabs>
                <w:tab w:val="left" w:pos="1620"/>
              </w:tabs>
              <w:spacing w:line="400" w:lineRule="exact"/>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1000斤</w:t>
            </w:r>
          </w:p>
        </w:tc>
        <w:tc>
          <w:tcPr>
            <w:tcW w:w="1640" w:type="dxa"/>
            <w:noWrap w:val="0"/>
            <w:vAlign w:val="center"/>
          </w:tcPr>
          <w:p w14:paraId="0898A6C9">
            <w:pPr>
              <w:tabs>
                <w:tab w:val="left" w:pos="1620"/>
              </w:tabs>
              <w:spacing w:line="400" w:lineRule="exact"/>
              <w:jc w:val="center"/>
              <w:rPr>
                <w:rFonts w:hint="eastAsia" w:ascii="宋体" w:hAnsi="宋体"/>
                <w:b w:val="0"/>
                <w:bCs/>
                <w:color w:val="auto"/>
                <w:sz w:val="22"/>
                <w:szCs w:val="22"/>
                <w:highlight w:val="none"/>
              </w:rPr>
            </w:pPr>
          </w:p>
        </w:tc>
        <w:tc>
          <w:tcPr>
            <w:tcW w:w="920" w:type="dxa"/>
            <w:noWrap w:val="0"/>
            <w:vAlign w:val="center"/>
          </w:tcPr>
          <w:p w14:paraId="2F215C3C">
            <w:pPr>
              <w:tabs>
                <w:tab w:val="left" w:pos="1620"/>
              </w:tabs>
              <w:spacing w:line="400" w:lineRule="exact"/>
              <w:jc w:val="center"/>
              <w:rPr>
                <w:rFonts w:hint="eastAsia" w:ascii="宋体" w:hAnsi="宋体"/>
                <w:b w:val="0"/>
                <w:bCs/>
                <w:color w:val="auto"/>
                <w:sz w:val="22"/>
                <w:szCs w:val="22"/>
                <w:highlight w:val="none"/>
              </w:rPr>
            </w:pPr>
          </w:p>
        </w:tc>
        <w:tc>
          <w:tcPr>
            <w:tcW w:w="1940" w:type="dxa"/>
            <w:noWrap w:val="0"/>
            <w:vAlign w:val="center"/>
          </w:tcPr>
          <w:p w14:paraId="0FFE0596">
            <w:pPr>
              <w:tabs>
                <w:tab w:val="left" w:pos="1620"/>
              </w:tabs>
              <w:spacing w:line="400" w:lineRule="exact"/>
              <w:jc w:val="center"/>
              <w:rPr>
                <w:rFonts w:hint="eastAsia" w:ascii="宋体" w:hAnsi="宋体"/>
                <w:b w:val="0"/>
                <w:bCs/>
                <w:color w:val="auto"/>
                <w:sz w:val="22"/>
                <w:szCs w:val="22"/>
                <w:highlight w:val="none"/>
              </w:rPr>
            </w:pPr>
          </w:p>
        </w:tc>
        <w:tc>
          <w:tcPr>
            <w:tcW w:w="1467" w:type="dxa"/>
            <w:vMerge w:val="continue"/>
            <w:noWrap w:val="0"/>
            <w:vAlign w:val="center"/>
          </w:tcPr>
          <w:p w14:paraId="794BB073">
            <w:pPr>
              <w:tabs>
                <w:tab w:val="left" w:pos="1620"/>
              </w:tabs>
              <w:spacing w:line="400" w:lineRule="exact"/>
              <w:jc w:val="center"/>
              <w:rPr>
                <w:rFonts w:hint="eastAsia" w:ascii="宋体" w:hAnsi="宋体"/>
                <w:b w:val="0"/>
                <w:bCs/>
                <w:color w:val="auto"/>
                <w:sz w:val="22"/>
                <w:szCs w:val="22"/>
                <w:highlight w:val="none"/>
              </w:rPr>
            </w:pPr>
          </w:p>
        </w:tc>
      </w:tr>
      <w:tr w14:paraId="5D38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02" w:type="dxa"/>
            <w:noWrap w:val="0"/>
            <w:vAlign w:val="center"/>
          </w:tcPr>
          <w:p w14:paraId="128530AB">
            <w:pPr>
              <w:tabs>
                <w:tab w:val="left" w:pos="1620"/>
              </w:tabs>
              <w:spacing w:line="400" w:lineRule="exact"/>
              <w:jc w:val="center"/>
              <w:rPr>
                <w:rFonts w:hint="default" w:ascii="宋体" w:hAnsi="宋体"/>
                <w:b w:val="0"/>
                <w:bCs/>
                <w:color w:val="auto"/>
                <w:sz w:val="22"/>
                <w:szCs w:val="22"/>
                <w:highlight w:val="none"/>
                <w:lang w:val="en-US" w:eastAsia="zh-CN"/>
              </w:rPr>
            </w:pPr>
            <w:r>
              <w:rPr>
                <w:rFonts w:hint="eastAsia" w:ascii="宋体" w:hAnsi="宋体"/>
                <w:b w:val="0"/>
                <w:bCs/>
                <w:color w:val="auto"/>
                <w:sz w:val="22"/>
                <w:szCs w:val="22"/>
                <w:highlight w:val="none"/>
                <w:lang w:val="en-US" w:eastAsia="zh-CN"/>
              </w:rPr>
              <w:t>8</w:t>
            </w:r>
          </w:p>
        </w:tc>
        <w:tc>
          <w:tcPr>
            <w:tcW w:w="2047" w:type="dxa"/>
            <w:noWrap w:val="0"/>
            <w:vAlign w:val="center"/>
          </w:tcPr>
          <w:p w14:paraId="78C5E3C2">
            <w:pPr>
              <w:tabs>
                <w:tab w:val="left" w:pos="1620"/>
              </w:tabs>
              <w:spacing w:line="40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潘桥院区固定绿化工人</w:t>
            </w:r>
          </w:p>
        </w:tc>
        <w:tc>
          <w:tcPr>
            <w:tcW w:w="1355" w:type="dxa"/>
            <w:noWrap w:val="0"/>
            <w:vAlign w:val="center"/>
          </w:tcPr>
          <w:p w14:paraId="4931D971">
            <w:pPr>
              <w:tabs>
                <w:tab w:val="left" w:pos="1620"/>
              </w:tabs>
              <w:spacing w:line="400" w:lineRule="exact"/>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1人</w:t>
            </w:r>
          </w:p>
        </w:tc>
        <w:tc>
          <w:tcPr>
            <w:tcW w:w="1640" w:type="dxa"/>
            <w:noWrap w:val="0"/>
            <w:vAlign w:val="center"/>
          </w:tcPr>
          <w:p w14:paraId="268CAA9C">
            <w:pPr>
              <w:tabs>
                <w:tab w:val="left" w:pos="1620"/>
              </w:tabs>
              <w:spacing w:line="400" w:lineRule="exact"/>
              <w:jc w:val="center"/>
              <w:rPr>
                <w:rFonts w:hint="eastAsia" w:ascii="宋体" w:hAnsi="宋体"/>
                <w:b w:val="0"/>
                <w:bCs/>
                <w:color w:val="auto"/>
                <w:sz w:val="22"/>
                <w:szCs w:val="22"/>
                <w:highlight w:val="none"/>
              </w:rPr>
            </w:pPr>
          </w:p>
        </w:tc>
        <w:tc>
          <w:tcPr>
            <w:tcW w:w="920" w:type="dxa"/>
            <w:noWrap w:val="0"/>
            <w:vAlign w:val="center"/>
          </w:tcPr>
          <w:p w14:paraId="1F10F7BE">
            <w:pPr>
              <w:tabs>
                <w:tab w:val="left" w:pos="1620"/>
              </w:tabs>
              <w:spacing w:line="400" w:lineRule="exact"/>
              <w:jc w:val="center"/>
              <w:rPr>
                <w:rFonts w:hint="eastAsia" w:ascii="宋体" w:hAnsi="宋体"/>
                <w:b w:val="0"/>
                <w:bCs/>
                <w:color w:val="auto"/>
                <w:sz w:val="22"/>
                <w:szCs w:val="22"/>
                <w:highlight w:val="none"/>
              </w:rPr>
            </w:pPr>
          </w:p>
        </w:tc>
        <w:tc>
          <w:tcPr>
            <w:tcW w:w="1940" w:type="dxa"/>
            <w:noWrap w:val="0"/>
            <w:vAlign w:val="center"/>
          </w:tcPr>
          <w:p w14:paraId="381B6FC4">
            <w:pPr>
              <w:tabs>
                <w:tab w:val="left" w:pos="1620"/>
              </w:tabs>
              <w:spacing w:line="400" w:lineRule="exact"/>
              <w:jc w:val="center"/>
              <w:rPr>
                <w:rFonts w:hint="eastAsia" w:ascii="宋体" w:hAnsi="宋体"/>
                <w:b w:val="0"/>
                <w:bCs/>
                <w:color w:val="auto"/>
                <w:sz w:val="22"/>
                <w:szCs w:val="22"/>
                <w:highlight w:val="none"/>
              </w:rPr>
            </w:pPr>
          </w:p>
        </w:tc>
        <w:tc>
          <w:tcPr>
            <w:tcW w:w="1467" w:type="dxa"/>
            <w:vMerge w:val="continue"/>
            <w:noWrap w:val="0"/>
            <w:vAlign w:val="center"/>
          </w:tcPr>
          <w:p w14:paraId="5428DF56">
            <w:pPr>
              <w:tabs>
                <w:tab w:val="left" w:pos="1620"/>
              </w:tabs>
              <w:spacing w:line="400" w:lineRule="exact"/>
              <w:jc w:val="center"/>
              <w:rPr>
                <w:rFonts w:hint="eastAsia" w:ascii="宋体" w:hAnsi="宋体"/>
                <w:b w:val="0"/>
                <w:bCs/>
                <w:color w:val="auto"/>
                <w:sz w:val="22"/>
                <w:szCs w:val="22"/>
                <w:highlight w:val="none"/>
              </w:rPr>
            </w:pPr>
          </w:p>
        </w:tc>
      </w:tr>
      <w:tr w14:paraId="066A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02" w:type="dxa"/>
            <w:noWrap w:val="0"/>
            <w:vAlign w:val="center"/>
          </w:tcPr>
          <w:p w14:paraId="0C9C897B">
            <w:pPr>
              <w:tabs>
                <w:tab w:val="left" w:pos="1620"/>
              </w:tabs>
              <w:spacing w:line="400" w:lineRule="exact"/>
              <w:jc w:val="center"/>
              <w:rPr>
                <w:rFonts w:hint="eastAsia" w:ascii="宋体" w:hAnsi="宋体" w:eastAsia="宋体"/>
                <w:b/>
                <w:color w:val="auto"/>
                <w:sz w:val="22"/>
                <w:szCs w:val="22"/>
                <w:highlight w:val="none"/>
                <w:lang w:val="en-US" w:eastAsia="zh-CN"/>
              </w:rPr>
            </w:pPr>
            <w:r>
              <w:rPr>
                <w:rFonts w:hint="eastAsia" w:ascii="宋体" w:hAnsi="宋体"/>
                <w:b/>
                <w:color w:val="auto"/>
                <w:sz w:val="22"/>
                <w:szCs w:val="22"/>
                <w:highlight w:val="none"/>
                <w:lang w:val="en-US" w:eastAsia="zh-CN"/>
              </w:rPr>
              <w:t>9</w:t>
            </w:r>
          </w:p>
        </w:tc>
        <w:tc>
          <w:tcPr>
            <w:tcW w:w="3402" w:type="dxa"/>
            <w:gridSpan w:val="2"/>
            <w:noWrap w:val="0"/>
            <w:vAlign w:val="center"/>
          </w:tcPr>
          <w:p w14:paraId="308DA5AB">
            <w:pPr>
              <w:tabs>
                <w:tab w:val="left" w:pos="1620"/>
              </w:tabs>
              <w:spacing w:line="400" w:lineRule="exact"/>
              <w:jc w:val="center"/>
              <w:rPr>
                <w:rFonts w:hint="eastAsia" w:ascii="宋体" w:hAnsi="宋体" w:cs="Arial"/>
                <w:b/>
                <w:color w:val="auto"/>
                <w:sz w:val="22"/>
                <w:szCs w:val="22"/>
                <w:highlight w:val="none"/>
                <w:lang w:val="en-US" w:eastAsia="zh-CN" w:bidi="ar-SA"/>
              </w:rPr>
            </w:pPr>
            <w:r>
              <w:rPr>
                <w:rFonts w:hint="eastAsia" w:ascii="宋体" w:hAnsi="宋体" w:cs="Arial"/>
                <w:b/>
                <w:color w:val="auto"/>
                <w:sz w:val="22"/>
                <w:szCs w:val="22"/>
                <w:highlight w:val="none"/>
              </w:rPr>
              <w:t>合计（1+2+3</w:t>
            </w:r>
            <w:r>
              <w:rPr>
                <w:rFonts w:hint="eastAsia" w:ascii="宋体" w:hAnsi="宋体" w:cs="Arial"/>
                <w:b/>
                <w:color w:val="auto"/>
                <w:sz w:val="22"/>
                <w:szCs w:val="22"/>
                <w:highlight w:val="none"/>
                <w:lang w:val="en-US" w:eastAsia="zh-CN"/>
              </w:rPr>
              <w:t>+4+5+6+7+8</w:t>
            </w:r>
            <w:r>
              <w:rPr>
                <w:rFonts w:hint="eastAsia" w:ascii="宋体" w:hAnsi="宋体" w:cs="Arial"/>
                <w:b/>
                <w:color w:val="auto"/>
                <w:sz w:val="22"/>
                <w:szCs w:val="22"/>
                <w:highlight w:val="none"/>
              </w:rPr>
              <w:t>）</w:t>
            </w:r>
          </w:p>
        </w:tc>
        <w:tc>
          <w:tcPr>
            <w:tcW w:w="5967" w:type="dxa"/>
            <w:gridSpan w:val="4"/>
            <w:noWrap w:val="0"/>
            <w:vAlign w:val="center"/>
          </w:tcPr>
          <w:p w14:paraId="7D071532">
            <w:pPr>
              <w:tabs>
                <w:tab w:val="left" w:pos="1620"/>
              </w:tabs>
              <w:spacing w:line="400" w:lineRule="exact"/>
              <w:rPr>
                <w:rFonts w:hint="eastAsia" w:ascii="宋体" w:hAnsi="宋体"/>
                <w:b/>
                <w:color w:val="auto"/>
                <w:sz w:val="22"/>
                <w:szCs w:val="22"/>
                <w:highlight w:val="none"/>
                <w:lang w:val="en-US" w:eastAsia="zh-CN" w:bidi="ar-SA"/>
              </w:rPr>
            </w:pPr>
            <w:r>
              <w:rPr>
                <w:rFonts w:hint="eastAsia" w:ascii="宋体" w:hAnsi="宋体"/>
                <w:b/>
                <w:color w:val="auto"/>
                <w:sz w:val="22"/>
                <w:szCs w:val="22"/>
                <w:highlight w:val="none"/>
              </w:rPr>
              <w:t>￥</w:t>
            </w:r>
          </w:p>
        </w:tc>
      </w:tr>
    </w:tbl>
    <w:p w14:paraId="6B3D9DDE">
      <w:pPr>
        <w:spacing w:line="440" w:lineRule="exact"/>
        <w:rPr>
          <w:rFonts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14:paraId="2B2C3176">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2.此表的</w:t>
      </w:r>
      <w:r>
        <w:rPr>
          <w:rFonts w:hint="eastAsia" w:ascii="宋体" w:hAnsi="宋体"/>
          <w:bCs/>
          <w:color w:val="auto"/>
          <w:sz w:val="22"/>
          <w:szCs w:val="22"/>
          <w:highlight w:val="none"/>
        </w:rPr>
        <w:t>总计</w:t>
      </w:r>
      <w:r>
        <w:rPr>
          <w:rFonts w:hint="eastAsia" w:ascii="宋体" w:hAnsi="宋体"/>
          <w:color w:val="auto"/>
          <w:sz w:val="22"/>
          <w:szCs w:val="22"/>
          <w:highlight w:val="none"/>
        </w:rPr>
        <w:t>价应与附件二“投标报价一览表”对应投标报价相一致。</w:t>
      </w:r>
    </w:p>
    <w:p w14:paraId="6B815B75">
      <w:pPr>
        <w:spacing w:line="440" w:lineRule="exact"/>
        <w:ind w:firstLine="4400" w:firstLineChars="2000"/>
        <w:rPr>
          <w:rFonts w:ascii="宋体" w:hAnsi="宋体"/>
          <w:color w:val="auto"/>
          <w:sz w:val="22"/>
          <w:szCs w:val="22"/>
          <w:highlight w:val="none"/>
        </w:rPr>
      </w:pPr>
    </w:p>
    <w:p w14:paraId="51D3B2B0">
      <w:pPr>
        <w:spacing w:line="440" w:lineRule="exact"/>
        <w:ind w:firstLine="4400" w:firstLineChars="2000"/>
        <w:rPr>
          <w:rFonts w:ascii="宋体" w:hAnsi="宋体"/>
          <w:color w:val="auto"/>
          <w:sz w:val="22"/>
          <w:szCs w:val="22"/>
          <w:highlight w:val="none"/>
        </w:rPr>
      </w:pPr>
    </w:p>
    <w:p w14:paraId="3F2235D7">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73418B9E">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0EDF41BB">
      <w:pPr>
        <w:rPr>
          <w:rFonts w:ascii="宋体" w:hAnsi="宋体"/>
          <w:color w:val="auto"/>
          <w:sz w:val="24"/>
          <w:highlight w:val="none"/>
        </w:rPr>
      </w:pPr>
    </w:p>
    <w:p w14:paraId="516DBF35">
      <w:pPr>
        <w:rPr>
          <w:rFonts w:ascii="宋体" w:hAnsi="宋体"/>
          <w:color w:val="auto"/>
          <w:sz w:val="24"/>
          <w:highlight w:val="none"/>
        </w:rPr>
      </w:pPr>
      <w:r>
        <w:rPr>
          <w:rFonts w:hint="eastAsia" w:ascii="宋体" w:hAnsi="宋体"/>
          <w:color w:val="auto"/>
          <w:sz w:val="24"/>
          <w:highlight w:val="none"/>
        </w:rPr>
        <w:br w:type="page"/>
      </w:r>
    </w:p>
    <w:p w14:paraId="5BF7A5EE">
      <w:pPr>
        <w:pStyle w:val="3"/>
        <w:spacing w:line="240" w:lineRule="auto"/>
        <w:rPr>
          <w:rFonts w:ascii="宋体" w:hAnsi="宋体" w:cs="宋体"/>
          <w:color w:val="auto"/>
          <w:sz w:val="24"/>
          <w:highlight w:val="none"/>
        </w:rPr>
      </w:pPr>
      <w:bookmarkStart w:id="71" w:name="_Toc17672"/>
      <w:r>
        <w:rPr>
          <w:rFonts w:hint="eastAsia" w:ascii="宋体" w:hAnsi="宋体" w:eastAsia="宋体"/>
          <w:color w:val="auto"/>
          <w:sz w:val="24"/>
          <w:szCs w:val="24"/>
          <w:highlight w:val="none"/>
        </w:rPr>
        <w:t xml:space="preserve">附件四 </w:t>
      </w:r>
      <w:bookmarkEnd w:id="62"/>
      <w:bookmarkEnd w:id="63"/>
      <w:bookmarkEnd w:id="64"/>
      <w:bookmarkEnd w:id="65"/>
      <w:bookmarkEnd w:id="67"/>
      <w:r>
        <w:rPr>
          <w:rFonts w:hint="eastAsia" w:ascii="宋体" w:hAnsi="宋体" w:eastAsia="宋体"/>
          <w:color w:val="auto"/>
          <w:sz w:val="24"/>
          <w:szCs w:val="24"/>
          <w:highlight w:val="none"/>
        </w:rPr>
        <w:t>资格证明文件</w:t>
      </w:r>
      <w:bookmarkEnd w:id="66"/>
      <w:bookmarkEnd w:id="71"/>
    </w:p>
    <w:p w14:paraId="09B16518">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资格证明文件</w:t>
      </w:r>
    </w:p>
    <w:p w14:paraId="383F6547">
      <w:pPr>
        <w:spacing w:line="440" w:lineRule="exact"/>
        <w:jc w:val="center"/>
        <w:rPr>
          <w:rFonts w:ascii="宋体" w:hAnsi="宋体" w:cs="宋体"/>
          <w:b/>
          <w:color w:val="auto"/>
          <w:szCs w:val="22"/>
          <w:highlight w:val="none"/>
        </w:rPr>
      </w:pPr>
      <w:r>
        <w:rPr>
          <w:rFonts w:hint="eastAsia" w:ascii="宋体" w:hAnsi="宋体" w:cs="宋体"/>
          <w:b/>
          <w:color w:val="auto"/>
          <w:sz w:val="24"/>
          <w:highlight w:val="none"/>
        </w:rPr>
        <w:t>（1）法定代表人、单位负责人或自然人本人的身份证明（适用于法定代表人、单位负责人或者自然人本人代表投标人参加投标）</w:t>
      </w:r>
    </w:p>
    <w:p w14:paraId="4C3F44EF">
      <w:pPr>
        <w:autoSpaceDE w:val="0"/>
        <w:autoSpaceDN w:val="0"/>
        <w:adjustRightInd w:val="0"/>
        <w:rPr>
          <w:rFonts w:ascii="宋体" w:hAnsi="宋体" w:cs="宋体"/>
          <w:color w:val="auto"/>
          <w:sz w:val="22"/>
          <w:szCs w:val="22"/>
          <w:highlight w:val="none"/>
        </w:rPr>
      </w:pPr>
    </w:p>
    <w:p w14:paraId="7502DAAC">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1EB27843">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单位性质： </w:t>
      </w:r>
      <w:r>
        <w:rPr>
          <w:rFonts w:hint="eastAsia" w:ascii="宋体" w:hAnsi="宋体" w:cs="宋体"/>
          <w:color w:val="auto"/>
          <w:sz w:val="22"/>
          <w:szCs w:val="22"/>
          <w:highlight w:val="none"/>
          <w:u w:val="single"/>
        </w:rPr>
        <w:t xml:space="preserve">                                </w:t>
      </w:r>
    </w:p>
    <w:p w14:paraId="3143CCB0">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u w:val="single"/>
        </w:rPr>
        <w:t xml:space="preserve">                                </w:t>
      </w:r>
    </w:p>
    <w:p w14:paraId="27BE006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成立时间：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r>
        <w:rPr>
          <w:rFonts w:hint="eastAsia" w:ascii="宋体" w:hAnsi="宋体" w:cs="宋体"/>
          <w:color w:val="auto"/>
          <w:sz w:val="22"/>
          <w:szCs w:val="22"/>
          <w:highlight w:val="none"/>
        </w:rPr>
        <w:tab/>
      </w:r>
    </w:p>
    <w:p w14:paraId="2A8ADC8A">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经营期限：</w:t>
      </w:r>
      <w:r>
        <w:rPr>
          <w:rFonts w:hint="eastAsia" w:ascii="宋体" w:hAnsi="宋体" w:cs="宋体"/>
          <w:color w:val="auto"/>
          <w:sz w:val="22"/>
          <w:szCs w:val="22"/>
          <w:highlight w:val="none"/>
          <w:u w:val="single"/>
        </w:rPr>
        <w:t xml:space="preserve">                                </w:t>
      </w:r>
    </w:p>
    <w:p w14:paraId="1038937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姓    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职务：</w:t>
      </w:r>
      <w:r>
        <w:rPr>
          <w:rFonts w:hint="eastAsia" w:ascii="宋体" w:hAnsi="宋体" w:cs="宋体"/>
          <w:color w:val="auto"/>
          <w:sz w:val="22"/>
          <w:szCs w:val="22"/>
          <w:highlight w:val="none"/>
          <w:u w:val="single"/>
        </w:rPr>
        <w:t xml:space="preserve">        </w:t>
      </w:r>
    </w:p>
    <w:p w14:paraId="6F998B3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系：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（投标人名称）的法定代表人</w:t>
      </w:r>
    </w:p>
    <w:p w14:paraId="2CF246E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特此证明</w:t>
      </w:r>
    </w:p>
    <w:p w14:paraId="40622C78">
      <w:pPr>
        <w:autoSpaceDE w:val="0"/>
        <w:autoSpaceDN w:val="0"/>
        <w:adjustRightInd w:val="0"/>
        <w:spacing w:line="440" w:lineRule="exact"/>
        <w:rPr>
          <w:rFonts w:ascii="宋体" w:hAnsi="宋体" w:cs="宋体"/>
          <w:color w:val="auto"/>
          <w:sz w:val="22"/>
          <w:szCs w:val="22"/>
          <w:highlight w:val="none"/>
        </w:rPr>
      </w:pPr>
    </w:p>
    <w:p w14:paraId="1141D096">
      <w:pPr>
        <w:autoSpaceDE w:val="0"/>
        <w:autoSpaceDN w:val="0"/>
        <w:adjustRightInd w:val="0"/>
        <w:spacing w:line="440" w:lineRule="exact"/>
        <w:rPr>
          <w:rFonts w:ascii="宋体" w:hAnsi="宋体" w:cs="宋体"/>
          <w:color w:val="auto"/>
          <w:sz w:val="22"/>
          <w:szCs w:val="22"/>
          <w:highlight w:val="none"/>
        </w:rPr>
      </w:pPr>
    </w:p>
    <w:p w14:paraId="3090879A">
      <w:pPr>
        <w:autoSpaceDE w:val="0"/>
        <w:autoSpaceDN w:val="0"/>
        <w:adjustRightInd w:val="0"/>
        <w:spacing w:line="440" w:lineRule="exact"/>
        <w:rPr>
          <w:rFonts w:ascii="宋体" w:hAnsi="宋体" w:cs="宋体"/>
          <w:color w:val="auto"/>
          <w:sz w:val="22"/>
          <w:szCs w:val="22"/>
          <w:highlight w:val="none"/>
        </w:rPr>
      </w:pPr>
    </w:p>
    <w:p w14:paraId="794B025C">
      <w:pPr>
        <w:autoSpaceDE w:val="0"/>
        <w:autoSpaceDN w:val="0"/>
        <w:adjustRightInd w:val="0"/>
        <w:spacing w:line="44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（盖单位章）</w:t>
      </w:r>
    </w:p>
    <w:p w14:paraId="746ADD14">
      <w:pPr>
        <w:wordWrap w:val="0"/>
        <w:autoSpaceDE w:val="0"/>
        <w:autoSpaceDN w:val="0"/>
        <w:adjustRightInd w:val="0"/>
        <w:spacing w:line="440" w:lineRule="exact"/>
        <w:ind w:firstLine="1650" w:firstLineChars="750"/>
        <w:jc w:val="right"/>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BCC24EF">
      <w:pPr>
        <w:autoSpaceDE w:val="0"/>
        <w:autoSpaceDN w:val="0"/>
        <w:adjustRightInd w:val="0"/>
        <w:jc w:val="left"/>
        <w:rPr>
          <w:rFonts w:ascii="宋体" w:hAnsi="宋体" w:cs="宋体"/>
          <w:color w:val="auto"/>
          <w:sz w:val="22"/>
          <w:szCs w:val="22"/>
          <w:highlight w:val="none"/>
        </w:rPr>
      </w:pPr>
    </w:p>
    <w:p w14:paraId="27A2E804">
      <w:pPr>
        <w:spacing w:line="380" w:lineRule="exact"/>
        <w:jc w:val="center"/>
        <w:rPr>
          <w:rFonts w:ascii="宋体" w:hAnsi="宋体" w:cs="宋体"/>
          <w:b/>
          <w:color w:val="auto"/>
          <w:sz w:val="24"/>
          <w:highlight w:val="none"/>
        </w:rPr>
      </w:pPr>
    </w:p>
    <w:p w14:paraId="40FD416A">
      <w:pPr>
        <w:spacing w:line="380" w:lineRule="exact"/>
        <w:rPr>
          <w:rFonts w:ascii="宋体" w:hAnsi="宋体" w:cs="宋体"/>
          <w:b/>
          <w:color w:val="auto"/>
          <w:sz w:val="24"/>
          <w:highlight w:val="none"/>
        </w:rPr>
      </w:pPr>
      <w:r>
        <w:rPr>
          <w:rFonts w:hint="eastAsia" w:ascii="宋体" w:hAnsi="宋体" w:cs="宋体"/>
          <w:b/>
          <w:color w:val="auto"/>
          <w:sz w:val="24"/>
          <w:highlight w:val="none"/>
        </w:rPr>
        <w:t>附：法定代表人身份证明</w:t>
      </w:r>
    </w:p>
    <w:p w14:paraId="2586E5BA">
      <w:pPr>
        <w:spacing w:line="380" w:lineRule="exact"/>
        <w:rPr>
          <w:rFonts w:ascii="宋体" w:hAnsi="宋体" w:cs="宋体"/>
          <w:b/>
          <w:color w:val="auto"/>
          <w:sz w:val="24"/>
          <w:highlight w:val="none"/>
        </w:rPr>
      </w:pPr>
    </w:p>
    <w:tbl>
      <w:tblPr>
        <w:tblStyle w:val="40"/>
        <w:tblpPr w:leftFromText="180" w:rightFromText="180" w:vertAnchor="text" w:horzAnchor="margin" w:tblpXSpec="right" w:tblpY="10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298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tcPr>
          <w:p w14:paraId="043F812E">
            <w:pPr>
              <w:spacing w:line="440" w:lineRule="exact"/>
              <w:rPr>
                <w:rFonts w:ascii="宋体" w:hAnsi="宋体" w:cs="宋体"/>
                <w:color w:val="auto"/>
                <w:sz w:val="22"/>
                <w:szCs w:val="22"/>
                <w:highlight w:val="none"/>
              </w:rPr>
            </w:pPr>
          </w:p>
          <w:p w14:paraId="712FD450">
            <w:pPr>
              <w:spacing w:line="440" w:lineRule="exact"/>
              <w:rPr>
                <w:rFonts w:ascii="宋体" w:hAnsi="宋体" w:cs="宋体"/>
                <w:color w:val="auto"/>
                <w:sz w:val="22"/>
                <w:szCs w:val="22"/>
                <w:highlight w:val="none"/>
              </w:rPr>
            </w:pPr>
          </w:p>
          <w:p w14:paraId="741EE17F">
            <w:pPr>
              <w:spacing w:line="440" w:lineRule="exact"/>
              <w:rPr>
                <w:rFonts w:ascii="宋体" w:hAnsi="宋体" w:cs="宋体"/>
                <w:color w:val="auto"/>
                <w:sz w:val="22"/>
                <w:szCs w:val="22"/>
                <w:highlight w:val="none"/>
              </w:rPr>
            </w:pPr>
          </w:p>
          <w:p w14:paraId="4A7F18E6">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法人代表身份证复印件</w:t>
            </w:r>
          </w:p>
          <w:p w14:paraId="46D23514">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6B66110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（2）法定代表人授权书</w:t>
      </w:r>
    </w:p>
    <w:p w14:paraId="5AFF8738">
      <w:pPr>
        <w:spacing w:line="460" w:lineRule="exact"/>
        <w:rPr>
          <w:rFonts w:ascii="宋体" w:hAnsi="宋体" w:cs="宋体"/>
          <w:color w:val="auto"/>
          <w:sz w:val="22"/>
          <w:szCs w:val="22"/>
          <w:highlight w:val="none"/>
        </w:rPr>
      </w:pPr>
    </w:p>
    <w:p w14:paraId="457FD25B">
      <w:pPr>
        <w:spacing w:line="460" w:lineRule="exact"/>
        <w:rPr>
          <w:rFonts w:ascii="宋体" w:hAnsi="宋体" w:cs="宋体"/>
          <w:b/>
          <w:color w:val="auto"/>
          <w:sz w:val="24"/>
          <w:highlight w:val="none"/>
        </w:rPr>
      </w:pPr>
      <w:r>
        <w:rPr>
          <w:rFonts w:hint="eastAsia" w:ascii="宋体" w:hAnsi="宋体" w:cs="宋体"/>
          <w:b/>
          <w:color w:val="auto"/>
          <w:sz w:val="24"/>
          <w:highlight w:val="none"/>
        </w:rPr>
        <w:t>温州市第七人民医院：</w:t>
      </w:r>
    </w:p>
    <w:p w14:paraId="08CCEA8E">
      <w:pPr>
        <w:spacing w:line="440" w:lineRule="exact"/>
        <w:rPr>
          <w:rFonts w:ascii="宋体" w:hAnsi="宋体" w:cs="宋体"/>
          <w:color w:val="auto"/>
          <w:sz w:val="22"/>
          <w:szCs w:val="22"/>
          <w:highlight w:val="none"/>
          <w:u w:val="single"/>
        </w:rPr>
      </w:pPr>
    </w:p>
    <w:p w14:paraId="0FE67A56">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本人       </w:t>
      </w:r>
      <w:r>
        <w:rPr>
          <w:rFonts w:hint="eastAsia" w:ascii="宋体" w:hAnsi="宋体" w:cs="宋体"/>
          <w:color w:val="auto"/>
          <w:sz w:val="22"/>
          <w:szCs w:val="22"/>
          <w:highlight w:val="none"/>
        </w:rPr>
        <w:t>（姓名）系</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（投标人全称）的法定代表人，现委托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（全权代表姓名）为我方授权代表。代理人根据授权，以我方名义签署、澄清、说明、补正、递交、撤回、修改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（项目名称、编号）投标文件、签订合同和处理有关事宜，其法律后果由我方承担。</w:t>
      </w:r>
    </w:p>
    <w:p w14:paraId="6D9B63D3">
      <w:pPr>
        <w:spacing w:line="44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委托期限：</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p>
    <w:p w14:paraId="0626510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代理人无转委托权。</w:t>
      </w:r>
    </w:p>
    <w:p w14:paraId="3A1F0D55">
      <w:pPr>
        <w:spacing w:line="440" w:lineRule="exact"/>
        <w:ind w:firstLine="2955"/>
        <w:rPr>
          <w:rFonts w:ascii="宋体" w:hAnsi="宋体" w:cs="宋体"/>
          <w:color w:val="auto"/>
          <w:sz w:val="22"/>
          <w:szCs w:val="22"/>
          <w:highlight w:val="none"/>
        </w:rPr>
      </w:pPr>
    </w:p>
    <w:p w14:paraId="246A91DA">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法定代表人（签字/电子签字）：</w:t>
      </w:r>
    </w:p>
    <w:p w14:paraId="3CE5B037">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1F4117F">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6141E766">
      <w:pPr>
        <w:spacing w:line="440" w:lineRule="exact"/>
        <w:rPr>
          <w:rFonts w:ascii="宋体" w:hAnsi="宋体" w:cs="宋体"/>
          <w:color w:val="auto"/>
          <w:sz w:val="22"/>
          <w:szCs w:val="22"/>
          <w:highlight w:val="none"/>
        </w:rPr>
      </w:pPr>
    </w:p>
    <w:p w14:paraId="291BAD63">
      <w:pPr>
        <w:spacing w:line="440" w:lineRule="exact"/>
        <w:rPr>
          <w:rFonts w:ascii="宋体" w:hAnsi="宋体" w:cs="宋体"/>
          <w:color w:val="auto"/>
          <w:sz w:val="22"/>
          <w:szCs w:val="22"/>
          <w:highlight w:val="none"/>
        </w:rPr>
      </w:pPr>
    </w:p>
    <w:p w14:paraId="16C98D9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附：</w:t>
      </w:r>
    </w:p>
    <w:p w14:paraId="4016A6B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授权代表姓名：</w:t>
      </w:r>
    </w:p>
    <w:p w14:paraId="766E0F1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身份证号码：</w:t>
      </w:r>
    </w:p>
    <w:p w14:paraId="512EF4C1">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职务：</w:t>
      </w:r>
    </w:p>
    <w:p w14:paraId="0E084BE4">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手机号码：</w:t>
      </w:r>
    </w:p>
    <w:p w14:paraId="1B3EB02E">
      <w:pPr>
        <w:spacing w:line="440" w:lineRule="exact"/>
        <w:rPr>
          <w:rFonts w:ascii="宋体" w:hAnsi="宋体" w:cs="宋体"/>
          <w:color w:val="auto"/>
          <w:sz w:val="22"/>
          <w:szCs w:val="22"/>
          <w:highlight w:val="none"/>
        </w:rPr>
      </w:pPr>
      <w:r>
        <w:rPr>
          <w:rFonts w:hint="eastAsia" w:ascii="宋体" w:hAnsi="宋体" w:cs="宋体"/>
          <w:b/>
          <w:color w:val="auto"/>
          <w:sz w:val="24"/>
          <w:highlight w:val="none"/>
        </w:rPr>
        <w:t>附：授权代表身份证明</w:t>
      </w:r>
    </w:p>
    <w:p w14:paraId="2F003BF6">
      <w:pPr>
        <w:spacing w:line="440" w:lineRule="exact"/>
        <w:ind w:firstLine="220" w:firstLineChars="100"/>
        <w:rPr>
          <w:rFonts w:ascii="宋体" w:hAnsi="宋体" w:cs="宋体"/>
          <w:color w:val="auto"/>
          <w:sz w:val="22"/>
          <w:szCs w:val="22"/>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7"/>
      </w:tblGrid>
      <w:tr w14:paraId="182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27" w:type="dxa"/>
          </w:tcPr>
          <w:p w14:paraId="6763F59E">
            <w:pPr>
              <w:spacing w:line="440" w:lineRule="exact"/>
              <w:rPr>
                <w:rFonts w:ascii="宋体" w:hAnsi="宋体" w:cs="宋体"/>
                <w:color w:val="auto"/>
                <w:sz w:val="22"/>
                <w:szCs w:val="22"/>
                <w:highlight w:val="none"/>
              </w:rPr>
            </w:pPr>
          </w:p>
          <w:p w14:paraId="1CD9C467">
            <w:pPr>
              <w:spacing w:line="440" w:lineRule="exact"/>
              <w:rPr>
                <w:rFonts w:ascii="宋体" w:hAnsi="宋体" w:cs="宋体"/>
                <w:color w:val="auto"/>
                <w:sz w:val="22"/>
                <w:szCs w:val="22"/>
                <w:highlight w:val="none"/>
              </w:rPr>
            </w:pPr>
          </w:p>
          <w:p w14:paraId="6C99C119">
            <w:pPr>
              <w:spacing w:line="440" w:lineRule="exact"/>
              <w:rPr>
                <w:rFonts w:ascii="宋体" w:hAnsi="宋体" w:cs="宋体"/>
                <w:color w:val="auto"/>
                <w:sz w:val="22"/>
                <w:szCs w:val="22"/>
                <w:highlight w:val="none"/>
              </w:rPr>
            </w:pPr>
          </w:p>
          <w:p w14:paraId="6965A191">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授权代表身份证复印件</w:t>
            </w:r>
          </w:p>
          <w:p w14:paraId="22BDA830">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7B9AFE18">
      <w:pPr>
        <w:spacing w:line="440" w:lineRule="exact"/>
        <w:rPr>
          <w:rFonts w:ascii="宋体" w:hAnsi="宋体" w:cs="宋体"/>
          <w:b/>
          <w:bCs/>
          <w:color w:val="auto"/>
          <w:sz w:val="22"/>
          <w:szCs w:val="22"/>
          <w:highlight w:val="none"/>
        </w:rPr>
      </w:pPr>
    </w:p>
    <w:p w14:paraId="79A1E06D">
      <w:pPr>
        <w:spacing w:line="440" w:lineRule="exact"/>
        <w:rPr>
          <w:rFonts w:ascii="宋体" w:hAnsi="宋体" w:cs="宋体"/>
          <w:b/>
          <w:color w:val="auto"/>
          <w:sz w:val="24"/>
          <w:highlight w:val="none"/>
        </w:rPr>
        <w:sectPr>
          <w:footerReference r:id="rId6" w:type="default"/>
          <w:pgSz w:w="11906" w:h="16838"/>
          <w:pgMar w:top="1134" w:right="1134" w:bottom="1134" w:left="1134" w:header="851" w:footer="992" w:gutter="0"/>
          <w:cols w:space="720" w:num="1"/>
          <w:docGrid w:linePitch="312" w:charSpace="0"/>
        </w:sectPr>
      </w:pPr>
    </w:p>
    <w:p w14:paraId="23EAF89B">
      <w:pPr>
        <w:spacing w:line="400" w:lineRule="exact"/>
        <w:jc w:val="center"/>
        <w:rPr>
          <w:rFonts w:ascii="宋体" w:hAnsi="宋体"/>
          <w:b/>
          <w:bCs/>
          <w:color w:val="auto"/>
          <w:sz w:val="24"/>
          <w:highlight w:val="none"/>
        </w:rPr>
      </w:pPr>
      <w:r>
        <w:rPr>
          <w:rFonts w:hint="eastAsia" w:ascii="宋体" w:hAnsi="宋体"/>
          <w:b/>
          <w:bCs/>
          <w:color w:val="auto"/>
          <w:sz w:val="24"/>
          <w:highlight w:val="none"/>
        </w:rPr>
        <w:t>（3）</w:t>
      </w:r>
      <w:r>
        <w:rPr>
          <w:rFonts w:hint="eastAsia" w:ascii="宋体" w:hAnsi="宋体" w:cs="宋体"/>
          <w:b/>
          <w:color w:val="auto"/>
          <w:sz w:val="24"/>
          <w:highlight w:val="none"/>
        </w:rPr>
        <w:t>符合参加采购活动应当具备的一般条件的承诺函</w:t>
      </w:r>
    </w:p>
    <w:p w14:paraId="5BCAC5B6">
      <w:pPr>
        <w:pStyle w:val="18"/>
        <w:rPr>
          <w:color w:val="auto"/>
          <w:highlight w:val="none"/>
        </w:rPr>
      </w:pPr>
    </w:p>
    <w:p w14:paraId="7485F2C6">
      <w:pPr>
        <w:widowControl/>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温州市第七人民医院、温州正风招标代理有限公司：</w:t>
      </w:r>
    </w:p>
    <w:p w14:paraId="0E1D3C9C">
      <w:pPr>
        <w:widowControl/>
        <w:adjustRightInd w:val="0"/>
        <w:snapToGrid w:val="0"/>
        <w:spacing w:line="440" w:lineRule="exact"/>
        <w:ind w:firstLine="440" w:firstLineChars="200"/>
        <w:jc w:val="left"/>
        <w:rPr>
          <w:rFonts w:ascii="宋体" w:hAnsi="宋体" w:cs="Arial"/>
          <w:color w:val="auto"/>
          <w:sz w:val="22"/>
          <w:szCs w:val="22"/>
          <w:highlight w:val="none"/>
        </w:rPr>
      </w:pPr>
    </w:p>
    <w:p w14:paraId="7F264021">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仿宋_GB2312"/>
          <w:color w:val="auto"/>
          <w:sz w:val="22"/>
          <w:szCs w:val="22"/>
          <w:highlight w:val="none"/>
          <w:u w:val="single"/>
        </w:rPr>
        <w:t>（项目名称）【项目编号：    】</w:t>
      </w:r>
      <w:r>
        <w:rPr>
          <w:rFonts w:hint="eastAsia" w:ascii="宋体" w:hAnsi="宋体" w:cs="仿宋_GB2312"/>
          <w:color w:val="auto"/>
          <w:sz w:val="22"/>
          <w:szCs w:val="22"/>
          <w:highlight w:val="none"/>
        </w:rPr>
        <w:t>采购活动，郑重承诺：</w:t>
      </w:r>
    </w:p>
    <w:p w14:paraId="6B40F61C">
      <w:pPr>
        <w:snapToGrid w:val="0"/>
        <w:spacing w:line="360" w:lineRule="auto"/>
        <w:ind w:firstLine="330" w:firstLineChars="150"/>
        <w:rPr>
          <w:rFonts w:ascii="宋体" w:hAnsi="宋体" w:cs="仿宋_GB2312"/>
          <w:color w:val="auto"/>
          <w:sz w:val="22"/>
          <w:szCs w:val="22"/>
          <w:highlight w:val="none"/>
        </w:rPr>
      </w:pPr>
      <w:r>
        <w:rPr>
          <w:rFonts w:hint="eastAsia" w:ascii="宋体" w:hAnsi="宋体" w:cs="仿宋_GB2312"/>
          <w:color w:val="auto"/>
          <w:sz w:val="22"/>
          <w:szCs w:val="22"/>
          <w:highlight w:val="none"/>
        </w:rPr>
        <w:t>（一）具备《中华人民共和国政府采购法》第二十二条第一款规定的条件：</w:t>
      </w:r>
    </w:p>
    <w:p w14:paraId="69E2F166">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具有独立承担民事责任的能力；</w:t>
      </w:r>
    </w:p>
    <w:p w14:paraId="4049D734">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ascii="宋体" w:hAnsi="宋体"/>
          <w:color w:val="auto"/>
          <w:sz w:val="22"/>
          <w:szCs w:val="22"/>
          <w:highlight w:val="none"/>
        </w:rPr>
        <w:t xml:space="preserve">具有良好的商业信誉和健全的财务会计制度； </w:t>
      </w:r>
    </w:p>
    <w:p w14:paraId="69B03190">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具有履行合同所必需的设备和专业技术能力；</w:t>
      </w:r>
    </w:p>
    <w:p w14:paraId="1D0C5E7E">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w:t>
      </w:r>
      <w:r>
        <w:rPr>
          <w:rFonts w:ascii="宋体" w:hAnsi="宋体"/>
          <w:color w:val="auto"/>
          <w:sz w:val="22"/>
          <w:szCs w:val="22"/>
          <w:highlight w:val="none"/>
        </w:rPr>
        <w:t>有依法缴纳税收和社会保障资金的良好记录；</w:t>
      </w:r>
    </w:p>
    <w:p w14:paraId="451D1F19">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参加政府采购活动前三年内，在经营活动中没有重大违法记录；</w:t>
      </w:r>
    </w:p>
    <w:p w14:paraId="60546D1F">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具有法律、行政法规规定的其他条件。</w:t>
      </w:r>
    </w:p>
    <w:p w14:paraId="5C532086">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（二）未被信用中国（</w:t>
      </w:r>
      <w:r>
        <w:rPr>
          <w:rFonts w:ascii="宋体" w:hAnsi="宋体"/>
          <w:color w:val="auto"/>
          <w:sz w:val="22"/>
          <w:szCs w:val="22"/>
          <w:highlight w:val="none"/>
        </w:rPr>
        <w:t>www.creditchina.gov.cn)、中国政府采购网（www.ccgp.gov.cn）列入失信被执行人、重大税收违法案件当事人名单、政府采购严重违法失信行为记录名单。</w:t>
      </w:r>
    </w:p>
    <w:p w14:paraId="2B7AAB01">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（三）不存在以下情况：</w:t>
      </w:r>
    </w:p>
    <w:p w14:paraId="552809CC">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单位负责人为同一人或者存在直接控股、管理关系的不同供应商参加同一合同项下的政府采购活动的；</w:t>
      </w:r>
    </w:p>
    <w:p w14:paraId="14267283">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2、</w:t>
      </w:r>
      <w:r>
        <w:rPr>
          <w:rFonts w:ascii="宋体" w:hAnsi="宋体" w:cs="仿宋_GB2312"/>
          <w:color w:val="auto"/>
          <w:sz w:val="22"/>
          <w:szCs w:val="22"/>
          <w:highlight w:val="none"/>
        </w:rPr>
        <w:t>为采购项目提供整体设计、规范编制或者项目管理、监理、检测等服务后再参加该采购项目的其他采购活动的。</w:t>
      </w:r>
    </w:p>
    <w:p w14:paraId="7CE2FC56">
      <w:pPr>
        <w:snapToGrid w:val="0"/>
        <w:spacing w:line="360" w:lineRule="auto"/>
        <w:ind w:firstLine="440" w:firstLineChars="200"/>
        <w:rPr>
          <w:rFonts w:ascii="宋体" w:hAnsi="宋体" w:cs="仿宋_GB2312"/>
          <w:color w:val="auto"/>
          <w:sz w:val="22"/>
          <w:szCs w:val="22"/>
          <w:highlight w:val="none"/>
        </w:rPr>
      </w:pPr>
    </w:p>
    <w:p w14:paraId="59B5F43D">
      <w:pPr>
        <w:snapToGrid w:val="0"/>
        <w:spacing w:line="360" w:lineRule="auto"/>
        <w:ind w:firstLine="440" w:firstLineChars="200"/>
        <w:rPr>
          <w:rFonts w:ascii="宋体" w:hAnsi="宋体" w:cs="仿宋_GB2312"/>
          <w:color w:val="auto"/>
          <w:sz w:val="22"/>
          <w:szCs w:val="22"/>
          <w:highlight w:val="none"/>
        </w:rPr>
      </w:pPr>
    </w:p>
    <w:p w14:paraId="3E40C229">
      <w:pPr>
        <w:snapToGrid w:val="0"/>
        <w:spacing w:line="360" w:lineRule="auto"/>
        <w:ind w:firstLine="440" w:firstLineChars="200"/>
        <w:rPr>
          <w:rFonts w:ascii="宋体" w:hAnsi="宋体" w:cs="仿宋_GB2312"/>
          <w:color w:val="auto"/>
          <w:sz w:val="22"/>
          <w:szCs w:val="22"/>
          <w:highlight w:val="none"/>
        </w:rPr>
      </w:pPr>
    </w:p>
    <w:p w14:paraId="0AF7F692">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055D6C49">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4BAC5D33">
      <w:pPr>
        <w:pStyle w:val="18"/>
        <w:rPr>
          <w:rFonts w:ascii="宋体" w:hAnsi="宋体"/>
          <w:color w:val="auto"/>
          <w:sz w:val="22"/>
          <w:szCs w:val="22"/>
          <w:highlight w:val="none"/>
        </w:rPr>
      </w:pPr>
    </w:p>
    <w:p w14:paraId="6E300DAB">
      <w:pPr>
        <w:pStyle w:val="93"/>
        <w:rPr>
          <w:rFonts w:hAnsi="宋体"/>
          <w:color w:val="auto"/>
          <w:sz w:val="22"/>
          <w:szCs w:val="22"/>
          <w:highlight w:val="none"/>
        </w:rPr>
      </w:pPr>
    </w:p>
    <w:p w14:paraId="4839AB20">
      <w:pPr>
        <w:rPr>
          <w:rFonts w:ascii="宋体" w:hAnsi="宋体"/>
          <w:color w:val="auto"/>
          <w:sz w:val="22"/>
          <w:szCs w:val="22"/>
          <w:highlight w:val="none"/>
        </w:rPr>
      </w:pPr>
    </w:p>
    <w:p w14:paraId="1A64553C">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385F5C4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（4）联合体协议书（</w:t>
      </w:r>
      <w:bookmarkStart w:id="72" w:name="_Hlk113552869"/>
      <w:r>
        <w:rPr>
          <w:rFonts w:hint="eastAsia" w:ascii="宋体" w:hAnsi="宋体" w:cs="宋体"/>
          <w:b/>
          <w:color w:val="auto"/>
          <w:sz w:val="24"/>
          <w:highlight w:val="none"/>
        </w:rPr>
        <w:t>如为联合体投标，请提供</w:t>
      </w:r>
      <w:bookmarkEnd w:id="72"/>
      <w:r>
        <w:rPr>
          <w:rFonts w:hint="eastAsia" w:ascii="宋体" w:hAnsi="宋体" w:cs="宋体"/>
          <w:b/>
          <w:color w:val="auto"/>
          <w:sz w:val="24"/>
          <w:highlight w:val="none"/>
        </w:rPr>
        <w:t>）</w:t>
      </w:r>
    </w:p>
    <w:p w14:paraId="6E552890">
      <w:pPr>
        <w:snapToGrid w:val="0"/>
        <w:spacing w:line="360" w:lineRule="auto"/>
        <w:rPr>
          <w:rFonts w:ascii="宋体" w:hAnsi="宋体" w:cs="宋体"/>
          <w:color w:val="auto"/>
          <w:sz w:val="22"/>
          <w:szCs w:val="22"/>
          <w:highlight w:val="none"/>
          <w:lang w:val="zh-CN"/>
        </w:rPr>
      </w:pPr>
      <w:r>
        <w:rPr>
          <w:rFonts w:hint="eastAsia" w:ascii="宋体" w:hAnsi="宋体" w:cs="宋体"/>
          <w:color w:val="auto"/>
          <w:sz w:val="22"/>
          <w:szCs w:val="22"/>
          <w:highlight w:val="none"/>
          <w:u w:val="single"/>
        </w:rPr>
        <w:t>（联合体所有成员名称）</w:t>
      </w:r>
      <w:r>
        <w:rPr>
          <w:rFonts w:hint="eastAsia" w:ascii="宋体" w:hAnsi="宋体" w:cs="宋体"/>
          <w:color w:val="auto"/>
          <w:sz w:val="22"/>
          <w:szCs w:val="22"/>
          <w:highlight w:val="none"/>
        </w:rPr>
        <w:t>自愿</w:t>
      </w:r>
      <w:r>
        <w:rPr>
          <w:rFonts w:hint="eastAsia" w:ascii="宋体" w:hAnsi="宋体" w:cs="宋体"/>
          <w:color w:val="auto"/>
          <w:sz w:val="22"/>
          <w:szCs w:val="22"/>
          <w:highlight w:val="none"/>
          <w:lang w:val="zh-CN"/>
        </w:rPr>
        <w:t>组成一个联合体，以一个投标人的身份</w:t>
      </w:r>
      <w:r>
        <w:rPr>
          <w:rFonts w:hint="eastAsia" w:ascii="宋体" w:hAnsi="宋体" w:cs="宋体"/>
          <w:color w:val="auto"/>
          <w:sz w:val="22"/>
          <w:szCs w:val="22"/>
          <w:highlight w:val="none"/>
        </w:rPr>
        <w:t>参加</w:t>
      </w:r>
      <w:r>
        <w:rPr>
          <w:rFonts w:hint="eastAsia" w:ascii="宋体" w:hAnsi="宋体" w:cs="宋体"/>
          <w:color w:val="auto"/>
          <w:sz w:val="22"/>
          <w:szCs w:val="22"/>
          <w:highlight w:val="none"/>
          <w:u w:val="single"/>
        </w:rPr>
        <w:t xml:space="preserve">      项目【项目编号：      】</w:t>
      </w:r>
      <w:r>
        <w:rPr>
          <w:rFonts w:hint="eastAsia" w:ascii="宋体" w:hAnsi="宋体" w:cs="宋体"/>
          <w:color w:val="auto"/>
          <w:sz w:val="22"/>
          <w:szCs w:val="22"/>
          <w:highlight w:val="none"/>
          <w:lang w:val="zh-CN"/>
        </w:rPr>
        <w:t xml:space="preserve">投标。 </w:t>
      </w:r>
    </w:p>
    <w:p w14:paraId="3F87DC13">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一、各方一致决定，</w:t>
      </w:r>
      <w:r>
        <w:rPr>
          <w:rFonts w:hint="eastAsia" w:ascii="宋体" w:hAnsi="宋体" w:cs="宋体"/>
          <w:color w:val="auto"/>
          <w:sz w:val="22"/>
          <w:szCs w:val="22"/>
          <w:highlight w:val="none"/>
          <w:u w:val="single"/>
        </w:rPr>
        <w:t>（某联合体成员名称）</w:t>
      </w:r>
      <w:r>
        <w:rPr>
          <w:rFonts w:hint="eastAsia" w:ascii="宋体" w:hAnsi="宋体" w:cs="宋体"/>
          <w:color w:val="auto"/>
          <w:sz w:val="22"/>
          <w:szCs w:val="22"/>
          <w:highlight w:val="none"/>
        </w:rPr>
        <w:t>为联合体</w:t>
      </w:r>
      <w:r>
        <w:rPr>
          <w:rFonts w:hint="eastAsia" w:ascii="宋体" w:hAnsi="宋体" w:cs="宋体"/>
          <w:color w:val="auto"/>
          <w:sz w:val="22"/>
          <w:szCs w:val="22"/>
          <w:highlight w:val="none"/>
          <w:lang w:val="zh-CN"/>
        </w:rPr>
        <w:t>牵头人</w:t>
      </w:r>
      <w:r>
        <w:rPr>
          <w:rFonts w:hint="eastAsia" w:ascii="宋体" w:hAnsi="宋体" w:cs="宋体"/>
          <w:color w:val="auto"/>
          <w:sz w:val="22"/>
          <w:szCs w:val="22"/>
          <w:highlight w:val="none"/>
        </w:rPr>
        <w:t>，代表所有联合体成员负责投标和合同实施阶段的主办、协调工作</w:t>
      </w:r>
      <w:r>
        <w:rPr>
          <w:rFonts w:hint="eastAsia" w:ascii="宋体" w:hAnsi="宋体" w:cs="宋体"/>
          <w:color w:val="auto"/>
          <w:sz w:val="22"/>
          <w:szCs w:val="22"/>
          <w:highlight w:val="none"/>
          <w:lang w:val="zh-CN"/>
        </w:rPr>
        <w:t>。</w:t>
      </w:r>
    </w:p>
    <w:p w14:paraId="7BF3B8EF">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二、</w:t>
      </w:r>
      <w:r>
        <w:rPr>
          <w:rFonts w:hint="eastAsia" w:ascii="宋体" w:hAnsi="宋体" w:cs="宋体"/>
          <w:color w:val="auto"/>
          <w:sz w:val="22"/>
          <w:szCs w:val="22"/>
          <w:highlight w:val="none"/>
        </w:rPr>
        <w:t>所有联合体成员各方签署授权书，授权书载明的</w:t>
      </w:r>
      <w:r>
        <w:rPr>
          <w:rFonts w:hint="eastAsia" w:ascii="宋体" w:hAnsi="宋体" w:cs="宋体"/>
          <w:color w:val="auto"/>
          <w:sz w:val="22"/>
          <w:szCs w:val="22"/>
          <w:highlight w:val="none"/>
          <w:lang w:val="zh-CN"/>
        </w:rPr>
        <w:t>授权代表根据招标文件规定及投标内容而对采购人、采购代理机构所作的任何合法承诺，包括书面澄清及</w:t>
      </w:r>
      <w:r>
        <w:rPr>
          <w:rFonts w:hint="eastAsia" w:ascii="宋体" w:hAnsi="宋体" w:cs="宋体"/>
          <w:color w:val="auto"/>
          <w:sz w:val="22"/>
          <w:szCs w:val="22"/>
          <w:highlight w:val="none"/>
          <w:lang w:val="en-US" w:eastAsia="zh-CN"/>
        </w:rPr>
        <w:t>响应</w:t>
      </w:r>
      <w:r>
        <w:rPr>
          <w:rFonts w:hint="eastAsia" w:ascii="宋体" w:hAnsi="宋体" w:cs="宋体"/>
          <w:color w:val="auto"/>
          <w:sz w:val="22"/>
          <w:szCs w:val="22"/>
          <w:highlight w:val="none"/>
          <w:lang w:val="zh-CN"/>
        </w:rPr>
        <w:t>等均对联合投标各方产生约束力。</w:t>
      </w:r>
    </w:p>
    <w:p w14:paraId="161F04DD">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三、本次联合投标中，分工如下：</w:t>
      </w:r>
    </w:p>
    <w:p w14:paraId="77088315">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u w:val="single"/>
        </w:rPr>
        <w:t>（联合体成员1）</w:t>
      </w:r>
      <w:r>
        <w:rPr>
          <w:rFonts w:hint="eastAsia" w:ascii="宋体" w:hAnsi="宋体" w:cs="宋体"/>
          <w:color w:val="auto"/>
          <w:sz w:val="22"/>
          <w:szCs w:val="22"/>
          <w:highlight w:val="none"/>
          <w:lang w:val="zh-CN"/>
        </w:rPr>
        <w:t>承担的工作和义务为：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lang w:val="zh-CN"/>
        </w:rPr>
        <w:t>；</w:t>
      </w:r>
    </w:p>
    <w:p w14:paraId="75F87213">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u w:val="single"/>
        </w:rPr>
        <w:t>（联合体成员2）</w:t>
      </w:r>
      <w:r>
        <w:rPr>
          <w:rFonts w:hint="eastAsia" w:ascii="宋体" w:hAnsi="宋体" w:cs="宋体"/>
          <w:color w:val="auto"/>
          <w:sz w:val="22"/>
          <w:szCs w:val="22"/>
          <w:highlight w:val="none"/>
          <w:lang w:val="zh-CN"/>
        </w:rPr>
        <w:t>承担的工作和义务为：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lang w:val="zh-CN"/>
        </w:rPr>
        <w:t>；</w:t>
      </w:r>
    </w:p>
    <w:p w14:paraId="48BC4E60">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w:t>
      </w:r>
    </w:p>
    <w:p w14:paraId="3F51EFD2">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四、联合体成员中小企业合同份额。</w:t>
      </w:r>
    </w:p>
    <w:p w14:paraId="269AB4E3">
      <w:pPr>
        <w:snapToGrid w:val="0"/>
        <w:spacing w:line="360" w:lineRule="auto"/>
        <w:ind w:firstLine="576"/>
        <w:rPr>
          <w:rFonts w:ascii="宋体" w:hAnsi="宋体" w:cs="宋体"/>
          <w:b/>
          <w:color w:val="auto"/>
          <w:sz w:val="22"/>
          <w:szCs w:val="22"/>
          <w:highlight w:val="none"/>
          <w:lang w:val="zh-CN"/>
        </w:rPr>
      </w:pPr>
      <w:r>
        <w:rPr>
          <w:rFonts w:hint="eastAsia" w:ascii="宋体" w:hAnsi="宋体" w:cs="宋体"/>
          <w:color w:val="auto"/>
          <w:sz w:val="22"/>
          <w:szCs w:val="22"/>
          <w:highlight w:val="none"/>
          <w:lang w:val="zh-CN"/>
        </w:rPr>
        <w:t>1、</w:t>
      </w:r>
      <w:r>
        <w:rPr>
          <w:rFonts w:hint="eastAsia" w:ascii="宋体" w:hAnsi="宋体" w:cs="宋体"/>
          <w:color w:val="auto"/>
          <w:sz w:val="22"/>
          <w:szCs w:val="22"/>
          <w:highlight w:val="none"/>
          <w:u w:val="single"/>
        </w:rPr>
        <w:t>（</w:t>
      </w:r>
      <w:bookmarkStart w:id="73" w:name="_Hlk101131882"/>
      <w:r>
        <w:rPr>
          <w:rFonts w:hint="eastAsia" w:ascii="宋体" w:hAnsi="宋体" w:cs="宋体"/>
          <w:color w:val="auto"/>
          <w:sz w:val="22"/>
          <w:szCs w:val="22"/>
          <w:highlight w:val="none"/>
          <w:u w:val="single"/>
        </w:rPr>
        <w:t>联合体成员X,……</w:t>
      </w:r>
      <w:bookmarkEnd w:id="73"/>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rPr>
        <w:t>提供的服务由小微企业承接，其合同份额占到合同总金额</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%以上</w:t>
      </w:r>
      <w:r>
        <w:rPr>
          <w:rFonts w:hint="eastAsia" w:ascii="宋体" w:hAnsi="宋体" w:cs="宋体"/>
          <w:color w:val="auto"/>
          <w:sz w:val="22"/>
          <w:szCs w:val="22"/>
          <w:highlight w:val="none"/>
          <w:lang w:val="zh-CN"/>
        </w:rPr>
        <w:t>。</w:t>
      </w:r>
      <w:r>
        <w:rPr>
          <w:rFonts w:hint="eastAsia" w:ascii="宋体" w:hAnsi="宋体" w:cs="宋体"/>
          <w:b/>
          <w:color w:val="auto"/>
          <w:sz w:val="22"/>
          <w:szCs w:val="22"/>
          <w:highlight w:val="none"/>
          <w:lang w:val="zh-CN"/>
        </w:rPr>
        <w:t>（</w:t>
      </w:r>
      <w:bookmarkStart w:id="74" w:name="_Hlk101133598"/>
      <w:r>
        <w:rPr>
          <w:rFonts w:hint="eastAsia" w:ascii="宋体" w:hAnsi="宋体" w:cs="宋体"/>
          <w:b/>
          <w:color w:val="auto"/>
          <w:sz w:val="22"/>
          <w:szCs w:val="22"/>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2"/>
          <w:szCs w:val="22"/>
          <w:highlight w:val="none"/>
        </w:rPr>
        <w:t>拟享受以上价格扣除政策的，填写有关内容。</w:t>
      </w:r>
      <w:bookmarkEnd w:id="74"/>
      <w:r>
        <w:rPr>
          <w:rFonts w:hint="eastAsia" w:ascii="宋体" w:hAnsi="宋体" w:cs="宋体"/>
          <w:b/>
          <w:color w:val="auto"/>
          <w:sz w:val="22"/>
          <w:szCs w:val="22"/>
          <w:highlight w:val="none"/>
          <w:lang w:val="zh-CN"/>
        </w:rPr>
        <w:t>）</w:t>
      </w:r>
    </w:p>
    <w:p w14:paraId="2191AE33">
      <w:pPr>
        <w:spacing w:line="360" w:lineRule="auto"/>
        <w:ind w:firstLine="440" w:firstLineChars="200"/>
        <w:rPr>
          <w:rFonts w:ascii="宋体" w:hAnsi="宋体" w:cs="宋体"/>
          <w:b/>
          <w:bCs/>
          <w:color w:val="auto"/>
          <w:sz w:val="22"/>
          <w:szCs w:val="22"/>
          <w:highlight w:val="none"/>
          <w:lang w:val="zh-CN"/>
        </w:rPr>
      </w:pPr>
      <w:r>
        <w:rPr>
          <w:rFonts w:hint="eastAsia" w:ascii="宋体" w:hAnsi="宋体" w:cs="宋体"/>
          <w:color w:val="auto"/>
          <w:sz w:val="22"/>
          <w:szCs w:val="22"/>
          <w:highlight w:val="none"/>
        </w:rPr>
        <w:t>2、</w:t>
      </w:r>
      <w:bookmarkStart w:id="75" w:name="_Hlk101133173"/>
      <w:r>
        <w:rPr>
          <w:rFonts w:hint="eastAsia" w:ascii="宋体" w:hAnsi="宋体" w:cs="宋体"/>
          <w:color w:val="auto"/>
          <w:sz w:val="22"/>
          <w:szCs w:val="22"/>
          <w:highlight w:val="none"/>
        </w:rPr>
        <w:t>中小企业合同金额达到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%，小微企业合同金额达到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w:t>
      </w:r>
      <w:r>
        <w:rPr>
          <w:rFonts w:hint="eastAsia" w:ascii="宋体" w:hAnsi="宋体" w:cs="宋体"/>
          <w:b/>
          <w:bCs/>
          <w:color w:val="auto"/>
          <w:sz w:val="22"/>
          <w:szCs w:val="22"/>
          <w:highlight w:val="none"/>
          <w:lang w:val="zh-CN"/>
        </w:rPr>
        <w:t>（</w:t>
      </w:r>
      <w:r>
        <w:rPr>
          <w:rFonts w:hint="eastAsia" w:ascii="宋体" w:hAnsi="宋体" w:cs="宋体"/>
          <w:b/>
          <w:bCs/>
          <w:color w:val="auto"/>
          <w:sz w:val="22"/>
          <w:szCs w:val="22"/>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sz w:val="22"/>
          <w:szCs w:val="22"/>
          <w:highlight w:val="none"/>
          <w:lang w:val="zh-CN"/>
        </w:rPr>
        <w:t>）</w:t>
      </w:r>
      <w:bookmarkEnd w:id="75"/>
    </w:p>
    <w:p w14:paraId="341DBA61">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五、如果中标，</w:t>
      </w:r>
      <w:r>
        <w:rPr>
          <w:rFonts w:hint="eastAsia" w:ascii="宋体" w:hAnsi="宋体" w:cs="宋体"/>
          <w:color w:val="auto"/>
          <w:sz w:val="22"/>
          <w:szCs w:val="22"/>
          <w:highlight w:val="none"/>
        </w:rPr>
        <w:t>联合体各成员方共同与采购人签订合同，并就采购合同约定的事项对采购人承担连带责任。</w:t>
      </w:r>
    </w:p>
    <w:p w14:paraId="0D267F44">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六、有关本次联合投标的其他事宜：</w:t>
      </w:r>
    </w:p>
    <w:p w14:paraId="538EBAAF">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1、联合体各方不再单独参加或者与其他供应商另外组成联合体参加同一合同项下的政府采购活动。</w:t>
      </w:r>
    </w:p>
    <w:p w14:paraId="00D48F91">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2、联合体中有同类资质的各方按照联合体分工承担相同工作的，按照资质等级较低的供应商确定资质等级。</w:t>
      </w:r>
    </w:p>
    <w:p w14:paraId="3F883D94">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3、本协议提交采购人、采购代理机构后，联合体各方不得以任何形式对上述内容进行修改或撤销。</w:t>
      </w:r>
    </w:p>
    <w:p w14:paraId="54D8B4A4">
      <w:pPr>
        <w:snapToGrid w:val="0"/>
        <w:spacing w:line="360" w:lineRule="auto"/>
        <w:ind w:firstLine="4620" w:firstLineChars="21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联合体成员名称(电子签名/公章)：</w:t>
      </w:r>
    </w:p>
    <w:p w14:paraId="10994671">
      <w:pPr>
        <w:snapToGrid w:val="0"/>
        <w:spacing w:line="360" w:lineRule="auto"/>
        <w:ind w:firstLine="4620" w:firstLineChars="21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联合体成员名称(电子签名/公章)：</w:t>
      </w:r>
    </w:p>
    <w:p w14:paraId="73B721CF">
      <w:pPr>
        <w:snapToGrid w:val="0"/>
        <w:spacing w:line="360" w:lineRule="auto"/>
        <w:ind w:right="960"/>
        <w:jc w:val="center"/>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w:t>
      </w:r>
    </w:p>
    <w:p w14:paraId="0D9B2EAE">
      <w:pPr>
        <w:snapToGrid w:val="0"/>
        <w:spacing w:line="360" w:lineRule="auto"/>
        <w:jc w:val="righ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日期：  年  月   日</w:t>
      </w:r>
    </w:p>
    <w:p w14:paraId="513B19D0">
      <w:pPr>
        <w:widowControl/>
        <w:shd w:val="clear" w:color="auto" w:fill="FFFFFF"/>
        <w:spacing w:line="440" w:lineRule="atLeast"/>
        <w:ind w:firstLine="482"/>
        <w:jc w:val="left"/>
        <w:rPr>
          <w:rFonts w:ascii="宋体" w:hAnsi="宋体" w:cs="宋体"/>
          <w:color w:val="auto"/>
          <w:sz w:val="22"/>
          <w:szCs w:val="22"/>
          <w:highlight w:val="none"/>
        </w:rPr>
      </w:pPr>
      <w:r>
        <w:rPr>
          <w:rFonts w:hint="eastAsia" w:ascii="宋体" w:hAnsi="宋体" w:cs="宋体"/>
          <w:color w:val="auto"/>
          <w:sz w:val="22"/>
          <w:szCs w:val="22"/>
          <w:highlight w:val="none"/>
        </w:rPr>
        <w:t>注：按本格式和要求提供。</w:t>
      </w:r>
    </w:p>
    <w:p w14:paraId="557C93EB">
      <w:pPr>
        <w:widowControl/>
        <w:snapToGrid w:val="0"/>
        <w:spacing w:line="360" w:lineRule="auto"/>
        <w:ind w:firstLine="440" w:firstLineChars="200"/>
        <w:jc w:val="left"/>
        <w:rPr>
          <w:rFonts w:ascii="宋体" w:hAnsi="宋体" w:cs="仿宋_GB2312"/>
          <w:color w:val="auto"/>
          <w:sz w:val="22"/>
          <w:highlight w:val="none"/>
        </w:rPr>
      </w:pPr>
    </w:p>
    <w:p w14:paraId="3B763DC6">
      <w:pPr>
        <w:widowControl/>
        <w:snapToGrid w:val="0"/>
        <w:spacing w:line="360" w:lineRule="auto"/>
        <w:ind w:firstLine="440" w:firstLineChars="200"/>
        <w:jc w:val="left"/>
        <w:rPr>
          <w:rFonts w:ascii="宋体" w:hAnsi="宋体" w:cs="仿宋_GB2312"/>
          <w:color w:val="auto"/>
          <w:sz w:val="22"/>
          <w:highlight w:val="none"/>
        </w:rPr>
        <w:sectPr>
          <w:footerReference r:id="rId7" w:type="default"/>
          <w:pgSz w:w="11906" w:h="16838"/>
          <w:pgMar w:top="1134" w:right="1134" w:bottom="1134" w:left="1134" w:header="851" w:footer="992" w:gutter="0"/>
          <w:cols w:space="720" w:num="1"/>
          <w:docGrid w:linePitch="312" w:charSpace="0"/>
        </w:sectPr>
      </w:pPr>
    </w:p>
    <w:p w14:paraId="4BB0E78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（5）分包意向协议（如有分包，请根据格式提供）</w:t>
      </w:r>
    </w:p>
    <w:p w14:paraId="50A19F50">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u w:val="single"/>
        </w:rPr>
        <w:t>（投标人名称）</w:t>
      </w:r>
      <w:r>
        <w:rPr>
          <w:rFonts w:hint="eastAsia" w:ascii="宋体" w:hAnsi="宋体" w:cs="宋体"/>
          <w:color w:val="auto"/>
          <w:sz w:val="22"/>
          <w:szCs w:val="22"/>
          <w:highlight w:val="none"/>
          <w:lang w:val="zh-CN"/>
        </w:rPr>
        <w:t>若成为</w:t>
      </w:r>
      <w:r>
        <w:rPr>
          <w:rFonts w:hint="eastAsia" w:ascii="宋体" w:hAnsi="宋体" w:cs="宋体"/>
          <w:color w:val="auto"/>
          <w:sz w:val="22"/>
          <w:szCs w:val="22"/>
          <w:highlight w:val="none"/>
          <w:u w:val="single"/>
        </w:rPr>
        <w:t xml:space="preserve">      项目【项目编号：      】</w:t>
      </w:r>
      <w:r>
        <w:rPr>
          <w:rFonts w:hint="eastAsia" w:ascii="宋体" w:hAnsi="宋体" w:cs="宋体"/>
          <w:color w:val="auto"/>
          <w:sz w:val="22"/>
          <w:szCs w:val="22"/>
          <w:highlight w:val="none"/>
          <w:lang w:val="zh-CN"/>
        </w:rPr>
        <w:t>的</w:t>
      </w:r>
      <w:r>
        <w:rPr>
          <w:rFonts w:hint="eastAsia" w:ascii="宋体" w:hAnsi="宋体" w:cs="宋体"/>
          <w:color w:val="auto"/>
          <w:sz w:val="22"/>
          <w:szCs w:val="22"/>
          <w:highlight w:val="none"/>
        </w:rPr>
        <w:t>中标人</w:t>
      </w:r>
      <w:r>
        <w:rPr>
          <w:rFonts w:hint="eastAsia" w:ascii="宋体" w:hAnsi="宋体" w:cs="宋体"/>
          <w:color w:val="auto"/>
          <w:sz w:val="22"/>
          <w:szCs w:val="22"/>
          <w:highlight w:val="none"/>
          <w:lang w:val="zh-CN"/>
        </w:rPr>
        <w:t>，将依法采取分包方式履行合同。</w:t>
      </w:r>
      <w:r>
        <w:rPr>
          <w:rFonts w:hint="eastAsia" w:ascii="宋体" w:hAnsi="宋体" w:cs="宋体"/>
          <w:color w:val="auto"/>
          <w:sz w:val="22"/>
          <w:szCs w:val="22"/>
          <w:highlight w:val="none"/>
          <w:u w:val="single"/>
        </w:rPr>
        <w:t>（投标人名称）</w:t>
      </w:r>
      <w:r>
        <w:rPr>
          <w:rFonts w:hint="eastAsia" w:ascii="宋体" w:hAnsi="宋体" w:cs="宋体"/>
          <w:color w:val="auto"/>
          <w:sz w:val="22"/>
          <w:szCs w:val="22"/>
          <w:highlight w:val="none"/>
        </w:rPr>
        <w:t>与</w:t>
      </w:r>
      <w:r>
        <w:rPr>
          <w:rFonts w:hint="eastAsia" w:ascii="宋体" w:hAnsi="宋体" w:cs="宋体"/>
          <w:color w:val="auto"/>
          <w:sz w:val="22"/>
          <w:szCs w:val="22"/>
          <w:highlight w:val="none"/>
          <w:u w:val="single"/>
        </w:rPr>
        <w:t>（所有分包供应商名称）</w:t>
      </w:r>
      <w:r>
        <w:rPr>
          <w:rFonts w:hint="eastAsia" w:ascii="宋体" w:hAnsi="宋体" w:cs="宋体"/>
          <w:color w:val="auto"/>
          <w:sz w:val="22"/>
          <w:szCs w:val="22"/>
          <w:highlight w:val="none"/>
        </w:rPr>
        <w:t>达成分包意向协议</w:t>
      </w:r>
      <w:r>
        <w:rPr>
          <w:rFonts w:hint="eastAsia" w:ascii="宋体" w:hAnsi="宋体" w:cs="宋体"/>
          <w:color w:val="auto"/>
          <w:sz w:val="22"/>
          <w:szCs w:val="22"/>
          <w:highlight w:val="none"/>
          <w:lang w:val="zh-CN"/>
        </w:rPr>
        <w:t xml:space="preserve">。 </w:t>
      </w:r>
    </w:p>
    <w:p w14:paraId="64154C18">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一、分包标的及数量</w:t>
      </w:r>
    </w:p>
    <w:p w14:paraId="1C8B7FB1">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u w:val="single"/>
        </w:rPr>
        <w:t>（投标人名称）</w:t>
      </w:r>
      <w:r>
        <w:rPr>
          <w:rFonts w:hint="eastAsia" w:ascii="宋体" w:hAnsi="宋体" w:cs="宋体"/>
          <w:color w:val="auto"/>
          <w:sz w:val="22"/>
          <w:szCs w:val="22"/>
          <w:highlight w:val="none"/>
          <w:lang w:val="zh-CN"/>
        </w:rPr>
        <w:t>将</w:t>
      </w:r>
      <w:r>
        <w:rPr>
          <w:rFonts w:hint="eastAsia" w:ascii="宋体" w:hAnsi="宋体" w:cs="宋体"/>
          <w:color w:val="auto"/>
          <w:sz w:val="22"/>
          <w:szCs w:val="22"/>
          <w:highlight w:val="none"/>
          <w:u w:val="single"/>
        </w:rPr>
        <w:t xml:space="preserve">   XX工作内容   </w:t>
      </w:r>
      <w:r>
        <w:rPr>
          <w:rFonts w:hint="eastAsia" w:ascii="宋体" w:hAnsi="宋体" w:cs="宋体"/>
          <w:color w:val="auto"/>
          <w:sz w:val="22"/>
          <w:szCs w:val="22"/>
          <w:highlight w:val="none"/>
        </w:rPr>
        <w:t>分包给</w:t>
      </w:r>
      <w:r>
        <w:rPr>
          <w:rFonts w:hint="eastAsia" w:ascii="宋体" w:hAnsi="宋体" w:cs="宋体"/>
          <w:color w:val="auto"/>
          <w:sz w:val="22"/>
          <w:szCs w:val="22"/>
          <w:highlight w:val="none"/>
          <w:u w:val="single"/>
        </w:rPr>
        <w:t>（分包供应商1名称）</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u w:val="single"/>
        </w:rPr>
        <w:t>（分包供应商2名称），</w:t>
      </w:r>
      <w:r>
        <w:rPr>
          <w:rFonts w:hint="eastAsia" w:ascii="宋体" w:hAnsi="宋体" w:cs="宋体"/>
          <w:color w:val="auto"/>
          <w:sz w:val="22"/>
          <w:szCs w:val="22"/>
          <w:highlight w:val="none"/>
          <w:lang w:val="zh-CN"/>
        </w:rPr>
        <w:t>具备承</w:t>
      </w:r>
      <w:r>
        <w:rPr>
          <w:rFonts w:hint="eastAsia" w:ascii="宋体" w:hAnsi="宋体" w:cs="宋体"/>
          <w:color w:val="auto"/>
          <w:sz w:val="22"/>
          <w:szCs w:val="22"/>
          <w:highlight w:val="none"/>
        </w:rPr>
        <w:t>担</w:t>
      </w:r>
      <w:r>
        <w:rPr>
          <w:rFonts w:hint="eastAsia" w:ascii="宋体" w:hAnsi="宋体" w:cs="宋体"/>
          <w:color w:val="auto"/>
          <w:sz w:val="22"/>
          <w:szCs w:val="22"/>
          <w:highlight w:val="none"/>
          <w:u w:val="single"/>
          <w:lang w:val="zh-CN"/>
        </w:rPr>
        <w:t>XX工作内容</w:t>
      </w:r>
      <w:r>
        <w:rPr>
          <w:rFonts w:hint="eastAsia" w:ascii="宋体" w:hAnsi="宋体" w:cs="宋体"/>
          <w:color w:val="auto"/>
          <w:sz w:val="22"/>
          <w:szCs w:val="22"/>
          <w:highlight w:val="none"/>
          <w:lang w:val="zh-CN"/>
        </w:rPr>
        <w:t>相应资质条件且不得再次分包；</w:t>
      </w:r>
    </w:p>
    <w:p w14:paraId="0732C6AB">
      <w:pPr>
        <w:rPr>
          <w:rFonts w:ascii="宋体" w:hAnsi="宋体" w:cs="宋体"/>
          <w:color w:val="auto"/>
          <w:sz w:val="22"/>
          <w:szCs w:val="22"/>
          <w:highlight w:val="none"/>
        </w:rPr>
      </w:pPr>
      <w:r>
        <w:rPr>
          <w:rFonts w:hint="eastAsia" w:ascii="宋体" w:hAnsi="宋体" w:cs="宋体"/>
          <w:color w:val="auto"/>
          <w:sz w:val="22"/>
          <w:szCs w:val="22"/>
          <w:highlight w:val="none"/>
        </w:rPr>
        <w:t>……</w:t>
      </w:r>
    </w:p>
    <w:p w14:paraId="525B12D4">
      <w:pPr>
        <w:rPr>
          <w:rFonts w:ascii="宋体" w:hAnsi="宋体" w:cs="宋体"/>
          <w:color w:val="auto"/>
          <w:sz w:val="22"/>
          <w:szCs w:val="22"/>
          <w:highlight w:val="none"/>
        </w:rPr>
      </w:pPr>
      <w:r>
        <w:rPr>
          <w:rFonts w:hint="eastAsia" w:ascii="宋体" w:hAnsi="宋体" w:cs="宋体"/>
          <w:color w:val="auto"/>
          <w:sz w:val="22"/>
          <w:szCs w:val="22"/>
          <w:highlight w:val="none"/>
          <w:lang w:val="zh-CN"/>
        </w:rPr>
        <w:t xml:space="preserve"> </w:t>
      </w:r>
    </w:p>
    <w:p w14:paraId="0DBAE5DA">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二、分包供应商中小企业合同份额</w:t>
      </w:r>
    </w:p>
    <w:p w14:paraId="1D79345C">
      <w:pPr>
        <w:snapToGrid w:val="0"/>
        <w:spacing w:line="360" w:lineRule="auto"/>
        <w:ind w:firstLine="576"/>
        <w:rPr>
          <w:rFonts w:ascii="宋体" w:hAnsi="宋体" w:cs="宋体"/>
          <w:b/>
          <w:color w:val="auto"/>
          <w:sz w:val="22"/>
          <w:szCs w:val="22"/>
          <w:highlight w:val="none"/>
          <w:lang w:val="zh-CN"/>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（分包供应商X,……）提供的服务全部由小微企业承接，</w:t>
      </w:r>
      <w:r>
        <w:rPr>
          <w:rFonts w:hint="eastAsia" w:ascii="宋体" w:hAnsi="宋体" w:cs="宋体"/>
          <w:color w:val="auto"/>
          <w:sz w:val="22"/>
          <w:szCs w:val="22"/>
          <w:highlight w:val="none"/>
        </w:rPr>
        <w:t>其合同份额占到合同总金额</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%以上。</w:t>
      </w:r>
      <w:r>
        <w:rPr>
          <w:rFonts w:hint="eastAsia" w:ascii="宋体" w:hAnsi="宋体" w:cs="宋体"/>
          <w:b/>
          <w:color w:val="auto"/>
          <w:sz w:val="22"/>
          <w:szCs w:val="22"/>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2"/>
          <w:szCs w:val="22"/>
          <w:highlight w:val="none"/>
        </w:rPr>
        <w:t>拟享受以上价格扣除政策的，填写有关内容。</w:t>
      </w:r>
      <w:r>
        <w:rPr>
          <w:rFonts w:hint="eastAsia" w:ascii="宋体" w:hAnsi="宋体" w:cs="宋体"/>
          <w:b/>
          <w:color w:val="auto"/>
          <w:sz w:val="22"/>
          <w:szCs w:val="22"/>
          <w:highlight w:val="none"/>
          <w:lang w:val="zh-CN"/>
        </w:rPr>
        <w:t>）</w:t>
      </w:r>
    </w:p>
    <w:p w14:paraId="50EE8392">
      <w:pPr>
        <w:spacing w:line="360" w:lineRule="auto"/>
        <w:ind w:firstLine="440" w:firstLineChars="200"/>
        <w:rPr>
          <w:rFonts w:ascii="宋体" w:hAnsi="宋体" w:cs="宋体"/>
          <w:b/>
          <w:bCs/>
          <w:color w:val="auto"/>
          <w:sz w:val="22"/>
          <w:szCs w:val="22"/>
          <w:highlight w:val="none"/>
          <w:lang w:val="zh-CN"/>
        </w:rPr>
      </w:pPr>
      <w:r>
        <w:rPr>
          <w:rFonts w:hint="eastAsia" w:ascii="宋体" w:hAnsi="宋体" w:cs="宋体"/>
          <w:color w:val="auto"/>
          <w:sz w:val="22"/>
          <w:szCs w:val="22"/>
          <w:highlight w:val="none"/>
        </w:rPr>
        <w:t>2、中小企业合同金额达到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%，小微企业合同金额达到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w:t>
      </w:r>
      <w:r>
        <w:rPr>
          <w:rFonts w:hint="eastAsia" w:ascii="宋体" w:hAnsi="宋体" w:cs="宋体"/>
          <w:b/>
          <w:bCs/>
          <w:color w:val="auto"/>
          <w:sz w:val="22"/>
          <w:szCs w:val="22"/>
          <w:highlight w:val="none"/>
          <w:lang w:val="zh-CN"/>
        </w:rPr>
        <w:t>（</w:t>
      </w:r>
      <w:r>
        <w:rPr>
          <w:rFonts w:hint="eastAsia" w:ascii="宋体" w:hAnsi="宋体" w:cs="宋体"/>
          <w:b/>
          <w:bCs/>
          <w:color w:val="auto"/>
          <w:sz w:val="22"/>
          <w:szCs w:val="22"/>
          <w:highlight w:val="none"/>
        </w:rPr>
        <w:t>要求合同分包形式参加的项目或采购包，供应商按招标文件第一部分招标公告申请人的资格要求中规定的</w:t>
      </w:r>
      <w:r>
        <w:rPr>
          <w:rFonts w:hint="eastAsia" w:ascii="宋体" w:hAnsi="宋体" w:cs="宋体"/>
          <w:b/>
          <w:color w:val="auto"/>
          <w:sz w:val="22"/>
          <w:szCs w:val="22"/>
          <w:highlight w:val="none"/>
          <w:lang w:val="zh-CN"/>
        </w:rPr>
        <w:t>分包意向协议</w:t>
      </w:r>
      <w:r>
        <w:rPr>
          <w:rFonts w:hint="eastAsia" w:ascii="宋体" w:hAnsi="宋体" w:cs="宋体"/>
          <w:b/>
          <w:bCs/>
          <w:color w:val="auto"/>
          <w:sz w:val="22"/>
          <w:szCs w:val="22"/>
          <w:highlight w:val="none"/>
        </w:rPr>
        <w:t>中中小企业、小微企业合同金额应当达到的比例要求填写。</w:t>
      </w:r>
      <w:r>
        <w:rPr>
          <w:rFonts w:hint="eastAsia" w:ascii="宋体" w:hAnsi="宋体" w:cs="宋体"/>
          <w:b/>
          <w:bCs/>
          <w:color w:val="auto"/>
          <w:sz w:val="22"/>
          <w:szCs w:val="22"/>
          <w:highlight w:val="none"/>
          <w:lang w:val="zh-CN"/>
        </w:rPr>
        <w:t>）</w:t>
      </w:r>
    </w:p>
    <w:p w14:paraId="3281D9AD">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三、分包工作履行期限、地点、方式</w:t>
      </w:r>
    </w:p>
    <w:p w14:paraId="107766DD">
      <w:pPr>
        <w:snapToGrid w:val="0"/>
        <w:spacing w:line="360" w:lineRule="auto"/>
        <w:ind w:firstLine="576"/>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w:t>
      </w:r>
    </w:p>
    <w:p w14:paraId="0924B6EB">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四、质量</w:t>
      </w:r>
    </w:p>
    <w:p w14:paraId="5A8D6E73">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u w:val="single"/>
        </w:rPr>
        <w:t xml:space="preserve">                                                                                       </w:t>
      </w:r>
    </w:p>
    <w:p w14:paraId="69B6FF12">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五、价款或者报酬</w:t>
      </w:r>
    </w:p>
    <w:p w14:paraId="343E7B2A">
      <w:pPr>
        <w:snapToGrid w:val="0"/>
        <w:spacing w:line="360" w:lineRule="auto"/>
        <w:ind w:left="573" w:leftChars="273"/>
        <w:rPr>
          <w:rFonts w:ascii="宋体" w:hAnsi="宋体" w:cs="宋体"/>
          <w:color w:val="auto"/>
          <w:sz w:val="22"/>
          <w:szCs w:val="22"/>
          <w:highlight w:val="none"/>
          <w:lang w:val="zh-CN"/>
        </w:rPr>
      </w:pPr>
      <w:r>
        <w:rPr>
          <w:rFonts w:hint="eastAsia" w:ascii="宋体" w:hAnsi="宋体" w:cs="宋体"/>
          <w:color w:val="auto"/>
          <w:sz w:val="22"/>
          <w:szCs w:val="22"/>
          <w:highlight w:val="none"/>
          <w:u w:val="single"/>
        </w:rPr>
        <w:t xml:space="preserve">                                                                                     </w:t>
      </w:r>
    </w:p>
    <w:p w14:paraId="4F4F4416">
      <w:pPr>
        <w:snapToGrid w:val="0"/>
        <w:spacing w:line="360" w:lineRule="auto"/>
        <w:ind w:left="573" w:leftChars="273"/>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六、违约责任</w:t>
      </w:r>
    </w:p>
    <w:p w14:paraId="795D9606">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u w:val="single"/>
        </w:rPr>
        <w:t xml:space="preserve">                                                                                     </w:t>
      </w:r>
    </w:p>
    <w:p w14:paraId="68B8D25B">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七、争议解决的办法</w:t>
      </w:r>
    </w:p>
    <w:p w14:paraId="142E9ABE">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u w:val="single"/>
        </w:rPr>
        <w:t xml:space="preserve">                                                                                  </w:t>
      </w:r>
    </w:p>
    <w:p w14:paraId="7752F4F5">
      <w:pPr>
        <w:snapToGrid w:val="0"/>
        <w:spacing w:line="360" w:lineRule="auto"/>
        <w:ind w:firstLine="576"/>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八、其他</w:t>
      </w:r>
    </w:p>
    <w:p w14:paraId="2AF13D34">
      <w:pPr>
        <w:snapToGrid w:val="0"/>
        <w:spacing w:line="360" w:lineRule="auto"/>
        <w:ind w:left="5338" w:leftChars="342" w:hanging="4620" w:hangingChars="2100"/>
        <w:rPr>
          <w:rFonts w:ascii="宋体" w:hAnsi="宋体" w:cs="宋体"/>
          <w:color w:val="auto"/>
          <w:sz w:val="22"/>
          <w:szCs w:val="22"/>
          <w:highlight w:val="none"/>
          <w:lang w:val="zh-CN"/>
        </w:rPr>
      </w:pPr>
      <w:r>
        <w:rPr>
          <w:rFonts w:hint="eastAsia" w:ascii="宋体" w:hAnsi="宋体" w:cs="宋体"/>
          <w:color w:val="auto"/>
          <w:sz w:val="22"/>
          <w:szCs w:val="22"/>
          <w:highlight w:val="none"/>
        </w:rPr>
        <w:t>中小企业合同金额达到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%，小微企业合同金额达到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 xml:space="preserve">。 </w:t>
      </w:r>
    </w:p>
    <w:p w14:paraId="47691F0E">
      <w:pPr>
        <w:snapToGrid w:val="0"/>
        <w:spacing w:line="360" w:lineRule="auto"/>
        <w:ind w:left="5338" w:leftChars="342" w:hanging="4620" w:hangingChars="21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投标人名称(电子签名)：</w:t>
      </w:r>
    </w:p>
    <w:p w14:paraId="7212AA3A">
      <w:pPr>
        <w:snapToGrid w:val="0"/>
        <w:spacing w:line="360" w:lineRule="auto"/>
        <w:jc w:val="center"/>
        <w:rPr>
          <w:rFonts w:ascii="宋体" w:hAnsi="宋体" w:cs="宋体"/>
          <w:color w:val="auto"/>
          <w:sz w:val="22"/>
          <w:szCs w:val="22"/>
          <w:highlight w:val="none"/>
          <w:lang w:val="zh-CN"/>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zh-CN"/>
        </w:rPr>
        <w:t>分包供应商名称(电子签名/公章)：</w:t>
      </w:r>
    </w:p>
    <w:p w14:paraId="0CD456F5">
      <w:pPr>
        <w:snapToGrid w:val="0"/>
        <w:spacing w:line="360" w:lineRule="auto"/>
        <w:ind w:firstLine="5280" w:firstLineChars="2400"/>
        <w:rPr>
          <w:rFonts w:ascii="宋体" w:hAnsi="宋体" w:cs="宋体"/>
          <w:color w:val="auto"/>
          <w:sz w:val="22"/>
          <w:szCs w:val="22"/>
          <w:highlight w:val="none"/>
        </w:rPr>
      </w:pPr>
      <w:r>
        <w:rPr>
          <w:rFonts w:hint="eastAsia" w:ascii="宋体" w:hAnsi="宋体" w:cs="宋体"/>
          <w:color w:val="auto"/>
          <w:sz w:val="22"/>
          <w:szCs w:val="22"/>
          <w:highlight w:val="none"/>
          <w:lang w:val="zh-CN"/>
        </w:rPr>
        <w:t>……</w:t>
      </w:r>
    </w:p>
    <w:p w14:paraId="2FC9BDBF">
      <w:pPr>
        <w:snapToGrid w:val="0"/>
        <w:spacing w:line="360" w:lineRule="auto"/>
        <w:ind w:left="5338" w:leftChars="342" w:hanging="4620" w:hangingChars="21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日期：  年  月   日</w:t>
      </w:r>
    </w:p>
    <w:p w14:paraId="31AB8DB4">
      <w:pPr>
        <w:rPr>
          <w:color w:val="auto"/>
          <w:highlight w:val="none"/>
          <w:lang w:val="zh-CN"/>
        </w:rPr>
      </w:pPr>
      <w:r>
        <w:rPr>
          <w:rFonts w:hint="eastAsia" w:ascii="宋体" w:hAnsi="宋体" w:cs="宋体"/>
          <w:color w:val="auto"/>
          <w:sz w:val="22"/>
          <w:szCs w:val="22"/>
          <w:highlight w:val="none"/>
        </w:rPr>
        <w:t>注：按本格式和要求提供。</w:t>
      </w:r>
    </w:p>
    <w:p w14:paraId="3C239049">
      <w:pPr>
        <w:pStyle w:val="18"/>
        <w:rPr>
          <w:rFonts w:ascii="宋体" w:hAnsi="宋体"/>
          <w:color w:val="auto"/>
          <w:sz w:val="22"/>
          <w:szCs w:val="22"/>
          <w:highlight w:val="none"/>
        </w:rPr>
      </w:pPr>
    </w:p>
    <w:p w14:paraId="39D79433">
      <w:pPr>
        <w:pStyle w:val="93"/>
        <w:rPr>
          <w:rFonts w:hAnsi="宋体"/>
          <w:color w:val="auto"/>
          <w:sz w:val="22"/>
          <w:szCs w:val="22"/>
          <w:highlight w:val="none"/>
        </w:rPr>
      </w:pPr>
    </w:p>
    <w:p w14:paraId="7FB949A1">
      <w:pPr>
        <w:rPr>
          <w:rFonts w:ascii="宋体" w:hAnsi="宋体" w:cs="宋体"/>
          <w:b/>
          <w:color w:val="auto"/>
          <w:sz w:val="24"/>
          <w:highlight w:val="none"/>
        </w:rPr>
      </w:pPr>
      <w:r>
        <w:rPr>
          <w:rFonts w:hint="eastAsia" w:ascii="宋体" w:hAnsi="宋体" w:cs="宋体"/>
          <w:b/>
          <w:color w:val="auto"/>
          <w:sz w:val="24"/>
          <w:highlight w:val="none"/>
        </w:rPr>
        <w:br w:type="page"/>
      </w:r>
    </w:p>
    <w:p w14:paraId="08C3F8DA">
      <w:pPr>
        <w:pStyle w:val="3"/>
        <w:spacing w:line="240" w:lineRule="auto"/>
        <w:rPr>
          <w:rFonts w:ascii="宋体" w:hAnsi="宋体" w:eastAsia="宋体" w:cs="宋体"/>
          <w:color w:val="auto"/>
          <w:sz w:val="24"/>
          <w:szCs w:val="24"/>
          <w:highlight w:val="none"/>
        </w:rPr>
      </w:pPr>
      <w:bookmarkStart w:id="76" w:name="_Toc218392091"/>
      <w:bookmarkStart w:id="77" w:name="_Toc230773787"/>
      <w:bookmarkStart w:id="78" w:name="_Toc184281694"/>
      <w:bookmarkStart w:id="79" w:name="_Toc31127"/>
      <w:bookmarkStart w:id="80" w:name="_Toc184281693"/>
      <w:r>
        <w:rPr>
          <w:rFonts w:hint="eastAsia" w:ascii="宋体" w:hAnsi="宋体" w:eastAsia="宋体" w:cs="宋体"/>
          <w:color w:val="auto"/>
          <w:sz w:val="24"/>
          <w:szCs w:val="24"/>
          <w:highlight w:val="none"/>
        </w:rPr>
        <w:t>附件</w:t>
      </w:r>
      <w:bookmarkEnd w:id="76"/>
      <w:bookmarkEnd w:id="77"/>
      <w:bookmarkEnd w:id="78"/>
      <w:r>
        <w:rPr>
          <w:rFonts w:hint="eastAsia" w:ascii="宋体" w:hAnsi="宋体" w:eastAsia="宋体" w:cs="宋体"/>
          <w:color w:val="auto"/>
          <w:sz w:val="24"/>
          <w:szCs w:val="24"/>
          <w:highlight w:val="none"/>
        </w:rPr>
        <w:t>五 商务条款、技术规格偏离表</w:t>
      </w:r>
      <w:bookmarkEnd w:id="79"/>
    </w:p>
    <w:p w14:paraId="376523F9">
      <w:pPr>
        <w:spacing w:line="440" w:lineRule="exact"/>
        <w:ind w:firstLine="437"/>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商务条款、技术规格偏离表</w:t>
      </w:r>
    </w:p>
    <w:p w14:paraId="6D2818AF">
      <w:pPr>
        <w:spacing w:line="56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62"/>
        <w:gridCol w:w="2095"/>
        <w:gridCol w:w="1991"/>
        <w:gridCol w:w="1866"/>
        <w:gridCol w:w="1592"/>
      </w:tblGrid>
      <w:tr w14:paraId="2A8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8" w:type="pct"/>
            <w:tcBorders>
              <w:top w:val="single" w:color="auto" w:sz="4" w:space="0"/>
              <w:left w:val="single" w:color="auto" w:sz="4" w:space="0"/>
              <w:bottom w:val="single" w:color="auto" w:sz="4" w:space="0"/>
              <w:right w:val="single" w:color="auto" w:sz="4" w:space="0"/>
            </w:tcBorders>
            <w:shd w:val="clear" w:color="auto" w:fill="B3B3B3"/>
          </w:tcPr>
          <w:p w14:paraId="57E962CC">
            <w:pPr>
              <w:spacing w:line="380" w:lineRule="exact"/>
              <w:jc w:val="center"/>
              <w:rPr>
                <w:rFonts w:ascii="宋体" w:hAnsi="宋体" w:cs="宋体"/>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shd w:val="clear" w:color="auto" w:fill="B3B3B3"/>
            <w:vAlign w:val="center"/>
          </w:tcPr>
          <w:p w14:paraId="5A26E417">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序号</w:t>
            </w:r>
          </w:p>
        </w:tc>
        <w:tc>
          <w:tcPr>
            <w:tcW w:w="1063" w:type="pct"/>
            <w:tcBorders>
              <w:top w:val="single" w:color="auto" w:sz="4" w:space="0"/>
              <w:left w:val="single" w:color="auto" w:sz="4" w:space="0"/>
              <w:bottom w:val="single" w:color="auto" w:sz="4" w:space="0"/>
              <w:right w:val="single" w:color="auto" w:sz="4" w:space="0"/>
            </w:tcBorders>
            <w:shd w:val="clear" w:color="auto" w:fill="B3B3B3"/>
            <w:vAlign w:val="center"/>
          </w:tcPr>
          <w:p w14:paraId="6799DB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24FFE68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条目号</w:t>
            </w:r>
          </w:p>
        </w:tc>
        <w:tc>
          <w:tcPr>
            <w:tcW w:w="1010" w:type="pct"/>
            <w:tcBorders>
              <w:top w:val="single" w:color="auto" w:sz="4" w:space="0"/>
              <w:left w:val="single" w:color="auto" w:sz="4" w:space="0"/>
              <w:bottom w:val="single" w:color="auto" w:sz="4" w:space="0"/>
              <w:right w:val="single" w:color="auto" w:sz="4" w:space="0"/>
            </w:tcBorders>
            <w:shd w:val="clear" w:color="auto" w:fill="B3B3B3"/>
            <w:vAlign w:val="center"/>
          </w:tcPr>
          <w:p w14:paraId="47BEFBD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7E2AE66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规范要求</w:t>
            </w:r>
          </w:p>
        </w:tc>
        <w:tc>
          <w:tcPr>
            <w:tcW w:w="947" w:type="pct"/>
            <w:tcBorders>
              <w:top w:val="single" w:color="auto" w:sz="4" w:space="0"/>
              <w:left w:val="single" w:color="auto" w:sz="4" w:space="0"/>
              <w:bottom w:val="single" w:color="auto" w:sz="4" w:space="0"/>
              <w:right w:val="single" w:color="auto" w:sz="4" w:space="0"/>
            </w:tcBorders>
            <w:shd w:val="clear" w:color="auto" w:fill="B3B3B3"/>
            <w:vAlign w:val="center"/>
          </w:tcPr>
          <w:p w14:paraId="059CCB6A">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投标文件</w:t>
            </w:r>
          </w:p>
          <w:p w14:paraId="7CF98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对应规范</w:t>
            </w:r>
          </w:p>
        </w:tc>
        <w:tc>
          <w:tcPr>
            <w:tcW w:w="808" w:type="pct"/>
            <w:tcBorders>
              <w:top w:val="single" w:color="auto" w:sz="4" w:space="0"/>
              <w:left w:val="single" w:color="auto" w:sz="4" w:space="0"/>
              <w:bottom w:val="single" w:color="auto" w:sz="4" w:space="0"/>
              <w:right w:val="single" w:color="auto" w:sz="4" w:space="0"/>
            </w:tcBorders>
            <w:shd w:val="clear" w:color="auto" w:fill="B3B3B3"/>
            <w:vAlign w:val="center"/>
          </w:tcPr>
          <w:p w14:paraId="6ADF13EB">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说明</w:t>
            </w:r>
          </w:p>
        </w:tc>
      </w:tr>
      <w:tr w14:paraId="354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13350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商</w:t>
            </w:r>
          </w:p>
          <w:p w14:paraId="0DF94DB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务</w:t>
            </w:r>
          </w:p>
          <w:p w14:paraId="2526990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w:t>
            </w:r>
          </w:p>
          <w:p w14:paraId="36A18D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款</w:t>
            </w:r>
          </w:p>
        </w:tc>
        <w:tc>
          <w:tcPr>
            <w:tcW w:w="691" w:type="pct"/>
            <w:tcBorders>
              <w:top w:val="single" w:color="auto" w:sz="4" w:space="0"/>
              <w:left w:val="single" w:color="auto" w:sz="4" w:space="0"/>
              <w:bottom w:val="single" w:color="auto" w:sz="4" w:space="0"/>
              <w:right w:val="single" w:color="auto" w:sz="4" w:space="0"/>
            </w:tcBorders>
            <w:vAlign w:val="center"/>
          </w:tcPr>
          <w:p w14:paraId="6C5B78A2">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97EFFD">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58391A2">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A44E4D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5CAED2E">
            <w:pPr>
              <w:spacing w:line="380" w:lineRule="exact"/>
              <w:jc w:val="center"/>
              <w:rPr>
                <w:rFonts w:ascii="宋体" w:hAnsi="宋体" w:cs="宋体"/>
                <w:color w:val="auto"/>
                <w:sz w:val="22"/>
                <w:highlight w:val="none"/>
              </w:rPr>
            </w:pPr>
          </w:p>
        </w:tc>
      </w:tr>
      <w:tr w14:paraId="0C88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68A9444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128B6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5FD300">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0563204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1E81C24">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129359E">
            <w:pPr>
              <w:spacing w:line="380" w:lineRule="exact"/>
              <w:jc w:val="center"/>
              <w:rPr>
                <w:rFonts w:ascii="宋体" w:hAnsi="宋体" w:cs="宋体"/>
                <w:color w:val="auto"/>
                <w:sz w:val="22"/>
                <w:highlight w:val="none"/>
              </w:rPr>
            </w:pPr>
          </w:p>
        </w:tc>
      </w:tr>
      <w:tr w14:paraId="665D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28F91D2">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25C7B7C5">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DEFAAE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662E5D2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55D5A77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04CB59FA">
            <w:pPr>
              <w:spacing w:line="380" w:lineRule="exact"/>
              <w:jc w:val="center"/>
              <w:rPr>
                <w:rFonts w:ascii="宋体" w:hAnsi="宋体" w:cs="宋体"/>
                <w:color w:val="auto"/>
                <w:sz w:val="22"/>
                <w:highlight w:val="none"/>
              </w:rPr>
            </w:pPr>
          </w:p>
        </w:tc>
      </w:tr>
      <w:tr w14:paraId="1561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3898B28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1EF0A038">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5484386">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80942E4">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6D6F54B">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509D9CFA">
            <w:pPr>
              <w:spacing w:line="380" w:lineRule="exact"/>
              <w:jc w:val="center"/>
              <w:rPr>
                <w:rFonts w:ascii="宋体" w:hAnsi="宋体" w:cs="宋体"/>
                <w:color w:val="auto"/>
                <w:sz w:val="22"/>
                <w:highlight w:val="none"/>
              </w:rPr>
            </w:pPr>
          </w:p>
        </w:tc>
      </w:tr>
      <w:tr w14:paraId="4C4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2919868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10DC9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44FA068">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CF8561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395AB836">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4AE6833C">
            <w:pPr>
              <w:spacing w:line="380" w:lineRule="exact"/>
              <w:jc w:val="center"/>
              <w:rPr>
                <w:rFonts w:ascii="宋体" w:hAnsi="宋体" w:cs="宋体"/>
                <w:color w:val="auto"/>
                <w:sz w:val="22"/>
                <w:highlight w:val="none"/>
              </w:rPr>
            </w:pPr>
          </w:p>
        </w:tc>
      </w:tr>
      <w:tr w14:paraId="17F5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2D9F4A6E">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技</w:t>
            </w:r>
          </w:p>
          <w:p w14:paraId="0B3D2B48">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术</w:t>
            </w:r>
          </w:p>
          <w:p w14:paraId="5418AF36">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w:t>
            </w:r>
          </w:p>
          <w:p w14:paraId="72D20F71">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格</w:t>
            </w:r>
          </w:p>
        </w:tc>
        <w:tc>
          <w:tcPr>
            <w:tcW w:w="691" w:type="pct"/>
            <w:tcBorders>
              <w:top w:val="single" w:color="auto" w:sz="4" w:space="0"/>
              <w:left w:val="single" w:color="auto" w:sz="4" w:space="0"/>
              <w:bottom w:val="single" w:color="auto" w:sz="4" w:space="0"/>
              <w:right w:val="single" w:color="auto" w:sz="4" w:space="0"/>
            </w:tcBorders>
            <w:vAlign w:val="center"/>
          </w:tcPr>
          <w:p w14:paraId="620F6C69">
            <w:pPr>
              <w:spacing w:line="380" w:lineRule="exact"/>
              <w:jc w:val="center"/>
              <w:rPr>
                <w:rFonts w:ascii="宋体" w:hAnsi="宋体" w:cs="宋体"/>
                <w:color w:val="auto"/>
                <w:sz w:val="22"/>
                <w:highlight w:val="none"/>
              </w:rPr>
            </w:pPr>
          </w:p>
          <w:p w14:paraId="6024367E">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F54D79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45E06C9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2F6FC78C">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E14D6ED">
            <w:pPr>
              <w:spacing w:line="380" w:lineRule="exact"/>
              <w:jc w:val="center"/>
              <w:rPr>
                <w:rFonts w:ascii="宋体" w:hAnsi="宋体" w:cs="宋体"/>
                <w:color w:val="auto"/>
                <w:sz w:val="22"/>
                <w:highlight w:val="none"/>
              </w:rPr>
            </w:pPr>
          </w:p>
        </w:tc>
      </w:tr>
      <w:tr w14:paraId="34A5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FFB3287">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FD1F0DB">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22F0FFC">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A0E53BF">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362C982">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A9B2495">
            <w:pPr>
              <w:spacing w:line="380" w:lineRule="exact"/>
              <w:jc w:val="center"/>
              <w:rPr>
                <w:rFonts w:ascii="宋体" w:hAnsi="宋体" w:cs="宋体"/>
                <w:color w:val="auto"/>
                <w:sz w:val="22"/>
                <w:highlight w:val="none"/>
              </w:rPr>
            </w:pPr>
          </w:p>
        </w:tc>
      </w:tr>
      <w:tr w14:paraId="2A87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7D07070">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2B22A11">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B1A6BAA">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E5EA87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50A7DB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952B7B4">
            <w:pPr>
              <w:spacing w:line="380" w:lineRule="exact"/>
              <w:jc w:val="center"/>
              <w:rPr>
                <w:rFonts w:ascii="宋体" w:hAnsi="宋体" w:cs="宋体"/>
                <w:color w:val="auto"/>
                <w:sz w:val="22"/>
                <w:highlight w:val="none"/>
              </w:rPr>
            </w:pPr>
          </w:p>
        </w:tc>
      </w:tr>
      <w:tr w14:paraId="2DB3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511237D">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323C134C">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59A56CE">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215C99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6CFDA75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2F5DED57">
            <w:pPr>
              <w:spacing w:line="380" w:lineRule="exact"/>
              <w:jc w:val="center"/>
              <w:rPr>
                <w:rFonts w:ascii="宋体" w:hAnsi="宋体" w:cs="宋体"/>
                <w:color w:val="auto"/>
                <w:sz w:val="22"/>
                <w:highlight w:val="none"/>
              </w:rPr>
            </w:pPr>
          </w:p>
        </w:tc>
      </w:tr>
      <w:tr w14:paraId="558C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51138F9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3159344">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8C9C921">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6DD4AB3">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BFB0D30">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5CE6469">
            <w:pPr>
              <w:spacing w:line="380" w:lineRule="exact"/>
              <w:jc w:val="center"/>
              <w:rPr>
                <w:rFonts w:ascii="宋体" w:hAnsi="宋体" w:cs="宋体"/>
                <w:color w:val="auto"/>
                <w:sz w:val="22"/>
                <w:highlight w:val="none"/>
              </w:rPr>
            </w:pPr>
          </w:p>
        </w:tc>
      </w:tr>
    </w:tbl>
    <w:p w14:paraId="5CD3DB83">
      <w:pPr>
        <w:pStyle w:val="26"/>
        <w:spacing w:line="440" w:lineRule="exact"/>
        <w:ind w:left="537" w:hanging="537" w:hangingChars="243"/>
        <w:rPr>
          <w:rFonts w:hAnsi="宋体" w:cs="宋体"/>
          <w:b/>
          <w:color w:val="auto"/>
          <w:sz w:val="22"/>
          <w:szCs w:val="22"/>
          <w:highlight w:val="none"/>
        </w:rPr>
      </w:pPr>
      <w:r>
        <w:rPr>
          <w:rFonts w:hint="eastAsia" w:hAnsi="宋体" w:cs="宋体"/>
          <w:b/>
          <w:color w:val="auto"/>
          <w:sz w:val="22"/>
          <w:szCs w:val="22"/>
          <w:highlight w:val="none"/>
        </w:rPr>
        <w:t>注： 如有偏离，必须在偏离表中进行详细对比说明并注明正偏离和负偏离，如不说明偏离情况，视为完全响应招标文件要求无偏离。</w:t>
      </w:r>
    </w:p>
    <w:p w14:paraId="3FF9E6F2">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A196582">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D71AABB">
      <w:pPr>
        <w:pStyle w:val="18"/>
        <w:rPr>
          <w:color w:val="auto"/>
          <w:highlight w:val="none"/>
        </w:rPr>
      </w:pPr>
    </w:p>
    <w:p w14:paraId="3902B686">
      <w:pPr>
        <w:pStyle w:val="3"/>
        <w:spacing w:line="240" w:lineRule="auto"/>
        <w:rPr>
          <w:rFonts w:ascii="宋体" w:hAnsi="宋体" w:eastAsia="宋体" w:cs="宋体"/>
          <w:color w:val="auto"/>
          <w:sz w:val="24"/>
          <w:szCs w:val="24"/>
          <w:highlight w:val="none"/>
        </w:rPr>
      </w:pPr>
      <w:bookmarkStart w:id="81" w:name="_Toc18790"/>
      <w:bookmarkStart w:id="82" w:name="_Toc28018"/>
      <w:bookmarkStart w:id="83" w:name="_Toc18115"/>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 xml:space="preserve"> 廉政承诺书</w:t>
      </w:r>
      <w:bookmarkEnd w:id="81"/>
      <w:bookmarkEnd w:id="82"/>
    </w:p>
    <w:p w14:paraId="2D1088FD">
      <w:pPr>
        <w:spacing w:line="460" w:lineRule="exact"/>
        <w:jc w:val="center"/>
        <w:outlineLvl w:val="9"/>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廉政承诺书</w:t>
      </w:r>
    </w:p>
    <w:p w14:paraId="4F4F7920">
      <w:pPr>
        <w:tabs>
          <w:tab w:val="left" w:pos="360"/>
        </w:tabs>
        <w:spacing w:line="46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温州市第七人民医院</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温州正风招标代理有限公司</w:t>
      </w:r>
      <w:r>
        <w:rPr>
          <w:rFonts w:hint="eastAsia" w:ascii="新宋体" w:hAnsi="新宋体" w:eastAsia="新宋体" w:cs="新宋体"/>
          <w:color w:val="auto"/>
          <w:sz w:val="22"/>
          <w:highlight w:val="none"/>
        </w:rPr>
        <w:t>：</w:t>
      </w:r>
    </w:p>
    <w:p w14:paraId="44AE6A23">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为加强采购活动中的廉政建设，防止发生违法违纪行为，体现公开、公平、公正的原则，根据国家有关法律、法规和廉政建设责任制的规定，本投标人特作如下承诺：</w:t>
      </w:r>
    </w:p>
    <w:p w14:paraId="3401C076">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一、不与</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招标代理机构</w:t>
      </w:r>
      <w:r>
        <w:rPr>
          <w:rFonts w:hint="eastAsia" w:ascii="新宋体" w:hAnsi="新宋体" w:eastAsia="新宋体" w:cs="新宋体"/>
          <w:color w:val="auto"/>
          <w:sz w:val="22"/>
          <w:highlight w:val="none"/>
        </w:rPr>
        <w:t>及其他投标人私下串通协商，进行围标、串标、抬标、控制投标价格。</w:t>
      </w:r>
    </w:p>
    <w:p w14:paraId="32FAABDF">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二、不向</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招标代理机构</w:t>
      </w:r>
      <w:r>
        <w:rPr>
          <w:rFonts w:hint="eastAsia" w:ascii="新宋体" w:hAnsi="新宋体" w:eastAsia="新宋体" w:cs="新宋体"/>
          <w:color w:val="auto"/>
          <w:sz w:val="22"/>
          <w:highlight w:val="none"/>
        </w:rPr>
        <w:t>、评标专家行贿，以不正当手段谋取中标。</w:t>
      </w:r>
    </w:p>
    <w:p w14:paraId="105D32AE">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三、不向监管人员请客、送礼及组织其他有可能影响客观公正监管的活动。</w:t>
      </w:r>
    </w:p>
    <w:p w14:paraId="30523B12">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四、自觉遵守开标、评标现场工作纪律，不私下接触评标专家，不干扰正常的开标评标秩序。</w:t>
      </w:r>
    </w:p>
    <w:p w14:paraId="1271083F">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五、不给责任人的违法违规行为说情、解脱。</w:t>
      </w:r>
    </w:p>
    <w:p w14:paraId="43ADF627">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违反上述承诺，你方有权立即取消我单位投标、中标或在建项目的履约资格，有权拒绝我单位在一定时期内进入你方进行政府采购或其他经营活动，并通报监督管理部门、纪检监察部门或司法机关调查处理。由此引起的相应损失均由我单位承担。</w:t>
      </w:r>
    </w:p>
    <w:p w14:paraId="457B1BCF">
      <w:pPr>
        <w:tabs>
          <w:tab w:val="left" w:pos="360"/>
        </w:tabs>
        <w:spacing w:line="460" w:lineRule="exact"/>
        <w:rPr>
          <w:rFonts w:hint="eastAsia" w:ascii="新宋体" w:hAnsi="新宋体" w:eastAsia="新宋体" w:cs="新宋体"/>
          <w:color w:val="auto"/>
          <w:sz w:val="22"/>
          <w:highlight w:val="none"/>
        </w:rPr>
      </w:pPr>
    </w:p>
    <w:p w14:paraId="1EAE01BD">
      <w:pPr>
        <w:widowControl/>
        <w:snapToGrid w:val="0"/>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特此承诺！</w:t>
      </w:r>
    </w:p>
    <w:p w14:paraId="420ECBD8">
      <w:pPr>
        <w:keepNext w:val="0"/>
        <w:keepLines w:val="0"/>
        <w:pageBreakBefore w:val="0"/>
        <w:widowControl/>
        <w:kinsoku/>
        <w:wordWrap/>
        <w:overflowPunct/>
        <w:topLinePunct w:val="0"/>
        <w:autoSpaceDE/>
        <w:autoSpaceDN/>
        <w:bidi w:val="0"/>
        <w:adjustRightInd/>
        <w:snapToGrid w:val="0"/>
        <w:spacing w:line="460" w:lineRule="exact"/>
        <w:ind w:firstLine="440" w:firstLineChars="200"/>
        <w:jc w:val="left"/>
        <w:textAlignment w:val="auto"/>
        <w:rPr>
          <w:rFonts w:hint="eastAsia" w:ascii="新宋体" w:hAnsi="新宋体" w:eastAsia="新宋体" w:cs="新宋体"/>
          <w:color w:val="auto"/>
          <w:kern w:val="0"/>
          <w:sz w:val="22"/>
          <w:szCs w:val="22"/>
          <w:highlight w:val="none"/>
        </w:rPr>
      </w:pPr>
    </w:p>
    <w:p w14:paraId="36423C7E">
      <w:pPr>
        <w:pStyle w:val="26"/>
        <w:spacing w:line="440" w:lineRule="exact"/>
        <w:ind w:left="537" w:hanging="537" w:hangingChars="243"/>
        <w:rPr>
          <w:rFonts w:hAnsi="宋体" w:cs="宋体"/>
          <w:b/>
          <w:color w:val="auto"/>
          <w:sz w:val="22"/>
          <w:szCs w:val="22"/>
          <w:highlight w:val="none"/>
        </w:rPr>
      </w:pPr>
    </w:p>
    <w:p w14:paraId="3A805FF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5F196D8F">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64C1B2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83"/>
    <w:p w14:paraId="2F23888B">
      <w:pPr>
        <w:pStyle w:val="3"/>
        <w:spacing w:line="400" w:lineRule="exact"/>
        <w:rPr>
          <w:rFonts w:hint="eastAsia" w:ascii="宋体" w:hAnsi="宋体" w:eastAsia="宋体" w:cs="宋体"/>
          <w:color w:val="auto"/>
          <w:sz w:val="24"/>
          <w:szCs w:val="24"/>
          <w:highlight w:val="none"/>
        </w:rPr>
      </w:pPr>
      <w:bookmarkStart w:id="84" w:name="_Toc9343381"/>
      <w:bookmarkStart w:id="85" w:name="_Toc95395559"/>
      <w:bookmarkStart w:id="86" w:name="_Toc89461795"/>
      <w:bookmarkStart w:id="87" w:name="_Toc102298773"/>
      <w:bookmarkStart w:id="88" w:name="_Toc21057"/>
      <w:bookmarkStart w:id="89" w:name="_Toc30457"/>
      <w:bookmarkStart w:id="90" w:name="_Toc363487552"/>
      <w:bookmarkStart w:id="91" w:name="_Toc460707936"/>
      <w:bookmarkStart w:id="92" w:name="_Toc405195141"/>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 xml:space="preserve"> </w:t>
      </w:r>
      <w:bookmarkEnd w:id="84"/>
      <w:bookmarkEnd w:id="85"/>
      <w:bookmarkEnd w:id="86"/>
      <w:bookmarkEnd w:id="87"/>
      <w:bookmarkStart w:id="93" w:name="_Toc9343383"/>
      <w:r>
        <w:rPr>
          <w:rFonts w:hint="eastAsia" w:ascii="宋体" w:hAnsi="宋体" w:eastAsia="宋体" w:cs="宋体"/>
          <w:color w:val="auto"/>
          <w:sz w:val="24"/>
          <w:szCs w:val="24"/>
          <w:highlight w:val="none"/>
        </w:rPr>
        <w:t>投入主要人员情况表</w:t>
      </w:r>
      <w:bookmarkEnd w:id="88"/>
      <w:bookmarkEnd w:id="89"/>
    </w:p>
    <w:p w14:paraId="4F3818E7">
      <w:pPr>
        <w:autoSpaceDE w:val="0"/>
        <w:autoSpaceDN w:val="0"/>
        <w:adjustRightInd w:val="0"/>
        <w:spacing w:line="400" w:lineRule="exact"/>
        <w:jc w:val="center"/>
        <w:rPr>
          <w:rFonts w:hint="eastAsia" w:ascii="宋体" w:hAnsi="宋体" w:cs="宋体"/>
          <w:color w:val="auto"/>
          <w:sz w:val="24"/>
          <w:highlight w:val="none"/>
          <w:lang w:val="zh-CN"/>
        </w:rPr>
      </w:pPr>
      <w:r>
        <w:rPr>
          <w:rFonts w:hint="eastAsia" w:ascii="宋体" w:hAnsi="宋体"/>
          <w:b/>
          <w:color w:val="auto"/>
          <w:sz w:val="28"/>
          <w:highlight w:val="none"/>
        </w:rPr>
        <w:t>（1）项目主要负责人情况表</w:t>
      </w:r>
    </w:p>
    <w:p w14:paraId="04D41C72">
      <w:pPr>
        <w:pStyle w:val="18"/>
        <w:spacing w:line="400" w:lineRule="exact"/>
        <w:rPr>
          <w:rFonts w:hint="eastAsia" w:ascii="宋体" w:hAnsi="宋体" w:cs="宋体"/>
          <w:color w:val="auto"/>
          <w:highlight w:val="none"/>
          <w:lang w:val="zh-CN"/>
        </w:rPr>
      </w:pPr>
    </w:p>
    <w:p w14:paraId="45E395DB">
      <w:pPr>
        <w:tabs>
          <w:tab w:val="left" w:pos="1620"/>
        </w:tabs>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项目名称：                                          项目编号： </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833"/>
        <w:gridCol w:w="1333"/>
        <w:gridCol w:w="1906"/>
        <w:gridCol w:w="1323"/>
        <w:gridCol w:w="2093"/>
      </w:tblGrid>
      <w:tr w14:paraId="3F4E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65" w:type="dxa"/>
            <w:noWrap w:val="0"/>
            <w:vAlign w:val="center"/>
          </w:tcPr>
          <w:p w14:paraId="7EA95C2D">
            <w:pPr>
              <w:tabs>
                <w:tab w:val="left" w:pos="1620"/>
              </w:tabs>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姓  名</w:t>
            </w:r>
          </w:p>
        </w:tc>
        <w:tc>
          <w:tcPr>
            <w:tcW w:w="1833" w:type="dxa"/>
            <w:noWrap w:val="0"/>
            <w:vAlign w:val="center"/>
          </w:tcPr>
          <w:p w14:paraId="778A74DD">
            <w:pPr>
              <w:tabs>
                <w:tab w:val="left" w:pos="1620"/>
              </w:tabs>
              <w:spacing w:line="400" w:lineRule="exact"/>
              <w:jc w:val="center"/>
              <w:rPr>
                <w:rFonts w:hint="eastAsia" w:ascii="宋体" w:hAnsi="宋体" w:cs="宋体"/>
                <w:color w:val="auto"/>
                <w:sz w:val="22"/>
                <w:szCs w:val="22"/>
                <w:highlight w:val="none"/>
              </w:rPr>
            </w:pPr>
          </w:p>
        </w:tc>
        <w:tc>
          <w:tcPr>
            <w:tcW w:w="1333" w:type="dxa"/>
            <w:noWrap w:val="0"/>
            <w:vAlign w:val="center"/>
          </w:tcPr>
          <w:p w14:paraId="3753B53C">
            <w:pPr>
              <w:tabs>
                <w:tab w:val="left" w:pos="1620"/>
              </w:tabs>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性  别</w:t>
            </w:r>
          </w:p>
        </w:tc>
        <w:tc>
          <w:tcPr>
            <w:tcW w:w="1906" w:type="dxa"/>
            <w:noWrap w:val="0"/>
            <w:vAlign w:val="center"/>
          </w:tcPr>
          <w:p w14:paraId="41EEF7F6">
            <w:pPr>
              <w:tabs>
                <w:tab w:val="left" w:pos="1620"/>
              </w:tabs>
              <w:spacing w:line="400" w:lineRule="exact"/>
              <w:jc w:val="center"/>
              <w:rPr>
                <w:rFonts w:hint="eastAsia" w:ascii="宋体" w:hAnsi="宋体" w:cs="宋体"/>
                <w:color w:val="auto"/>
                <w:sz w:val="22"/>
                <w:szCs w:val="22"/>
                <w:highlight w:val="none"/>
              </w:rPr>
            </w:pPr>
          </w:p>
        </w:tc>
        <w:tc>
          <w:tcPr>
            <w:tcW w:w="1323" w:type="dxa"/>
            <w:noWrap w:val="0"/>
            <w:vAlign w:val="center"/>
          </w:tcPr>
          <w:p w14:paraId="6FE5D4F2">
            <w:pPr>
              <w:tabs>
                <w:tab w:val="left" w:pos="1620"/>
              </w:tabs>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年 龄</w:t>
            </w:r>
          </w:p>
        </w:tc>
        <w:tc>
          <w:tcPr>
            <w:tcW w:w="2093" w:type="dxa"/>
            <w:noWrap w:val="0"/>
            <w:vAlign w:val="center"/>
          </w:tcPr>
          <w:p w14:paraId="2E7ED0C9">
            <w:pPr>
              <w:tabs>
                <w:tab w:val="left" w:pos="1620"/>
              </w:tabs>
              <w:spacing w:line="400" w:lineRule="exact"/>
              <w:jc w:val="center"/>
              <w:rPr>
                <w:rFonts w:hint="eastAsia" w:ascii="宋体" w:hAnsi="宋体" w:cs="宋体"/>
                <w:color w:val="auto"/>
                <w:sz w:val="22"/>
                <w:szCs w:val="22"/>
                <w:highlight w:val="none"/>
              </w:rPr>
            </w:pPr>
          </w:p>
        </w:tc>
      </w:tr>
      <w:tr w14:paraId="4BFB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65" w:type="dxa"/>
            <w:noWrap w:val="0"/>
            <w:vAlign w:val="center"/>
          </w:tcPr>
          <w:p w14:paraId="0C7FC2BA">
            <w:pPr>
              <w:tabs>
                <w:tab w:val="left" w:pos="1620"/>
              </w:tabs>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学 历</w:t>
            </w:r>
          </w:p>
        </w:tc>
        <w:tc>
          <w:tcPr>
            <w:tcW w:w="1833" w:type="dxa"/>
            <w:noWrap w:val="0"/>
            <w:vAlign w:val="center"/>
          </w:tcPr>
          <w:p w14:paraId="2365BB1A">
            <w:pPr>
              <w:tabs>
                <w:tab w:val="left" w:pos="1620"/>
              </w:tabs>
              <w:spacing w:line="400" w:lineRule="exact"/>
              <w:jc w:val="center"/>
              <w:rPr>
                <w:rFonts w:hint="eastAsia" w:ascii="宋体" w:hAnsi="宋体" w:cs="宋体"/>
                <w:color w:val="auto"/>
                <w:sz w:val="22"/>
                <w:szCs w:val="22"/>
                <w:highlight w:val="none"/>
              </w:rPr>
            </w:pPr>
          </w:p>
        </w:tc>
        <w:tc>
          <w:tcPr>
            <w:tcW w:w="1333" w:type="dxa"/>
            <w:noWrap w:val="0"/>
            <w:vAlign w:val="center"/>
          </w:tcPr>
          <w:p w14:paraId="0AB8FC9E">
            <w:pPr>
              <w:tabs>
                <w:tab w:val="left" w:pos="1620"/>
              </w:tabs>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专业</w:t>
            </w:r>
          </w:p>
        </w:tc>
        <w:tc>
          <w:tcPr>
            <w:tcW w:w="1906" w:type="dxa"/>
            <w:noWrap w:val="0"/>
            <w:vAlign w:val="center"/>
          </w:tcPr>
          <w:p w14:paraId="42E1ACF1">
            <w:pPr>
              <w:tabs>
                <w:tab w:val="left" w:pos="1620"/>
              </w:tabs>
              <w:spacing w:line="400" w:lineRule="exact"/>
              <w:jc w:val="center"/>
              <w:rPr>
                <w:rFonts w:hint="eastAsia" w:ascii="宋体" w:hAnsi="宋体" w:cs="宋体"/>
                <w:color w:val="auto"/>
                <w:sz w:val="22"/>
                <w:szCs w:val="22"/>
                <w:highlight w:val="none"/>
              </w:rPr>
            </w:pPr>
          </w:p>
        </w:tc>
        <w:tc>
          <w:tcPr>
            <w:tcW w:w="1323" w:type="dxa"/>
            <w:noWrap w:val="0"/>
            <w:vAlign w:val="center"/>
          </w:tcPr>
          <w:p w14:paraId="324526C0">
            <w:pPr>
              <w:tabs>
                <w:tab w:val="left" w:pos="1620"/>
              </w:tabs>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职称/资格</w:t>
            </w:r>
          </w:p>
        </w:tc>
        <w:tc>
          <w:tcPr>
            <w:tcW w:w="2093" w:type="dxa"/>
            <w:noWrap w:val="0"/>
            <w:vAlign w:val="center"/>
          </w:tcPr>
          <w:p w14:paraId="05C83D8D">
            <w:pPr>
              <w:tabs>
                <w:tab w:val="left" w:pos="1620"/>
              </w:tabs>
              <w:spacing w:line="400" w:lineRule="exact"/>
              <w:jc w:val="center"/>
              <w:rPr>
                <w:rFonts w:hint="eastAsia" w:ascii="宋体" w:hAnsi="宋体" w:cs="宋体"/>
                <w:color w:val="auto"/>
                <w:sz w:val="22"/>
                <w:szCs w:val="22"/>
                <w:highlight w:val="none"/>
              </w:rPr>
            </w:pPr>
          </w:p>
        </w:tc>
      </w:tr>
      <w:tr w14:paraId="392A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65" w:type="dxa"/>
            <w:noWrap w:val="0"/>
            <w:vAlign w:val="center"/>
          </w:tcPr>
          <w:p w14:paraId="7315B6B4">
            <w:pPr>
              <w:tabs>
                <w:tab w:val="left" w:pos="1620"/>
              </w:tabs>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曾获荣誉</w:t>
            </w:r>
          </w:p>
        </w:tc>
        <w:tc>
          <w:tcPr>
            <w:tcW w:w="5072" w:type="dxa"/>
            <w:gridSpan w:val="3"/>
            <w:noWrap w:val="0"/>
            <w:vAlign w:val="center"/>
          </w:tcPr>
          <w:p w14:paraId="0243700D">
            <w:pPr>
              <w:tabs>
                <w:tab w:val="left" w:pos="1620"/>
              </w:tabs>
              <w:spacing w:line="400" w:lineRule="exact"/>
              <w:jc w:val="center"/>
              <w:rPr>
                <w:rFonts w:hint="eastAsia" w:ascii="宋体" w:hAnsi="宋体" w:cs="宋体"/>
                <w:color w:val="auto"/>
                <w:sz w:val="22"/>
                <w:szCs w:val="22"/>
                <w:highlight w:val="none"/>
              </w:rPr>
            </w:pPr>
          </w:p>
        </w:tc>
        <w:tc>
          <w:tcPr>
            <w:tcW w:w="1323" w:type="dxa"/>
            <w:noWrap w:val="0"/>
            <w:vAlign w:val="center"/>
          </w:tcPr>
          <w:p w14:paraId="2CF0785E">
            <w:pPr>
              <w:tabs>
                <w:tab w:val="left" w:pos="1620"/>
              </w:tabs>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联系方式</w:t>
            </w:r>
          </w:p>
        </w:tc>
        <w:tc>
          <w:tcPr>
            <w:tcW w:w="2093" w:type="dxa"/>
            <w:noWrap w:val="0"/>
            <w:vAlign w:val="center"/>
          </w:tcPr>
          <w:p w14:paraId="51EFD97A">
            <w:pPr>
              <w:tabs>
                <w:tab w:val="left" w:pos="1620"/>
              </w:tabs>
              <w:spacing w:line="400" w:lineRule="exact"/>
              <w:jc w:val="center"/>
              <w:rPr>
                <w:rFonts w:hint="eastAsia" w:ascii="宋体" w:hAnsi="宋体" w:cs="宋体"/>
                <w:color w:val="auto"/>
                <w:sz w:val="22"/>
                <w:szCs w:val="22"/>
                <w:highlight w:val="none"/>
              </w:rPr>
            </w:pPr>
          </w:p>
        </w:tc>
      </w:tr>
      <w:tr w14:paraId="60A0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8" w:hRule="atLeast"/>
        </w:trPr>
        <w:tc>
          <w:tcPr>
            <w:tcW w:w="9653" w:type="dxa"/>
            <w:gridSpan w:val="6"/>
            <w:noWrap w:val="0"/>
            <w:vAlign w:val="top"/>
          </w:tcPr>
          <w:p w14:paraId="10DD806F">
            <w:pPr>
              <w:tabs>
                <w:tab w:val="left" w:pos="1620"/>
              </w:tabs>
              <w:spacing w:before="120" w:beforeLines="50"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近三年从事相关工作经历及业绩：</w:t>
            </w:r>
          </w:p>
        </w:tc>
      </w:tr>
    </w:tbl>
    <w:p w14:paraId="13919091">
      <w:pPr>
        <w:tabs>
          <w:tab w:val="left" w:pos="1620"/>
        </w:tabs>
        <w:spacing w:before="120" w:beforeLines="50" w:line="400" w:lineRule="exact"/>
        <w:ind w:left="220" w:leftChars="105"/>
        <w:rPr>
          <w:rFonts w:hint="eastAsia" w:ascii="宋体" w:hAnsi="宋体" w:cs="宋体"/>
          <w:color w:val="auto"/>
          <w:sz w:val="22"/>
          <w:szCs w:val="22"/>
          <w:highlight w:val="none"/>
        </w:rPr>
      </w:pPr>
      <w:r>
        <w:rPr>
          <w:rFonts w:hint="eastAsia" w:ascii="宋体" w:hAnsi="宋体" w:cs="宋体"/>
          <w:color w:val="auto"/>
          <w:sz w:val="22"/>
          <w:szCs w:val="22"/>
          <w:highlight w:val="none"/>
        </w:rPr>
        <w:t>注：本表须附身份证、学历、技术职称（资格）证书或上岗证、所获荣誉证明、业绩证明材料等及社保证明复印件（加盖投标人公章）。</w:t>
      </w:r>
    </w:p>
    <w:p w14:paraId="047C1B59">
      <w:pPr>
        <w:tabs>
          <w:tab w:val="left" w:pos="1620"/>
        </w:tabs>
        <w:spacing w:before="120" w:beforeLines="50" w:line="400" w:lineRule="exact"/>
        <w:ind w:left="220" w:leftChars="105"/>
        <w:rPr>
          <w:rFonts w:hint="eastAsia" w:ascii="宋体" w:hAnsi="宋体" w:cs="宋体"/>
          <w:color w:val="auto"/>
          <w:sz w:val="22"/>
          <w:szCs w:val="22"/>
          <w:highlight w:val="none"/>
        </w:rPr>
      </w:pPr>
    </w:p>
    <w:p w14:paraId="5C1E9EE7">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3F2D0CE0">
      <w:pPr>
        <w:spacing w:line="40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382F1C5">
      <w:pPr>
        <w:autoSpaceDE w:val="0"/>
        <w:autoSpaceDN w:val="0"/>
        <w:adjustRightInd w:val="0"/>
        <w:spacing w:line="400" w:lineRule="exact"/>
        <w:jc w:val="center"/>
        <w:rPr>
          <w:rFonts w:ascii="宋体" w:hAnsi="宋体"/>
          <w:color w:val="auto"/>
          <w:sz w:val="22"/>
          <w:szCs w:val="22"/>
          <w:highlight w:val="none"/>
        </w:rPr>
      </w:pPr>
    </w:p>
    <w:p w14:paraId="181B95E1">
      <w:pPr>
        <w:autoSpaceDE w:val="0"/>
        <w:autoSpaceDN w:val="0"/>
        <w:adjustRightInd w:val="0"/>
        <w:spacing w:line="400" w:lineRule="exact"/>
        <w:jc w:val="center"/>
        <w:rPr>
          <w:rFonts w:ascii="宋体" w:hAnsi="宋体"/>
          <w:color w:val="auto"/>
          <w:sz w:val="22"/>
          <w:szCs w:val="22"/>
          <w:highlight w:val="none"/>
        </w:rPr>
      </w:pPr>
    </w:p>
    <w:p w14:paraId="23CDA397">
      <w:pPr>
        <w:spacing w:line="400" w:lineRule="exact"/>
        <w:rPr>
          <w:rFonts w:hint="eastAsia" w:ascii="宋体" w:hAnsi="宋体"/>
          <w:color w:val="auto"/>
          <w:highlight w:val="none"/>
        </w:rPr>
        <w:sectPr>
          <w:headerReference r:id="rId8" w:type="default"/>
          <w:pgSz w:w="11906" w:h="16838"/>
          <w:pgMar w:top="1134" w:right="1134" w:bottom="1134" w:left="1134" w:header="851" w:footer="992" w:gutter="0"/>
          <w:cols w:space="720" w:num="1"/>
          <w:docGrid w:linePitch="312" w:charSpace="0"/>
        </w:sectPr>
      </w:pPr>
    </w:p>
    <w:bookmarkEnd w:id="90"/>
    <w:bookmarkEnd w:id="93"/>
    <w:p w14:paraId="2613F407">
      <w:pPr>
        <w:spacing w:line="400" w:lineRule="exact"/>
        <w:jc w:val="center"/>
        <w:rPr>
          <w:rFonts w:hint="eastAsia" w:ascii="宋体" w:hAnsi="宋体" w:cs="宋体"/>
          <w:color w:val="auto"/>
          <w:sz w:val="22"/>
          <w:szCs w:val="22"/>
          <w:highlight w:val="none"/>
        </w:rPr>
      </w:pPr>
      <w:r>
        <w:rPr>
          <w:rFonts w:hint="eastAsia" w:ascii="宋体" w:hAnsi="宋体"/>
          <w:b/>
          <w:color w:val="auto"/>
          <w:sz w:val="28"/>
          <w:highlight w:val="none"/>
        </w:rPr>
        <w:t>（2）项目组其他人员情况表</w:t>
      </w:r>
    </w:p>
    <w:p w14:paraId="59752AD4">
      <w:pPr>
        <w:spacing w:line="400" w:lineRule="exact"/>
        <w:rPr>
          <w:rFonts w:hint="eastAsia" w:ascii="宋体" w:hAnsi="宋体"/>
          <w:color w:val="auto"/>
          <w:sz w:val="22"/>
          <w:highlight w:val="none"/>
        </w:rPr>
      </w:pPr>
      <w:r>
        <w:rPr>
          <w:rFonts w:hint="eastAsia" w:ascii="宋体" w:hAnsi="宋体"/>
          <w:b/>
          <w:color w:val="auto"/>
          <w:sz w:val="24"/>
          <w:highlight w:val="none"/>
        </w:rPr>
        <w:t>项目名称：</w:t>
      </w:r>
      <w:r>
        <w:rPr>
          <w:rFonts w:hint="eastAsia" w:ascii="宋体" w:hAnsi="宋体"/>
          <w:b/>
          <w:color w:val="auto"/>
          <w:sz w:val="22"/>
          <w:highlight w:val="none"/>
        </w:rPr>
        <w:t xml:space="preserve">                                             项目编号：</w:t>
      </w:r>
      <w:r>
        <w:rPr>
          <w:rFonts w:hint="eastAsia" w:ascii="宋体" w:hAnsi="宋体"/>
          <w:color w:val="auto"/>
          <w:sz w:val="22"/>
          <w:highlight w:val="none"/>
        </w:rPr>
        <w:t xml:space="preserve"> </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14:paraId="277AC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tcBorders>
              <w:top w:val="single" w:color="auto" w:sz="12" w:space="0"/>
              <w:left w:val="single" w:color="auto" w:sz="12" w:space="0"/>
              <w:bottom w:val="single" w:color="auto" w:sz="6" w:space="0"/>
              <w:right w:val="single" w:color="auto" w:sz="6" w:space="0"/>
            </w:tcBorders>
            <w:noWrap w:val="0"/>
            <w:vAlign w:val="center"/>
          </w:tcPr>
          <w:p w14:paraId="496FEAE3">
            <w:pPr>
              <w:spacing w:line="400" w:lineRule="exact"/>
              <w:jc w:val="center"/>
              <w:rPr>
                <w:rFonts w:ascii="宋体" w:hAnsi="宋体"/>
                <w:color w:val="auto"/>
                <w:sz w:val="22"/>
                <w:highlight w:val="none"/>
              </w:rPr>
            </w:pPr>
            <w:r>
              <w:rPr>
                <w:rFonts w:hint="eastAsia" w:ascii="宋体" w:hAnsi="宋体"/>
                <w:color w:val="auto"/>
                <w:sz w:val="22"/>
                <w:highlight w:val="none"/>
              </w:rPr>
              <w:t>序号</w:t>
            </w:r>
          </w:p>
        </w:tc>
        <w:tc>
          <w:tcPr>
            <w:tcW w:w="958" w:type="dxa"/>
            <w:tcBorders>
              <w:top w:val="single" w:color="auto" w:sz="12" w:space="0"/>
              <w:left w:val="single" w:color="auto" w:sz="6" w:space="0"/>
              <w:bottom w:val="single" w:color="auto" w:sz="6" w:space="0"/>
              <w:right w:val="single" w:color="auto" w:sz="6" w:space="0"/>
            </w:tcBorders>
            <w:noWrap w:val="0"/>
            <w:vAlign w:val="center"/>
          </w:tcPr>
          <w:p w14:paraId="49338F0D">
            <w:pPr>
              <w:spacing w:line="400" w:lineRule="exact"/>
              <w:jc w:val="center"/>
              <w:rPr>
                <w:rFonts w:ascii="宋体" w:hAnsi="宋体"/>
                <w:color w:val="auto"/>
                <w:sz w:val="22"/>
                <w:highlight w:val="none"/>
              </w:rPr>
            </w:pPr>
            <w:r>
              <w:rPr>
                <w:rFonts w:hint="eastAsia" w:ascii="宋体" w:hAnsi="宋体"/>
                <w:color w:val="auto"/>
                <w:sz w:val="22"/>
                <w:highlight w:val="none"/>
              </w:rPr>
              <w:t>姓名</w:t>
            </w:r>
          </w:p>
        </w:tc>
        <w:tc>
          <w:tcPr>
            <w:tcW w:w="958" w:type="dxa"/>
            <w:tcBorders>
              <w:top w:val="single" w:color="auto" w:sz="12" w:space="0"/>
              <w:left w:val="single" w:color="auto" w:sz="6" w:space="0"/>
              <w:bottom w:val="single" w:color="auto" w:sz="6" w:space="0"/>
              <w:right w:val="single" w:color="auto" w:sz="6" w:space="0"/>
            </w:tcBorders>
            <w:noWrap w:val="0"/>
            <w:vAlign w:val="center"/>
          </w:tcPr>
          <w:p w14:paraId="4EFD8367">
            <w:pPr>
              <w:spacing w:line="400" w:lineRule="exact"/>
              <w:jc w:val="center"/>
              <w:rPr>
                <w:rFonts w:ascii="宋体" w:hAnsi="宋体"/>
                <w:color w:val="auto"/>
                <w:sz w:val="22"/>
                <w:highlight w:val="none"/>
              </w:rPr>
            </w:pPr>
            <w:r>
              <w:rPr>
                <w:rFonts w:hint="eastAsia" w:ascii="宋体" w:hAnsi="宋体"/>
                <w:color w:val="auto"/>
                <w:sz w:val="22"/>
                <w:highlight w:val="none"/>
              </w:rPr>
              <w:t>性别</w:t>
            </w:r>
          </w:p>
        </w:tc>
        <w:tc>
          <w:tcPr>
            <w:tcW w:w="767" w:type="dxa"/>
            <w:tcBorders>
              <w:top w:val="single" w:color="auto" w:sz="12" w:space="0"/>
              <w:left w:val="single" w:color="auto" w:sz="6" w:space="0"/>
              <w:bottom w:val="single" w:color="auto" w:sz="6" w:space="0"/>
              <w:right w:val="single" w:color="auto" w:sz="6" w:space="0"/>
            </w:tcBorders>
            <w:noWrap w:val="0"/>
            <w:vAlign w:val="center"/>
          </w:tcPr>
          <w:p w14:paraId="39419B9B">
            <w:pPr>
              <w:spacing w:line="400" w:lineRule="exact"/>
              <w:jc w:val="center"/>
              <w:rPr>
                <w:rFonts w:ascii="宋体" w:hAnsi="宋体"/>
                <w:color w:val="auto"/>
                <w:sz w:val="22"/>
                <w:highlight w:val="none"/>
              </w:rPr>
            </w:pPr>
            <w:r>
              <w:rPr>
                <w:rFonts w:hint="eastAsia" w:ascii="宋体" w:hAnsi="宋体"/>
                <w:color w:val="auto"/>
                <w:sz w:val="22"/>
                <w:highlight w:val="none"/>
              </w:rPr>
              <w:t>年龄</w:t>
            </w:r>
          </w:p>
        </w:tc>
        <w:tc>
          <w:tcPr>
            <w:tcW w:w="767" w:type="dxa"/>
            <w:tcBorders>
              <w:top w:val="single" w:color="auto" w:sz="12" w:space="0"/>
              <w:left w:val="single" w:color="auto" w:sz="6" w:space="0"/>
              <w:bottom w:val="single" w:color="auto" w:sz="6" w:space="0"/>
              <w:right w:val="single" w:color="auto" w:sz="6" w:space="0"/>
            </w:tcBorders>
            <w:noWrap w:val="0"/>
            <w:vAlign w:val="center"/>
          </w:tcPr>
          <w:p w14:paraId="5073525C">
            <w:pPr>
              <w:spacing w:line="400" w:lineRule="exact"/>
              <w:jc w:val="center"/>
              <w:rPr>
                <w:rFonts w:ascii="宋体" w:hAnsi="宋体"/>
                <w:color w:val="auto"/>
                <w:sz w:val="22"/>
                <w:highlight w:val="none"/>
              </w:rPr>
            </w:pPr>
            <w:r>
              <w:rPr>
                <w:rFonts w:hint="eastAsia" w:ascii="宋体" w:hAnsi="宋体"/>
                <w:color w:val="auto"/>
                <w:sz w:val="22"/>
                <w:highlight w:val="none"/>
              </w:rPr>
              <w:t>学历</w:t>
            </w:r>
          </w:p>
        </w:tc>
        <w:tc>
          <w:tcPr>
            <w:tcW w:w="1340" w:type="dxa"/>
            <w:tcBorders>
              <w:top w:val="single" w:color="auto" w:sz="12" w:space="0"/>
              <w:left w:val="single" w:color="auto" w:sz="6" w:space="0"/>
              <w:bottom w:val="single" w:color="auto" w:sz="6" w:space="0"/>
              <w:right w:val="single" w:color="auto" w:sz="6" w:space="0"/>
            </w:tcBorders>
            <w:noWrap w:val="0"/>
            <w:vAlign w:val="center"/>
          </w:tcPr>
          <w:p w14:paraId="2AE4A1B4">
            <w:pPr>
              <w:spacing w:line="400" w:lineRule="exact"/>
              <w:jc w:val="center"/>
              <w:rPr>
                <w:rFonts w:ascii="宋体" w:hAnsi="宋体"/>
                <w:color w:val="auto"/>
                <w:sz w:val="22"/>
                <w:highlight w:val="none"/>
              </w:rPr>
            </w:pPr>
            <w:r>
              <w:rPr>
                <w:rFonts w:hint="eastAsia" w:ascii="宋体" w:hAnsi="宋体"/>
                <w:color w:val="auto"/>
                <w:sz w:val="22"/>
                <w:highlight w:val="none"/>
              </w:rPr>
              <w:t>职称/职务</w:t>
            </w:r>
          </w:p>
        </w:tc>
        <w:tc>
          <w:tcPr>
            <w:tcW w:w="1326" w:type="dxa"/>
            <w:tcBorders>
              <w:top w:val="single" w:color="auto" w:sz="12" w:space="0"/>
              <w:left w:val="single" w:color="auto" w:sz="6" w:space="0"/>
              <w:bottom w:val="single" w:color="auto" w:sz="6" w:space="0"/>
              <w:right w:val="single" w:color="auto" w:sz="6" w:space="0"/>
            </w:tcBorders>
            <w:noWrap w:val="0"/>
            <w:vAlign w:val="center"/>
          </w:tcPr>
          <w:p w14:paraId="6855924F">
            <w:pPr>
              <w:spacing w:line="400" w:lineRule="exact"/>
              <w:jc w:val="center"/>
              <w:rPr>
                <w:rFonts w:ascii="宋体" w:hAnsi="宋体"/>
                <w:color w:val="auto"/>
                <w:sz w:val="22"/>
                <w:highlight w:val="none"/>
              </w:rPr>
            </w:pPr>
            <w:r>
              <w:rPr>
                <w:rFonts w:hint="eastAsia" w:ascii="宋体" w:hAnsi="宋体"/>
                <w:color w:val="auto"/>
                <w:highlight w:val="none"/>
              </w:rPr>
              <w:t>本工程中的岗位</w:t>
            </w:r>
          </w:p>
        </w:tc>
        <w:tc>
          <w:tcPr>
            <w:tcW w:w="1825" w:type="dxa"/>
            <w:tcBorders>
              <w:top w:val="single" w:color="auto" w:sz="12" w:space="0"/>
              <w:left w:val="single" w:color="auto" w:sz="6" w:space="0"/>
              <w:bottom w:val="single" w:color="auto" w:sz="6" w:space="0"/>
              <w:right w:val="single" w:color="auto" w:sz="6" w:space="0"/>
            </w:tcBorders>
            <w:noWrap w:val="0"/>
            <w:vAlign w:val="center"/>
          </w:tcPr>
          <w:p w14:paraId="4E45186E">
            <w:pPr>
              <w:spacing w:line="400" w:lineRule="exact"/>
              <w:jc w:val="center"/>
              <w:rPr>
                <w:rFonts w:ascii="宋体" w:hAnsi="宋体"/>
                <w:color w:val="auto"/>
                <w:sz w:val="22"/>
                <w:highlight w:val="none"/>
              </w:rPr>
            </w:pPr>
            <w:r>
              <w:rPr>
                <w:rFonts w:hint="eastAsia" w:ascii="宋体" w:hAnsi="宋体"/>
                <w:color w:val="auto"/>
                <w:sz w:val="22"/>
                <w:highlight w:val="none"/>
              </w:rPr>
              <w:t>从事相关工作年限</w:t>
            </w:r>
          </w:p>
        </w:tc>
        <w:tc>
          <w:tcPr>
            <w:tcW w:w="1147" w:type="dxa"/>
            <w:tcBorders>
              <w:top w:val="single" w:color="auto" w:sz="12" w:space="0"/>
              <w:left w:val="single" w:color="auto" w:sz="6" w:space="0"/>
              <w:bottom w:val="single" w:color="auto" w:sz="6" w:space="0"/>
              <w:right w:val="single" w:color="auto" w:sz="12" w:space="0"/>
            </w:tcBorders>
            <w:noWrap w:val="0"/>
            <w:vAlign w:val="center"/>
          </w:tcPr>
          <w:p w14:paraId="6414397A">
            <w:pPr>
              <w:spacing w:line="400" w:lineRule="exact"/>
              <w:jc w:val="center"/>
              <w:rPr>
                <w:rFonts w:ascii="宋体" w:hAnsi="宋体"/>
                <w:color w:val="auto"/>
                <w:sz w:val="22"/>
                <w:highlight w:val="none"/>
              </w:rPr>
            </w:pPr>
            <w:r>
              <w:rPr>
                <w:rFonts w:hint="eastAsia" w:ascii="宋体" w:hAnsi="宋体"/>
                <w:color w:val="auto"/>
                <w:sz w:val="22"/>
                <w:highlight w:val="none"/>
              </w:rPr>
              <w:t>备注</w:t>
            </w:r>
          </w:p>
        </w:tc>
      </w:tr>
      <w:tr w14:paraId="4816C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1ECC2D06">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541BC227">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5984AB57">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7A81F197">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402BF9B7">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5A049CA0">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6AFD2225">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2FC41FBD">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3AE4B680">
            <w:pPr>
              <w:spacing w:line="400" w:lineRule="exact"/>
              <w:jc w:val="center"/>
              <w:rPr>
                <w:rFonts w:ascii="宋体" w:hAnsi="宋体"/>
                <w:color w:val="auto"/>
                <w:sz w:val="22"/>
                <w:highlight w:val="none"/>
              </w:rPr>
            </w:pPr>
          </w:p>
        </w:tc>
      </w:tr>
      <w:tr w14:paraId="55E2F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2DE463EE">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3367D2F7">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21DCA04A">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310D7551">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32CBC235">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12D93D4">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3F75B8E0">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367F0398">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43CD0271">
            <w:pPr>
              <w:spacing w:line="400" w:lineRule="exact"/>
              <w:jc w:val="center"/>
              <w:rPr>
                <w:rFonts w:ascii="宋体" w:hAnsi="宋体"/>
                <w:color w:val="auto"/>
                <w:sz w:val="22"/>
                <w:highlight w:val="none"/>
              </w:rPr>
            </w:pPr>
          </w:p>
        </w:tc>
      </w:tr>
      <w:tr w14:paraId="60F76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13E04739">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37D49F06">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47FD4714">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49FF0278">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461E9159">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0A9A219D">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26D8B863">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257741EF">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632E62BD">
            <w:pPr>
              <w:spacing w:line="400" w:lineRule="exact"/>
              <w:jc w:val="center"/>
              <w:rPr>
                <w:rFonts w:ascii="宋体" w:hAnsi="宋体"/>
                <w:color w:val="auto"/>
                <w:sz w:val="22"/>
                <w:highlight w:val="none"/>
              </w:rPr>
            </w:pPr>
          </w:p>
        </w:tc>
      </w:tr>
      <w:tr w14:paraId="4C963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66E42E38">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7FE945D2">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7EF5276E">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78DCA817">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616B6A46">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9655121">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2C74B89D">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410E0EA3">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297A62D6">
            <w:pPr>
              <w:spacing w:line="400" w:lineRule="exact"/>
              <w:jc w:val="center"/>
              <w:rPr>
                <w:rFonts w:ascii="宋体" w:hAnsi="宋体"/>
                <w:color w:val="auto"/>
                <w:sz w:val="22"/>
                <w:highlight w:val="none"/>
              </w:rPr>
            </w:pPr>
          </w:p>
        </w:tc>
      </w:tr>
      <w:tr w14:paraId="08372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279D8121">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744DBC4C">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2495EFBC">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5E2F5117">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318A0593">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13D3C73">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52F14224">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5D254898">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0DC2C116">
            <w:pPr>
              <w:spacing w:line="400" w:lineRule="exact"/>
              <w:jc w:val="center"/>
              <w:rPr>
                <w:rFonts w:ascii="宋体" w:hAnsi="宋体"/>
                <w:color w:val="auto"/>
                <w:sz w:val="22"/>
                <w:highlight w:val="none"/>
              </w:rPr>
            </w:pPr>
          </w:p>
        </w:tc>
      </w:tr>
      <w:tr w14:paraId="404E3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5D519A81">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6188DD3D">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75C3F34A">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09A12BC6">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4AAC3998">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02DAF669">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22D7F47C">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6BF9CE27">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7A6EF051">
            <w:pPr>
              <w:spacing w:line="400" w:lineRule="exact"/>
              <w:jc w:val="center"/>
              <w:rPr>
                <w:rFonts w:ascii="宋体" w:hAnsi="宋体"/>
                <w:color w:val="auto"/>
                <w:sz w:val="22"/>
                <w:highlight w:val="none"/>
              </w:rPr>
            </w:pPr>
          </w:p>
        </w:tc>
      </w:tr>
      <w:tr w14:paraId="7555F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656C7FEE">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3592DA1A">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01BFE809">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386B6061">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3636A9D2">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014D3D1F">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640428B1">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679CD88A">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0A7F1205">
            <w:pPr>
              <w:spacing w:line="400" w:lineRule="exact"/>
              <w:jc w:val="center"/>
              <w:rPr>
                <w:rFonts w:ascii="宋体" w:hAnsi="宋体"/>
                <w:color w:val="auto"/>
                <w:sz w:val="22"/>
                <w:highlight w:val="none"/>
              </w:rPr>
            </w:pPr>
          </w:p>
        </w:tc>
      </w:tr>
      <w:tr w14:paraId="0329B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13A92D54">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190C835B">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36304632">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04387402">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5A41D5AD">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0C5F2B7">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7604A2C8">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5049EA09">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590AFE88">
            <w:pPr>
              <w:spacing w:line="400" w:lineRule="exact"/>
              <w:jc w:val="center"/>
              <w:rPr>
                <w:rFonts w:ascii="宋体" w:hAnsi="宋体"/>
                <w:color w:val="auto"/>
                <w:sz w:val="22"/>
                <w:highlight w:val="none"/>
              </w:rPr>
            </w:pPr>
          </w:p>
        </w:tc>
      </w:tr>
      <w:tr w14:paraId="72BF3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66BE25A9">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3A4486E0">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143AD3D9">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6A62EFEA">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0A2D1A89">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5B191315">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4CF0D147">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2BAB5736">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385C851C">
            <w:pPr>
              <w:spacing w:line="400" w:lineRule="exact"/>
              <w:jc w:val="center"/>
              <w:rPr>
                <w:rFonts w:ascii="宋体" w:hAnsi="宋体"/>
                <w:color w:val="auto"/>
                <w:sz w:val="22"/>
                <w:highlight w:val="none"/>
              </w:rPr>
            </w:pPr>
          </w:p>
        </w:tc>
      </w:tr>
      <w:tr w14:paraId="6C11B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7AD62A8F">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4CB20406">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3B159685">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3EF9E2CB">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469975A3">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0220716C">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5FC7C96D">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627A4C6A">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368DD8FC">
            <w:pPr>
              <w:spacing w:line="400" w:lineRule="exact"/>
              <w:jc w:val="center"/>
              <w:rPr>
                <w:rFonts w:ascii="宋体" w:hAnsi="宋体"/>
                <w:color w:val="auto"/>
                <w:sz w:val="22"/>
                <w:highlight w:val="none"/>
              </w:rPr>
            </w:pPr>
          </w:p>
        </w:tc>
      </w:tr>
      <w:tr w14:paraId="0602A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5E62C470">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1F78FDAD">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3AEF1D8E">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02CE0B7E">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794FC4E7">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1F4C4DA">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73FBD42E">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50BB4B10">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4542F197">
            <w:pPr>
              <w:spacing w:line="400" w:lineRule="exact"/>
              <w:jc w:val="center"/>
              <w:rPr>
                <w:rFonts w:ascii="宋体" w:hAnsi="宋体"/>
                <w:color w:val="auto"/>
                <w:sz w:val="22"/>
                <w:highlight w:val="none"/>
              </w:rPr>
            </w:pPr>
          </w:p>
        </w:tc>
      </w:tr>
      <w:tr w14:paraId="59C3B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2B0796B1">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05E59697">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7ECD4314">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78200434">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5F04DB83">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F26A7AE">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3B157908">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0853F8B6">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6F8FE4CD">
            <w:pPr>
              <w:spacing w:line="400" w:lineRule="exact"/>
              <w:jc w:val="center"/>
              <w:rPr>
                <w:rFonts w:ascii="宋体" w:hAnsi="宋体"/>
                <w:color w:val="auto"/>
                <w:sz w:val="22"/>
                <w:highlight w:val="none"/>
              </w:rPr>
            </w:pPr>
          </w:p>
        </w:tc>
      </w:tr>
      <w:tr w14:paraId="6A70C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62FDF7FF">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18A5E0D8">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48D409C4">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2762CE91">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3440626C">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53F0E1E">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08223320">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097CFB21">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50AEC508">
            <w:pPr>
              <w:spacing w:line="400" w:lineRule="exact"/>
              <w:jc w:val="center"/>
              <w:rPr>
                <w:rFonts w:ascii="宋体" w:hAnsi="宋体"/>
                <w:color w:val="auto"/>
                <w:sz w:val="22"/>
                <w:highlight w:val="none"/>
              </w:rPr>
            </w:pPr>
          </w:p>
        </w:tc>
      </w:tr>
      <w:tr w14:paraId="56258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45104B21">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618A7342">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637FBED2">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5D2F4661">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2BAE3894">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AF38B9A">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0D628F59">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7DA9E34C">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385CCB49">
            <w:pPr>
              <w:spacing w:line="400" w:lineRule="exact"/>
              <w:jc w:val="center"/>
              <w:rPr>
                <w:rFonts w:ascii="宋体" w:hAnsi="宋体"/>
                <w:color w:val="auto"/>
                <w:sz w:val="22"/>
                <w:highlight w:val="none"/>
              </w:rPr>
            </w:pPr>
          </w:p>
        </w:tc>
      </w:tr>
      <w:tr w14:paraId="28D69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6" w:space="0"/>
              <w:right w:val="single" w:color="auto" w:sz="6" w:space="0"/>
            </w:tcBorders>
            <w:noWrap w:val="0"/>
            <w:vAlign w:val="center"/>
          </w:tcPr>
          <w:p w14:paraId="5A22F2FD">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36E11B57">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6" w:space="0"/>
              <w:right w:val="single" w:color="auto" w:sz="6" w:space="0"/>
            </w:tcBorders>
            <w:noWrap w:val="0"/>
            <w:vAlign w:val="center"/>
          </w:tcPr>
          <w:p w14:paraId="1203F8D6">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114BBCE8">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6" w:space="0"/>
              <w:right w:val="single" w:color="auto" w:sz="6" w:space="0"/>
            </w:tcBorders>
            <w:noWrap w:val="0"/>
            <w:vAlign w:val="center"/>
          </w:tcPr>
          <w:p w14:paraId="1D2F82F9">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65DD15C">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14:paraId="5B24ED96">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6" w:space="0"/>
              <w:right w:val="single" w:color="auto" w:sz="6" w:space="0"/>
            </w:tcBorders>
            <w:noWrap w:val="0"/>
            <w:vAlign w:val="top"/>
          </w:tcPr>
          <w:p w14:paraId="07613B61">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6" w:space="0"/>
              <w:right w:val="single" w:color="auto" w:sz="12" w:space="0"/>
            </w:tcBorders>
            <w:noWrap w:val="0"/>
            <w:vAlign w:val="center"/>
          </w:tcPr>
          <w:p w14:paraId="50D7D3C4">
            <w:pPr>
              <w:spacing w:line="400" w:lineRule="exact"/>
              <w:jc w:val="center"/>
              <w:rPr>
                <w:rFonts w:ascii="宋体" w:hAnsi="宋体"/>
                <w:color w:val="auto"/>
                <w:sz w:val="22"/>
                <w:highlight w:val="none"/>
              </w:rPr>
            </w:pPr>
          </w:p>
        </w:tc>
      </w:tr>
      <w:tr w14:paraId="40429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op w:val="single" w:color="auto" w:sz="6" w:space="0"/>
              <w:left w:val="single" w:color="auto" w:sz="12" w:space="0"/>
              <w:bottom w:val="single" w:color="auto" w:sz="12" w:space="0"/>
              <w:right w:val="single" w:color="auto" w:sz="6" w:space="0"/>
            </w:tcBorders>
            <w:noWrap w:val="0"/>
            <w:vAlign w:val="center"/>
          </w:tcPr>
          <w:p w14:paraId="40634809">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12" w:space="0"/>
              <w:right w:val="single" w:color="auto" w:sz="6" w:space="0"/>
            </w:tcBorders>
            <w:noWrap w:val="0"/>
            <w:vAlign w:val="center"/>
          </w:tcPr>
          <w:p w14:paraId="79737764">
            <w:pPr>
              <w:spacing w:line="400" w:lineRule="exact"/>
              <w:jc w:val="center"/>
              <w:rPr>
                <w:rFonts w:ascii="宋体" w:hAnsi="宋体"/>
                <w:color w:val="auto"/>
                <w:sz w:val="22"/>
                <w:highlight w:val="none"/>
              </w:rPr>
            </w:pPr>
          </w:p>
        </w:tc>
        <w:tc>
          <w:tcPr>
            <w:tcW w:w="958" w:type="dxa"/>
            <w:tcBorders>
              <w:top w:val="single" w:color="auto" w:sz="6" w:space="0"/>
              <w:left w:val="single" w:color="auto" w:sz="6" w:space="0"/>
              <w:bottom w:val="single" w:color="auto" w:sz="12" w:space="0"/>
              <w:right w:val="single" w:color="auto" w:sz="6" w:space="0"/>
            </w:tcBorders>
            <w:noWrap w:val="0"/>
            <w:vAlign w:val="center"/>
          </w:tcPr>
          <w:p w14:paraId="75456BFB">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12" w:space="0"/>
              <w:right w:val="single" w:color="auto" w:sz="6" w:space="0"/>
            </w:tcBorders>
            <w:noWrap w:val="0"/>
            <w:vAlign w:val="center"/>
          </w:tcPr>
          <w:p w14:paraId="1BEB174F">
            <w:pPr>
              <w:spacing w:line="400" w:lineRule="exact"/>
              <w:jc w:val="center"/>
              <w:rPr>
                <w:rFonts w:ascii="宋体" w:hAnsi="宋体"/>
                <w:color w:val="auto"/>
                <w:sz w:val="22"/>
                <w:highlight w:val="none"/>
              </w:rPr>
            </w:pPr>
          </w:p>
        </w:tc>
        <w:tc>
          <w:tcPr>
            <w:tcW w:w="767" w:type="dxa"/>
            <w:tcBorders>
              <w:top w:val="single" w:color="auto" w:sz="6" w:space="0"/>
              <w:left w:val="single" w:color="auto" w:sz="6" w:space="0"/>
              <w:bottom w:val="single" w:color="auto" w:sz="12" w:space="0"/>
              <w:right w:val="single" w:color="auto" w:sz="6" w:space="0"/>
            </w:tcBorders>
            <w:noWrap w:val="0"/>
            <w:vAlign w:val="center"/>
          </w:tcPr>
          <w:p w14:paraId="2222CF33">
            <w:pPr>
              <w:spacing w:line="400" w:lineRule="exact"/>
              <w:jc w:val="center"/>
              <w:rPr>
                <w:rFonts w:ascii="宋体" w:hAnsi="宋体"/>
                <w:color w:val="auto"/>
                <w:sz w:val="22"/>
                <w:highlight w:val="none"/>
              </w:rPr>
            </w:pPr>
          </w:p>
        </w:tc>
        <w:tc>
          <w:tcPr>
            <w:tcW w:w="1340" w:type="dxa"/>
            <w:tcBorders>
              <w:top w:val="single" w:color="auto" w:sz="6" w:space="0"/>
              <w:left w:val="single" w:color="auto" w:sz="6" w:space="0"/>
              <w:bottom w:val="single" w:color="auto" w:sz="12" w:space="0"/>
              <w:right w:val="single" w:color="auto" w:sz="6" w:space="0"/>
            </w:tcBorders>
            <w:noWrap w:val="0"/>
            <w:vAlign w:val="center"/>
          </w:tcPr>
          <w:p w14:paraId="7ED6295D">
            <w:pPr>
              <w:spacing w:line="400" w:lineRule="exact"/>
              <w:jc w:val="center"/>
              <w:rPr>
                <w:rFonts w:ascii="宋体" w:hAnsi="宋体"/>
                <w:color w:val="auto"/>
                <w:sz w:val="22"/>
                <w:highlight w:val="none"/>
              </w:rPr>
            </w:pPr>
          </w:p>
        </w:tc>
        <w:tc>
          <w:tcPr>
            <w:tcW w:w="1326" w:type="dxa"/>
            <w:tcBorders>
              <w:top w:val="single" w:color="auto" w:sz="6" w:space="0"/>
              <w:left w:val="single" w:color="auto" w:sz="6" w:space="0"/>
              <w:bottom w:val="single" w:color="auto" w:sz="12" w:space="0"/>
              <w:right w:val="single" w:color="auto" w:sz="6" w:space="0"/>
            </w:tcBorders>
            <w:noWrap w:val="0"/>
            <w:vAlign w:val="center"/>
          </w:tcPr>
          <w:p w14:paraId="30CA07C0">
            <w:pPr>
              <w:spacing w:line="400" w:lineRule="exact"/>
              <w:jc w:val="center"/>
              <w:rPr>
                <w:rFonts w:ascii="宋体" w:hAnsi="宋体"/>
                <w:color w:val="auto"/>
                <w:sz w:val="22"/>
                <w:highlight w:val="none"/>
              </w:rPr>
            </w:pPr>
          </w:p>
        </w:tc>
        <w:tc>
          <w:tcPr>
            <w:tcW w:w="1825" w:type="dxa"/>
            <w:tcBorders>
              <w:top w:val="single" w:color="auto" w:sz="6" w:space="0"/>
              <w:left w:val="single" w:color="auto" w:sz="6" w:space="0"/>
              <w:bottom w:val="single" w:color="auto" w:sz="12" w:space="0"/>
              <w:right w:val="single" w:color="auto" w:sz="6" w:space="0"/>
            </w:tcBorders>
            <w:noWrap w:val="0"/>
            <w:vAlign w:val="top"/>
          </w:tcPr>
          <w:p w14:paraId="47C71E96">
            <w:pPr>
              <w:spacing w:line="400" w:lineRule="exact"/>
              <w:jc w:val="center"/>
              <w:rPr>
                <w:rFonts w:ascii="宋体" w:hAnsi="宋体"/>
                <w:color w:val="auto"/>
                <w:sz w:val="22"/>
                <w:highlight w:val="none"/>
              </w:rPr>
            </w:pPr>
          </w:p>
        </w:tc>
        <w:tc>
          <w:tcPr>
            <w:tcW w:w="1147" w:type="dxa"/>
            <w:tcBorders>
              <w:top w:val="single" w:color="auto" w:sz="6" w:space="0"/>
              <w:left w:val="single" w:color="auto" w:sz="6" w:space="0"/>
              <w:bottom w:val="single" w:color="auto" w:sz="12" w:space="0"/>
              <w:right w:val="single" w:color="auto" w:sz="12" w:space="0"/>
            </w:tcBorders>
            <w:noWrap w:val="0"/>
            <w:vAlign w:val="center"/>
          </w:tcPr>
          <w:p w14:paraId="3B5BF66E">
            <w:pPr>
              <w:spacing w:line="400" w:lineRule="exact"/>
              <w:jc w:val="center"/>
              <w:rPr>
                <w:rFonts w:ascii="宋体" w:hAnsi="宋体"/>
                <w:color w:val="auto"/>
                <w:sz w:val="22"/>
                <w:highlight w:val="none"/>
              </w:rPr>
            </w:pPr>
          </w:p>
        </w:tc>
      </w:tr>
    </w:tbl>
    <w:p w14:paraId="0A19C541">
      <w:pPr>
        <w:pStyle w:val="26"/>
        <w:spacing w:line="400" w:lineRule="exact"/>
        <w:ind w:left="660" w:hanging="660" w:hangingChars="300"/>
        <w:rPr>
          <w:rFonts w:hint="eastAsia" w:hAnsi="宋体"/>
          <w:color w:val="auto"/>
          <w:sz w:val="22"/>
          <w:highlight w:val="none"/>
        </w:rPr>
      </w:pPr>
      <w:r>
        <w:rPr>
          <w:rFonts w:hint="eastAsia" w:hAnsi="宋体"/>
          <w:color w:val="auto"/>
          <w:sz w:val="22"/>
          <w:highlight w:val="none"/>
        </w:rPr>
        <w:t>注：1. 此表仅提供了表格形式，投标人可按此表格复制。</w:t>
      </w:r>
    </w:p>
    <w:p w14:paraId="368B1064">
      <w:pPr>
        <w:pStyle w:val="26"/>
        <w:spacing w:line="400" w:lineRule="exact"/>
        <w:ind w:left="660" w:hanging="660" w:hangingChars="300"/>
        <w:rPr>
          <w:rFonts w:hint="eastAsia" w:hAnsi="宋体"/>
          <w:color w:val="auto"/>
          <w:sz w:val="22"/>
          <w:highlight w:val="none"/>
        </w:rPr>
      </w:pPr>
      <w:r>
        <w:rPr>
          <w:rFonts w:hint="eastAsia" w:hAnsi="宋体"/>
          <w:color w:val="auto"/>
          <w:sz w:val="22"/>
          <w:highlight w:val="none"/>
        </w:rPr>
        <w:t xml:space="preserve">    2. </w:t>
      </w:r>
      <w:r>
        <w:rPr>
          <w:rFonts w:hint="eastAsia" w:hAnsi="宋体"/>
          <w:b/>
          <w:bCs/>
          <w:color w:val="auto"/>
          <w:sz w:val="22"/>
          <w:szCs w:val="22"/>
          <w:highlight w:val="none"/>
        </w:rPr>
        <w:t>请提供各人员的身份证、职称证书、学历证书等材料。</w:t>
      </w:r>
    </w:p>
    <w:p w14:paraId="69203FDF">
      <w:pPr>
        <w:spacing w:line="400" w:lineRule="exact"/>
        <w:jc w:val="center"/>
        <w:rPr>
          <w:rFonts w:hint="eastAsia" w:ascii="宋体" w:hAnsi="宋体" w:cs="宋体"/>
          <w:color w:val="auto"/>
          <w:sz w:val="22"/>
          <w:szCs w:val="22"/>
          <w:highlight w:val="none"/>
        </w:rPr>
      </w:pPr>
    </w:p>
    <w:p w14:paraId="5635F469">
      <w:pPr>
        <w:spacing w:line="400" w:lineRule="exact"/>
        <w:jc w:val="center"/>
        <w:rPr>
          <w:rFonts w:hint="eastAsia" w:ascii="宋体" w:hAnsi="宋体" w:cs="宋体"/>
          <w:color w:val="auto"/>
          <w:sz w:val="22"/>
          <w:szCs w:val="22"/>
          <w:highlight w:val="none"/>
        </w:rPr>
      </w:pPr>
    </w:p>
    <w:p w14:paraId="39DE4A98">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4B0D4E6D">
      <w:pPr>
        <w:spacing w:line="40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26BF3EA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AD5D64A">
      <w:pPr>
        <w:pStyle w:val="3"/>
        <w:spacing w:line="400" w:lineRule="exact"/>
        <w:rPr>
          <w:rFonts w:hint="eastAsia" w:ascii="宋体" w:hAnsi="宋体" w:eastAsia="宋体"/>
          <w:color w:val="auto"/>
          <w:sz w:val="24"/>
          <w:szCs w:val="24"/>
          <w:highlight w:val="none"/>
        </w:rPr>
      </w:pPr>
      <w:bookmarkStart w:id="94" w:name="_Toc9967"/>
      <w:bookmarkStart w:id="95" w:name="_Toc21904"/>
      <w:r>
        <w:rPr>
          <w:rFonts w:hint="eastAsia" w:ascii="宋体" w:hAnsi="宋体" w:eastAsia="宋体" w:cs="宋体"/>
          <w:color w:val="auto"/>
          <w:sz w:val="24"/>
          <w:szCs w:val="24"/>
          <w:highlight w:val="none"/>
        </w:rPr>
        <w:t xml:space="preserve">附件八 </w:t>
      </w:r>
      <w:r>
        <w:rPr>
          <w:rFonts w:hint="eastAsia" w:ascii="宋体" w:hAnsi="宋体" w:eastAsia="宋体"/>
          <w:color w:val="auto"/>
          <w:sz w:val="24"/>
          <w:szCs w:val="24"/>
          <w:highlight w:val="none"/>
        </w:rPr>
        <w:t>承诺投入的设备工具一览表</w:t>
      </w:r>
      <w:bookmarkEnd w:id="94"/>
      <w:bookmarkEnd w:id="95"/>
    </w:p>
    <w:p w14:paraId="6B7929B0">
      <w:pPr>
        <w:spacing w:line="4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（1）承诺投入的设备工具一览表</w:t>
      </w:r>
    </w:p>
    <w:p w14:paraId="0CF9453C">
      <w:pPr>
        <w:spacing w:line="400" w:lineRule="exact"/>
        <w:ind w:left="708" w:hanging="708" w:hangingChars="294"/>
        <w:rPr>
          <w:rFonts w:hint="eastAsia" w:ascii="宋体" w:hAnsi="宋体"/>
          <w:b/>
          <w:color w:val="auto"/>
          <w:sz w:val="24"/>
          <w:highlight w:val="none"/>
        </w:rPr>
      </w:pPr>
    </w:p>
    <w:p w14:paraId="0960B607">
      <w:pPr>
        <w:spacing w:line="400" w:lineRule="exact"/>
        <w:rPr>
          <w:rFonts w:hint="eastAsia" w:ascii="宋体" w:hAnsi="宋体"/>
          <w:color w:val="auto"/>
          <w:sz w:val="22"/>
          <w:highlight w:val="none"/>
        </w:rPr>
      </w:pPr>
      <w:r>
        <w:rPr>
          <w:rFonts w:hint="eastAsia" w:ascii="宋体" w:hAnsi="宋体"/>
          <w:b/>
          <w:color w:val="auto"/>
          <w:sz w:val="24"/>
          <w:highlight w:val="none"/>
        </w:rPr>
        <w:t>项目名称：</w:t>
      </w:r>
      <w:r>
        <w:rPr>
          <w:rFonts w:hint="eastAsia" w:ascii="宋体" w:hAnsi="宋体"/>
          <w:b/>
          <w:color w:val="auto"/>
          <w:sz w:val="22"/>
          <w:highlight w:val="none"/>
        </w:rPr>
        <w:t xml:space="preserve">                                             项目编号：</w:t>
      </w:r>
      <w:r>
        <w:rPr>
          <w:rFonts w:hint="eastAsia" w:ascii="宋体" w:hAnsi="宋体"/>
          <w:color w:val="auto"/>
          <w:sz w:val="22"/>
          <w:highlight w:val="none"/>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1440"/>
        <w:gridCol w:w="1260"/>
        <w:gridCol w:w="1620"/>
        <w:gridCol w:w="1080"/>
        <w:gridCol w:w="1620"/>
      </w:tblGrid>
      <w:tr w14:paraId="0664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6B98593D">
            <w:pPr>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序号</w:t>
            </w:r>
          </w:p>
        </w:tc>
        <w:tc>
          <w:tcPr>
            <w:tcW w:w="2160" w:type="dxa"/>
            <w:noWrap w:val="0"/>
            <w:vAlign w:val="center"/>
          </w:tcPr>
          <w:p w14:paraId="39037038">
            <w:pPr>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设备名称</w:t>
            </w:r>
          </w:p>
        </w:tc>
        <w:tc>
          <w:tcPr>
            <w:tcW w:w="1440" w:type="dxa"/>
            <w:noWrap w:val="0"/>
            <w:vAlign w:val="center"/>
          </w:tcPr>
          <w:p w14:paraId="169E75B9">
            <w:pPr>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规格型号</w:t>
            </w:r>
          </w:p>
        </w:tc>
        <w:tc>
          <w:tcPr>
            <w:tcW w:w="1260" w:type="dxa"/>
            <w:noWrap w:val="0"/>
            <w:vAlign w:val="center"/>
          </w:tcPr>
          <w:p w14:paraId="4A4BACE8">
            <w:pPr>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品牌/场地</w:t>
            </w:r>
          </w:p>
        </w:tc>
        <w:tc>
          <w:tcPr>
            <w:tcW w:w="1620" w:type="dxa"/>
            <w:noWrap w:val="0"/>
            <w:vAlign w:val="center"/>
          </w:tcPr>
          <w:p w14:paraId="03E88FD5">
            <w:pPr>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已使用年限</w:t>
            </w:r>
          </w:p>
        </w:tc>
        <w:tc>
          <w:tcPr>
            <w:tcW w:w="1080" w:type="dxa"/>
            <w:noWrap w:val="0"/>
            <w:vAlign w:val="center"/>
          </w:tcPr>
          <w:p w14:paraId="453D4BA3">
            <w:pPr>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数量</w:t>
            </w:r>
          </w:p>
        </w:tc>
        <w:tc>
          <w:tcPr>
            <w:tcW w:w="1620" w:type="dxa"/>
            <w:noWrap w:val="0"/>
            <w:vAlign w:val="center"/>
          </w:tcPr>
          <w:p w14:paraId="3A0A18AB">
            <w:pPr>
              <w:spacing w:line="40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用途</w:t>
            </w:r>
          </w:p>
        </w:tc>
      </w:tr>
      <w:tr w14:paraId="5464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4EFBBD88">
            <w:pPr>
              <w:spacing w:line="400" w:lineRule="exact"/>
              <w:jc w:val="center"/>
              <w:rPr>
                <w:rFonts w:hint="eastAsia" w:ascii="宋体" w:hAnsi="宋体"/>
                <w:color w:val="auto"/>
                <w:sz w:val="22"/>
                <w:szCs w:val="22"/>
                <w:highlight w:val="none"/>
              </w:rPr>
            </w:pPr>
          </w:p>
        </w:tc>
        <w:tc>
          <w:tcPr>
            <w:tcW w:w="2160" w:type="dxa"/>
            <w:noWrap w:val="0"/>
            <w:vAlign w:val="center"/>
          </w:tcPr>
          <w:p w14:paraId="4459422C">
            <w:pPr>
              <w:spacing w:line="400" w:lineRule="exact"/>
              <w:jc w:val="center"/>
              <w:rPr>
                <w:rFonts w:hint="eastAsia" w:ascii="宋体" w:hAnsi="宋体"/>
                <w:color w:val="auto"/>
                <w:sz w:val="22"/>
                <w:szCs w:val="22"/>
                <w:highlight w:val="none"/>
              </w:rPr>
            </w:pPr>
          </w:p>
        </w:tc>
        <w:tc>
          <w:tcPr>
            <w:tcW w:w="1440" w:type="dxa"/>
            <w:noWrap w:val="0"/>
            <w:vAlign w:val="center"/>
          </w:tcPr>
          <w:p w14:paraId="08B730F2">
            <w:pPr>
              <w:spacing w:line="400" w:lineRule="exact"/>
              <w:jc w:val="center"/>
              <w:rPr>
                <w:rFonts w:hint="eastAsia" w:ascii="宋体" w:hAnsi="宋体"/>
                <w:color w:val="auto"/>
                <w:sz w:val="22"/>
                <w:szCs w:val="22"/>
                <w:highlight w:val="none"/>
              </w:rPr>
            </w:pPr>
          </w:p>
        </w:tc>
        <w:tc>
          <w:tcPr>
            <w:tcW w:w="1260" w:type="dxa"/>
            <w:noWrap w:val="0"/>
            <w:vAlign w:val="center"/>
          </w:tcPr>
          <w:p w14:paraId="75A1FA4A">
            <w:pPr>
              <w:spacing w:line="400" w:lineRule="exact"/>
              <w:jc w:val="center"/>
              <w:rPr>
                <w:rFonts w:hint="eastAsia" w:ascii="宋体" w:hAnsi="宋体"/>
                <w:color w:val="auto"/>
                <w:sz w:val="22"/>
                <w:szCs w:val="22"/>
                <w:highlight w:val="none"/>
              </w:rPr>
            </w:pPr>
          </w:p>
        </w:tc>
        <w:tc>
          <w:tcPr>
            <w:tcW w:w="1620" w:type="dxa"/>
            <w:noWrap w:val="0"/>
            <w:vAlign w:val="center"/>
          </w:tcPr>
          <w:p w14:paraId="7F41B0AF">
            <w:pPr>
              <w:spacing w:line="400" w:lineRule="exact"/>
              <w:jc w:val="center"/>
              <w:rPr>
                <w:rFonts w:hint="eastAsia" w:ascii="宋体" w:hAnsi="宋体"/>
                <w:color w:val="auto"/>
                <w:sz w:val="22"/>
                <w:szCs w:val="22"/>
                <w:highlight w:val="none"/>
              </w:rPr>
            </w:pPr>
          </w:p>
        </w:tc>
        <w:tc>
          <w:tcPr>
            <w:tcW w:w="1080" w:type="dxa"/>
            <w:noWrap w:val="0"/>
            <w:vAlign w:val="center"/>
          </w:tcPr>
          <w:p w14:paraId="0BC6AEF1">
            <w:pPr>
              <w:spacing w:line="400" w:lineRule="exact"/>
              <w:jc w:val="center"/>
              <w:rPr>
                <w:rFonts w:hint="eastAsia" w:ascii="宋体" w:hAnsi="宋体"/>
                <w:color w:val="auto"/>
                <w:sz w:val="22"/>
                <w:szCs w:val="22"/>
                <w:highlight w:val="none"/>
              </w:rPr>
            </w:pPr>
          </w:p>
        </w:tc>
        <w:tc>
          <w:tcPr>
            <w:tcW w:w="1620" w:type="dxa"/>
            <w:noWrap w:val="0"/>
            <w:vAlign w:val="center"/>
          </w:tcPr>
          <w:p w14:paraId="23A5A052">
            <w:pPr>
              <w:spacing w:line="400" w:lineRule="exact"/>
              <w:jc w:val="center"/>
              <w:rPr>
                <w:rFonts w:hint="eastAsia" w:ascii="宋体" w:hAnsi="宋体"/>
                <w:color w:val="auto"/>
                <w:sz w:val="22"/>
                <w:szCs w:val="22"/>
                <w:highlight w:val="none"/>
              </w:rPr>
            </w:pPr>
          </w:p>
        </w:tc>
      </w:tr>
      <w:tr w14:paraId="6A22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521E1F82">
            <w:pPr>
              <w:spacing w:line="400" w:lineRule="exact"/>
              <w:jc w:val="center"/>
              <w:rPr>
                <w:rFonts w:hint="eastAsia" w:ascii="宋体" w:hAnsi="宋体"/>
                <w:color w:val="auto"/>
                <w:sz w:val="22"/>
                <w:szCs w:val="22"/>
                <w:highlight w:val="none"/>
              </w:rPr>
            </w:pPr>
          </w:p>
        </w:tc>
        <w:tc>
          <w:tcPr>
            <w:tcW w:w="2160" w:type="dxa"/>
            <w:noWrap w:val="0"/>
            <w:vAlign w:val="center"/>
          </w:tcPr>
          <w:p w14:paraId="5E9AD73D">
            <w:pPr>
              <w:spacing w:line="400" w:lineRule="exact"/>
              <w:jc w:val="center"/>
              <w:rPr>
                <w:rFonts w:hint="eastAsia" w:ascii="宋体" w:hAnsi="宋体"/>
                <w:color w:val="auto"/>
                <w:sz w:val="22"/>
                <w:szCs w:val="22"/>
                <w:highlight w:val="none"/>
              </w:rPr>
            </w:pPr>
          </w:p>
        </w:tc>
        <w:tc>
          <w:tcPr>
            <w:tcW w:w="1440" w:type="dxa"/>
            <w:noWrap w:val="0"/>
            <w:vAlign w:val="center"/>
          </w:tcPr>
          <w:p w14:paraId="199B0F6B">
            <w:pPr>
              <w:spacing w:line="400" w:lineRule="exact"/>
              <w:jc w:val="center"/>
              <w:rPr>
                <w:rFonts w:hint="eastAsia" w:ascii="宋体" w:hAnsi="宋体"/>
                <w:color w:val="auto"/>
                <w:sz w:val="22"/>
                <w:szCs w:val="22"/>
                <w:highlight w:val="none"/>
              </w:rPr>
            </w:pPr>
          </w:p>
        </w:tc>
        <w:tc>
          <w:tcPr>
            <w:tcW w:w="1260" w:type="dxa"/>
            <w:noWrap w:val="0"/>
            <w:vAlign w:val="center"/>
          </w:tcPr>
          <w:p w14:paraId="3ACBF30C">
            <w:pPr>
              <w:spacing w:line="400" w:lineRule="exact"/>
              <w:jc w:val="center"/>
              <w:rPr>
                <w:rFonts w:hint="eastAsia" w:ascii="宋体" w:hAnsi="宋体"/>
                <w:color w:val="auto"/>
                <w:sz w:val="22"/>
                <w:szCs w:val="22"/>
                <w:highlight w:val="none"/>
              </w:rPr>
            </w:pPr>
          </w:p>
        </w:tc>
        <w:tc>
          <w:tcPr>
            <w:tcW w:w="1620" w:type="dxa"/>
            <w:noWrap w:val="0"/>
            <w:vAlign w:val="center"/>
          </w:tcPr>
          <w:p w14:paraId="3948A440">
            <w:pPr>
              <w:spacing w:line="400" w:lineRule="exact"/>
              <w:jc w:val="center"/>
              <w:rPr>
                <w:rFonts w:hint="eastAsia" w:ascii="宋体" w:hAnsi="宋体"/>
                <w:color w:val="auto"/>
                <w:sz w:val="22"/>
                <w:szCs w:val="22"/>
                <w:highlight w:val="none"/>
              </w:rPr>
            </w:pPr>
          </w:p>
        </w:tc>
        <w:tc>
          <w:tcPr>
            <w:tcW w:w="1080" w:type="dxa"/>
            <w:noWrap w:val="0"/>
            <w:vAlign w:val="center"/>
          </w:tcPr>
          <w:p w14:paraId="7B49C0BE">
            <w:pPr>
              <w:spacing w:line="400" w:lineRule="exact"/>
              <w:jc w:val="center"/>
              <w:rPr>
                <w:rFonts w:hint="eastAsia" w:ascii="宋体" w:hAnsi="宋体"/>
                <w:color w:val="auto"/>
                <w:sz w:val="22"/>
                <w:szCs w:val="22"/>
                <w:highlight w:val="none"/>
              </w:rPr>
            </w:pPr>
          </w:p>
        </w:tc>
        <w:tc>
          <w:tcPr>
            <w:tcW w:w="1620" w:type="dxa"/>
            <w:noWrap w:val="0"/>
            <w:vAlign w:val="center"/>
          </w:tcPr>
          <w:p w14:paraId="707FE756">
            <w:pPr>
              <w:spacing w:line="400" w:lineRule="exact"/>
              <w:jc w:val="center"/>
              <w:rPr>
                <w:rFonts w:hint="eastAsia" w:ascii="宋体" w:hAnsi="宋体"/>
                <w:color w:val="auto"/>
                <w:sz w:val="22"/>
                <w:szCs w:val="22"/>
                <w:highlight w:val="none"/>
              </w:rPr>
            </w:pPr>
          </w:p>
        </w:tc>
      </w:tr>
      <w:tr w14:paraId="2E51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56D2D3F7">
            <w:pPr>
              <w:spacing w:line="400" w:lineRule="exact"/>
              <w:jc w:val="center"/>
              <w:rPr>
                <w:rFonts w:hint="eastAsia" w:ascii="宋体" w:hAnsi="宋体"/>
                <w:color w:val="auto"/>
                <w:sz w:val="22"/>
                <w:szCs w:val="22"/>
                <w:highlight w:val="none"/>
              </w:rPr>
            </w:pPr>
          </w:p>
        </w:tc>
        <w:tc>
          <w:tcPr>
            <w:tcW w:w="2160" w:type="dxa"/>
            <w:noWrap w:val="0"/>
            <w:vAlign w:val="center"/>
          </w:tcPr>
          <w:p w14:paraId="5CF573D7">
            <w:pPr>
              <w:spacing w:line="400" w:lineRule="exact"/>
              <w:jc w:val="center"/>
              <w:rPr>
                <w:rFonts w:hint="eastAsia" w:ascii="宋体" w:hAnsi="宋体"/>
                <w:color w:val="auto"/>
                <w:sz w:val="22"/>
                <w:szCs w:val="22"/>
                <w:highlight w:val="none"/>
              </w:rPr>
            </w:pPr>
          </w:p>
        </w:tc>
        <w:tc>
          <w:tcPr>
            <w:tcW w:w="1440" w:type="dxa"/>
            <w:noWrap w:val="0"/>
            <w:vAlign w:val="center"/>
          </w:tcPr>
          <w:p w14:paraId="13A53A2C">
            <w:pPr>
              <w:spacing w:line="400" w:lineRule="exact"/>
              <w:jc w:val="center"/>
              <w:rPr>
                <w:rFonts w:hint="eastAsia" w:ascii="宋体" w:hAnsi="宋体"/>
                <w:color w:val="auto"/>
                <w:sz w:val="22"/>
                <w:szCs w:val="22"/>
                <w:highlight w:val="none"/>
              </w:rPr>
            </w:pPr>
          </w:p>
        </w:tc>
        <w:tc>
          <w:tcPr>
            <w:tcW w:w="1260" w:type="dxa"/>
            <w:noWrap w:val="0"/>
            <w:vAlign w:val="center"/>
          </w:tcPr>
          <w:p w14:paraId="28658513">
            <w:pPr>
              <w:spacing w:line="400" w:lineRule="exact"/>
              <w:jc w:val="center"/>
              <w:rPr>
                <w:rFonts w:hint="eastAsia" w:ascii="宋体" w:hAnsi="宋体"/>
                <w:color w:val="auto"/>
                <w:sz w:val="22"/>
                <w:szCs w:val="22"/>
                <w:highlight w:val="none"/>
              </w:rPr>
            </w:pPr>
          </w:p>
        </w:tc>
        <w:tc>
          <w:tcPr>
            <w:tcW w:w="1620" w:type="dxa"/>
            <w:noWrap w:val="0"/>
            <w:vAlign w:val="center"/>
          </w:tcPr>
          <w:p w14:paraId="36AFD803">
            <w:pPr>
              <w:spacing w:line="400" w:lineRule="exact"/>
              <w:jc w:val="center"/>
              <w:rPr>
                <w:rFonts w:hint="eastAsia" w:ascii="宋体" w:hAnsi="宋体"/>
                <w:color w:val="auto"/>
                <w:sz w:val="22"/>
                <w:szCs w:val="22"/>
                <w:highlight w:val="none"/>
              </w:rPr>
            </w:pPr>
          </w:p>
        </w:tc>
        <w:tc>
          <w:tcPr>
            <w:tcW w:w="1080" w:type="dxa"/>
            <w:noWrap w:val="0"/>
            <w:vAlign w:val="center"/>
          </w:tcPr>
          <w:p w14:paraId="6ED1AAD5">
            <w:pPr>
              <w:spacing w:line="400" w:lineRule="exact"/>
              <w:jc w:val="center"/>
              <w:rPr>
                <w:rFonts w:hint="eastAsia" w:ascii="宋体" w:hAnsi="宋体"/>
                <w:color w:val="auto"/>
                <w:sz w:val="22"/>
                <w:szCs w:val="22"/>
                <w:highlight w:val="none"/>
              </w:rPr>
            </w:pPr>
          </w:p>
        </w:tc>
        <w:tc>
          <w:tcPr>
            <w:tcW w:w="1620" w:type="dxa"/>
            <w:noWrap w:val="0"/>
            <w:vAlign w:val="center"/>
          </w:tcPr>
          <w:p w14:paraId="49D4C9E6">
            <w:pPr>
              <w:spacing w:line="400" w:lineRule="exact"/>
              <w:jc w:val="center"/>
              <w:rPr>
                <w:rFonts w:hint="eastAsia" w:ascii="宋体" w:hAnsi="宋体"/>
                <w:color w:val="auto"/>
                <w:sz w:val="22"/>
                <w:szCs w:val="22"/>
                <w:highlight w:val="none"/>
              </w:rPr>
            </w:pPr>
          </w:p>
        </w:tc>
      </w:tr>
      <w:tr w14:paraId="60C5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7B1C24A5">
            <w:pPr>
              <w:spacing w:line="400" w:lineRule="exact"/>
              <w:jc w:val="center"/>
              <w:rPr>
                <w:rFonts w:hint="eastAsia" w:ascii="宋体" w:hAnsi="宋体"/>
                <w:color w:val="auto"/>
                <w:sz w:val="22"/>
                <w:szCs w:val="22"/>
                <w:highlight w:val="none"/>
              </w:rPr>
            </w:pPr>
          </w:p>
        </w:tc>
        <w:tc>
          <w:tcPr>
            <w:tcW w:w="2160" w:type="dxa"/>
            <w:noWrap w:val="0"/>
            <w:vAlign w:val="center"/>
          </w:tcPr>
          <w:p w14:paraId="30CE95DC">
            <w:pPr>
              <w:spacing w:line="400" w:lineRule="exact"/>
              <w:jc w:val="center"/>
              <w:rPr>
                <w:rFonts w:hint="eastAsia" w:ascii="宋体" w:hAnsi="宋体"/>
                <w:color w:val="auto"/>
                <w:sz w:val="22"/>
                <w:szCs w:val="22"/>
                <w:highlight w:val="none"/>
              </w:rPr>
            </w:pPr>
          </w:p>
        </w:tc>
        <w:tc>
          <w:tcPr>
            <w:tcW w:w="1440" w:type="dxa"/>
            <w:noWrap w:val="0"/>
            <w:vAlign w:val="center"/>
          </w:tcPr>
          <w:p w14:paraId="48CC6FB0">
            <w:pPr>
              <w:spacing w:line="400" w:lineRule="exact"/>
              <w:jc w:val="center"/>
              <w:rPr>
                <w:rFonts w:hint="eastAsia" w:ascii="宋体" w:hAnsi="宋体"/>
                <w:color w:val="auto"/>
                <w:sz w:val="22"/>
                <w:szCs w:val="22"/>
                <w:highlight w:val="none"/>
              </w:rPr>
            </w:pPr>
          </w:p>
        </w:tc>
        <w:tc>
          <w:tcPr>
            <w:tcW w:w="1260" w:type="dxa"/>
            <w:noWrap w:val="0"/>
            <w:vAlign w:val="center"/>
          </w:tcPr>
          <w:p w14:paraId="5D3D29F3">
            <w:pPr>
              <w:spacing w:line="400" w:lineRule="exact"/>
              <w:jc w:val="center"/>
              <w:rPr>
                <w:rFonts w:hint="eastAsia" w:ascii="宋体" w:hAnsi="宋体"/>
                <w:color w:val="auto"/>
                <w:sz w:val="22"/>
                <w:szCs w:val="22"/>
                <w:highlight w:val="none"/>
              </w:rPr>
            </w:pPr>
          </w:p>
        </w:tc>
        <w:tc>
          <w:tcPr>
            <w:tcW w:w="1620" w:type="dxa"/>
            <w:noWrap w:val="0"/>
            <w:vAlign w:val="center"/>
          </w:tcPr>
          <w:p w14:paraId="7D74E86E">
            <w:pPr>
              <w:spacing w:line="400" w:lineRule="exact"/>
              <w:jc w:val="center"/>
              <w:rPr>
                <w:rFonts w:hint="eastAsia" w:ascii="宋体" w:hAnsi="宋体"/>
                <w:color w:val="auto"/>
                <w:sz w:val="22"/>
                <w:szCs w:val="22"/>
                <w:highlight w:val="none"/>
              </w:rPr>
            </w:pPr>
          </w:p>
        </w:tc>
        <w:tc>
          <w:tcPr>
            <w:tcW w:w="1080" w:type="dxa"/>
            <w:noWrap w:val="0"/>
            <w:vAlign w:val="center"/>
          </w:tcPr>
          <w:p w14:paraId="6324CDB3">
            <w:pPr>
              <w:spacing w:line="400" w:lineRule="exact"/>
              <w:jc w:val="center"/>
              <w:rPr>
                <w:rFonts w:hint="eastAsia" w:ascii="宋体" w:hAnsi="宋体"/>
                <w:color w:val="auto"/>
                <w:sz w:val="22"/>
                <w:szCs w:val="22"/>
                <w:highlight w:val="none"/>
              </w:rPr>
            </w:pPr>
          </w:p>
        </w:tc>
        <w:tc>
          <w:tcPr>
            <w:tcW w:w="1620" w:type="dxa"/>
            <w:noWrap w:val="0"/>
            <w:vAlign w:val="center"/>
          </w:tcPr>
          <w:p w14:paraId="64E58C37">
            <w:pPr>
              <w:spacing w:line="400" w:lineRule="exact"/>
              <w:jc w:val="center"/>
              <w:rPr>
                <w:rFonts w:hint="eastAsia" w:ascii="宋体" w:hAnsi="宋体"/>
                <w:color w:val="auto"/>
                <w:sz w:val="22"/>
                <w:szCs w:val="22"/>
                <w:highlight w:val="none"/>
              </w:rPr>
            </w:pPr>
          </w:p>
        </w:tc>
      </w:tr>
      <w:tr w14:paraId="6597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412F2288">
            <w:pPr>
              <w:spacing w:line="400" w:lineRule="exact"/>
              <w:jc w:val="center"/>
              <w:rPr>
                <w:rFonts w:hint="eastAsia" w:ascii="宋体" w:hAnsi="宋体"/>
                <w:color w:val="auto"/>
                <w:sz w:val="22"/>
                <w:szCs w:val="22"/>
                <w:highlight w:val="none"/>
              </w:rPr>
            </w:pPr>
          </w:p>
        </w:tc>
        <w:tc>
          <w:tcPr>
            <w:tcW w:w="2160" w:type="dxa"/>
            <w:noWrap w:val="0"/>
            <w:vAlign w:val="center"/>
          </w:tcPr>
          <w:p w14:paraId="0E297898">
            <w:pPr>
              <w:spacing w:line="400" w:lineRule="exact"/>
              <w:jc w:val="center"/>
              <w:rPr>
                <w:rFonts w:hint="eastAsia" w:ascii="宋体" w:hAnsi="宋体"/>
                <w:color w:val="auto"/>
                <w:sz w:val="22"/>
                <w:szCs w:val="22"/>
                <w:highlight w:val="none"/>
              </w:rPr>
            </w:pPr>
          </w:p>
        </w:tc>
        <w:tc>
          <w:tcPr>
            <w:tcW w:w="1440" w:type="dxa"/>
            <w:noWrap w:val="0"/>
            <w:vAlign w:val="center"/>
          </w:tcPr>
          <w:p w14:paraId="0765EE20">
            <w:pPr>
              <w:spacing w:line="400" w:lineRule="exact"/>
              <w:jc w:val="center"/>
              <w:rPr>
                <w:rFonts w:hint="eastAsia" w:ascii="宋体" w:hAnsi="宋体"/>
                <w:color w:val="auto"/>
                <w:sz w:val="22"/>
                <w:szCs w:val="22"/>
                <w:highlight w:val="none"/>
              </w:rPr>
            </w:pPr>
          </w:p>
        </w:tc>
        <w:tc>
          <w:tcPr>
            <w:tcW w:w="1260" w:type="dxa"/>
            <w:noWrap w:val="0"/>
            <w:vAlign w:val="center"/>
          </w:tcPr>
          <w:p w14:paraId="50BF95F4">
            <w:pPr>
              <w:spacing w:line="400" w:lineRule="exact"/>
              <w:jc w:val="center"/>
              <w:rPr>
                <w:rFonts w:hint="eastAsia" w:ascii="宋体" w:hAnsi="宋体"/>
                <w:color w:val="auto"/>
                <w:sz w:val="22"/>
                <w:szCs w:val="22"/>
                <w:highlight w:val="none"/>
              </w:rPr>
            </w:pPr>
          </w:p>
        </w:tc>
        <w:tc>
          <w:tcPr>
            <w:tcW w:w="1620" w:type="dxa"/>
            <w:noWrap w:val="0"/>
            <w:vAlign w:val="center"/>
          </w:tcPr>
          <w:p w14:paraId="0C66E123">
            <w:pPr>
              <w:spacing w:line="400" w:lineRule="exact"/>
              <w:jc w:val="center"/>
              <w:rPr>
                <w:rFonts w:hint="eastAsia" w:ascii="宋体" w:hAnsi="宋体"/>
                <w:color w:val="auto"/>
                <w:sz w:val="22"/>
                <w:szCs w:val="22"/>
                <w:highlight w:val="none"/>
              </w:rPr>
            </w:pPr>
          </w:p>
        </w:tc>
        <w:tc>
          <w:tcPr>
            <w:tcW w:w="1080" w:type="dxa"/>
            <w:noWrap w:val="0"/>
            <w:vAlign w:val="center"/>
          </w:tcPr>
          <w:p w14:paraId="4FB7B61B">
            <w:pPr>
              <w:spacing w:line="400" w:lineRule="exact"/>
              <w:jc w:val="center"/>
              <w:rPr>
                <w:rFonts w:hint="eastAsia" w:ascii="宋体" w:hAnsi="宋体"/>
                <w:color w:val="auto"/>
                <w:sz w:val="22"/>
                <w:szCs w:val="22"/>
                <w:highlight w:val="none"/>
              </w:rPr>
            </w:pPr>
          </w:p>
        </w:tc>
        <w:tc>
          <w:tcPr>
            <w:tcW w:w="1620" w:type="dxa"/>
            <w:noWrap w:val="0"/>
            <w:vAlign w:val="center"/>
          </w:tcPr>
          <w:p w14:paraId="76D464B5">
            <w:pPr>
              <w:spacing w:line="400" w:lineRule="exact"/>
              <w:jc w:val="center"/>
              <w:rPr>
                <w:rFonts w:hint="eastAsia" w:ascii="宋体" w:hAnsi="宋体"/>
                <w:color w:val="auto"/>
                <w:sz w:val="22"/>
                <w:szCs w:val="22"/>
                <w:highlight w:val="none"/>
              </w:rPr>
            </w:pPr>
          </w:p>
        </w:tc>
      </w:tr>
      <w:tr w14:paraId="525C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4D34D61B">
            <w:pPr>
              <w:spacing w:line="400" w:lineRule="exact"/>
              <w:jc w:val="center"/>
              <w:rPr>
                <w:rFonts w:hint="eastAsia" w:ascii="宋体" w:hAnsi="宋体"/>
                <w:color w:val="auto"/>
                <w:sz w:val="22"/>
                <w:szCs w:val="22"/>
                <w:highlight w:val="none"/>
              </w:rPr>
            </w:pPr>
          </w:p>
        </w:tc>
        <w:tc>
          <w:tcPr>
            <w:tcW w:w="2160" w:type="dxa"/>
            <w:noWrap w:val="0"/>
            <w:vAlign w:val="center"/>
          </w:tcPr>
          <w:p w14:paraId="0FA1F013">
            <w:pPr>
              <w:spacing w:line="400" w:lineRule="exact"/>
              <w:jc w:val="center"/>
              <w:rPr>
                <w:rFonts w:hint="eastAsia" w:ascii="宋体" w:hAnsi="宋体"/>
                <w:color w:val="auto"/>
                <w:sz w:val="22"/>
                <w:szCs w:val="22"/>
                <w:highlight w:val="none"/>
              </w:rPr>
            </w:pPr>
          </w:p>
        </w:tc>
        <w:tc>
          <w:tcPr>
            <w:tcW w:w="1440" w:type="dxa"/>
            <w:noWrap w:val="0"/>
            <w:vAlign w:val="center"/>
          </w:tcPr>
          <w:p w14:paraId="252AF068">
            <w:pPr>
              <w:spacing w:line="400" w:lineRule="exact"/>
              <w:jc w:val="center"/>
              <w:rPr>
                <w:rFonts w:hint="eastAsia" w:ascii="宋体" w:hAnsi="宋体"/>
                <w:color w:val="auto"/>
                <w:sz w:val="22"/>
                <w:szCs w:val="22"/>
                <w:highlight w:val="none"/>
              </w:rPr>
            </w:pPr>
          </w:p>
        </w:tc>
        <w:tc>
          <w:tcPr>
            <w:tcW w:w="1260" w:type="dxa"/>
            <w:noWrap w:val="0"/>
            <w:vAlign w:val="center"/>
          </w:tcPr>
          <w:p w14:paraId="29F06D1F">
            <w:pPr>
              <w:spacing w:line="400" w:lineRule="exact"/>
              <w:jc w:val="center"/>
              <w:rPr>
                <w:rFonts w:hint="eastAsia" w:ascii="宋体" w:hAnsi="宋体"/>
                <w:color w:val="auto"/>
                <w:sz w:val="22"/>
                <w:szCs w:val="22"/>
                <w:highlight w:val="none"/>
              </w:rPr>
            </w:pPr>
          </w:p>
        </w:tc>
        <w:tc>
          <w:tcPr>
            <w:tcW w:w="1620" w:type="dxa"/>
            <w:noWrap w:val="0"/>
            <w:vAlign w:val="center"/>
          </w:tcPr>
          <w:p w14:paraId="31B0E158">
            <w:pPr>
              <w:spacing w:line="400" w:lineRule="exact"/>
              <w:jc w:val="center"/>
              <w:rPr>
                <w:rFonts w:hint="eastAsia" w:ascii="宋体" w:hAnsi="宋体"/>
                <w:color w:val="auto"/>
                <w:sz w:val="22"/>
                <w:szCs w:val="22"/>
                <w:highlight w:val="none"/>
              </w:rPr>
            </w:pPr>
          </w:p>
        </w:tc>
        <w:tc>
          <w:tcPr>
            <w:tcW w:w="1080" w:type="dxa"/>
            <w:noWrap w:val="0"/>
            <w:vAlign w:val="center"/>
          </w:tcPr>
          <w:p w14:paraId="486CE31F">
            <w:pPr>
              <w:spacing w:line="400" w:lineRule="exact"/>
              <w:jc w:val="center"/>
              <w:rPr>
                <w:rFonts w:hint="eastAsia" w:ascii="宋体" w:hAnsi="宋体"/>
                <w:color w:val="auto"/>
                <w:sz w:val="22"/>
                <w:szCs w:val="22"/>
                <w:highlight w:val="none"/>
              </w:rPr>
            </w:pPr>
          </w:p>
        </w:tc>
        <w:tc>
          <w:tcPr>
            <w:tcW w:w="1620" w:type="dxa"/>
            <w:noWrap w:val="0"/>
            <w:vAlign w:val="center"/>
          </w:tcPr>
          <w:p w14:paraId="4D07CECC">
            <w:pPr>
              <w:spacing w:line="400" w:lineRule="exact"/>
              <w:jc w:val="center"/>
              <w:rPr>
                <w:rFonts w:hint="eastAsia" w:ascii="宋体" w:hAnsi="宋体"/>
                <w:color w:val="auto"/>
                <w:sz w:val="22"/>
                <w:szCs w:val="22"/>
                <w:highlight w:val="none"/>
              </w:rPr>
            </w:pPr>
          </w:p>
        </w:tc>
      </w:tr>
      <w:tr w14:paraId="1825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787758B6">
            <w:pPr>
              <w:spacing w:line="400" w:lineRule="exact"/>
              <w:jc w:val="center"/>
              <w:rPr>
                <w:rFonts w:hint="eastAsia" w:ascii="宋体" w:hAnsi="宋体"/>
                <w:color w:val="auto"/>
                <w:sz w:val="22"/>
                <w:szCs w:val="22"/>
                <w:highlight w:val="none"/>
              </w:rPr>
            </w:pPr>
          </w:p>
        </w:tc>
        <w:tc>
          <w:tcPr>
            <w:tcW w:w="2160" w:type="dxa"/>
            <w:noWrap w:val="0"/>
            <w:vAlign w:val="center"/>
          </w:tcPr>
          <w:p w14:paraId="3629E8F6">
            <w:pPr>
              <w:spacing w:line="400" w:lineRule="exact"/>
              <w:jc w:val="center"/>
              <w:rPr>
                <w:rFonts w:hint="eastAsia" w:ascii="宋体" w:hAnsi="宋体"/>
                <w:color w:val="auto"/>
                <w:sz w:val="22"/>
                <w:szCs w:val="22"/>
                <w:highlight w:val="none"/>
              </w:rPr>
            </w:pPr>
          </w:p>
        </w:tc>
        <w:tc>
          <w:tcPr>
            <w:tcW w:w="1440" w:type="dxa"/>
            <w:noWrap w:val="0"/>
            <w:vAlign w:val="center"/>
          </w:tcPr>
          <w:p w14:paraId="36DC884A">
            <w:pPr>
              <w:spacing w:line="400" w:lineRule="exact"/>
              <w:jc w:val="center"/>
              <w:rPr>
                <w:rFonts w:hint="eastAsia" w:ascii="宋体" w:hAnsi="宋体"/>
                <w:color w:val="auto"/>
                <w:sz w:val="22"/>
                <w:szCs w:val="22"/>
                <w:highlight w:val="none"/>
              </w:rPr>
            </w:pPr>
          </w:p>
        </w:tc>
        <w:tc>
          <w:tcPr>
            <w:tcW w:w="1260" w:type="dxa"/>
            <w:noWrap w:val="0"/>
            <w:vAlign w:val="center"/>
          </w:tcPr>
          <w:p w14:paraId="6BE31F18">
            <w:pPr>
              <w:spacing w:line="400" w:lineRule="exact"/>
              <w:jc w:val="center"/>
              <w:rPr>
                <w:rFonts w:hint="eastAsia" w:ascii="宋体" w:hAnsi="宋体"/>
                <w:color w:val="auto"/>
                <w:sz w:val="22"/>
                <w:szCs w:val="22"/>
                <w:highlight w:val="none"/>
              </w:rPr>
            </w:pPr>
          </w:p>
        </w:tc>
        <w:tc>
          <w:tcPr>
            <w:tcW w:w="1620" w:type="dxa"/>
            <w:noWrap w:val="0"/>
            <w:vAlign w:val="center"/>
          </w:tcPr>
          <w:p w14:paraId="362BFB86">
            <w:pPr>
              <w:spacing w:line="400" w:lineRule="exact"/>
              <w:jc w:val="center"/>
              <w:rPr>
                <w:rFonts w:hint="eastAsia" w:ascii="宋体" w:hAnsi="宋体"/>
                <w:color w:val="auto"/>
                <w:sz w:val="22"/>
                <w:szCs w:val="22"/>
                <w:highlight w:val="none"/>
              </w:rPr>
            </w:pPr>
          </w:p>
        </w:tc>
        <w:tc>
          <w:tcPr>
            <w:tcW w:w="1080" w:type="dxa"/>
            <w:noWrap w:val="0"/>
            <w:vAlign w:val="center"/>
          </w:tcPr>
          <w:p w14:paraId="2B1C0FEE">
            <w:pPr>
              <w:spacing w:line="400" w:lineRule="exact"/>
              <w:jc w:val="center"/>
              <w:rPr>
                <w:rFonts w:hint="eastAsia" w:ascii="宋体" w:hAnsi="宋体"/>
                <w:color w:val="auto"/>
                <w:sz w:val="22"/>
                <w:szCs w:val="22"/>
                <w:highlight w:val="none"/>
              </w:rPr>
            </w:pPr>
          </w:p>
        </w:tc>
        <w:tc>
          <w:tcPr>
            <w:tcW w:w="1620" w:type="dxa"/>
            <w:noWrap w:val="0"/>
            <w:vAlign w:val="center"/>
          </w:tcPr>
          <w:p w14:paraId="4C940177">
            <w:pPr>
              <w:spacing w:line="400" w:lineRule="exact"/>
              <w:jc w:val="center"/>
              <w:rPr>
                <w:rFonts w:hint="eastAsia" w:ascii="宋体" w:hAnsi="宋体"/>
                <w:color w:val="auto"/>
                <w:sz w:val="22"/>
                <w:szCs w:val="22"/>
                <w:highlight w:val="none"/>
              </w:rPr>
            </w:pPr>
          </w:p>
        </w:tc>
      </w:tr>
      <w:tr w14:paraId="34C9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193542ED">
            <w:pPr>
              <w:spacing w:line="400" w:lineRule="exact"/>
              <w:jc w:val="center"/>
              <w:rPr>
                <w:rFonts w:hint="eastAsia" w:ascii="宋体" w:hAnsi="宋体"/>
                <w:color w:val="auto"/>
                <w:sz w:val="22"/>
                <w:szCs w:val="22"/>
                <w:highlight w:val="none"/>
              </w:rPr>
            </w:pPr>
          </w:p>
        </w:tc>
        <w:tc>
          <w:tcPr>
            <w:tcW w:w="2160" w:type="dxa"/>
            <w:noWrap w:val="0"/>
            <w:vAlign w:val="center"/>
          </w:tcPr>
          <w:p w14:paraId="35282633">
            <w:pPr>
              <w:spacing w:line="400" w:lineRule="exact"/>
              <w:jc w:val="center"/>
              <w:rPr>
                <w:rFonts w:hint="eastAsia" w:ascii="宋体" w:hAnsi="宋体"/>
                <w:color w:val="auto"/>
                <w:sz w:val="22"/>
                <w:szCs w:val="22"/>
                <w:highlight w:val="none"/>
              </w:rPr>
            </w:pPr>
          </w:p>
        </w:tc>
        <w:tc>
          <w:tcPr>
            <w:tcW w:w="1440" w:type="dxa"/>
            <w:noWrap w:val="0"/>
            <w:vAlign w:val="center"/>
          </w:tcPr>
          <w:p w14:paraId="305C0484">
            <w:pPr>
              <w:spacing w:line="400" w:lineRule="exact"/>
              <w:jc w:val="center"/>
              <w:rPr>
                <w:rFonts w:hint="eastAsia" w:ascii="宋体" w:hAnsi="宋体"/>
                <w:color w:val="auto"/>
                <w:sz w:val="22"/>
                <w:szCs w:val="22"/>
                <w:highlight w:val="none"/>
              </w:rPr>
            </w:pPr>
          </w:p>
        </w:tc>
        <w:tc>
          <w:tcPr>
            <w:tcW w:w="1260" w:type="dxa"/>
            <w:noWrap w:val="0"/>
            <w:vAlign w:val="center"/>
          </w:tcPr>
          <w:p w14:paraId="7DFA2245">
            <w:pPr>
              <w:spacing w:line="400" w:lineRule="exact"/>
              <w:jc w:val="center"/>
              <w:rPr>
                <w:rFonts w:hint="eastAsia" w:ascii="宋体" w:hAnsi="宋体"/>
                <w:color w:val="auto"/>
                <w:sz w:val="22"/>
                <w:szCs w:val="22"/>
                <w:highlight w:val="none"/>
              </w:rPr>
            </w:pPr>
          </w:p>
        </w:tc>
        <w:tc>
          <w:tcPr>
            <w:tcW w:w="1620" w:type="dxa"/>
            <w:noWrap w:val="0"/>
            <w:vAlign w:val="center"/>
          </w:tcPr>
          <w:p w14:paraId="4F1CEC69">
            <w:pPr>
              <w:spacing w:line="400" w:lineRule="exact"/>
              <w:jc w:val="center"/>
              <w:rPr>
                <w:rFonts w:hint="eastAsia" w:ascii="宋体" w:hAnsi="宋体"/>
                <w:color w:val="auto"/>
                <w:sz w:val="22"/>
                <w:szCs w:val="22"/>
                <w:highlight w:val="none"/>
              </w:rPr>
            </w:pPr>
          </w:p>
        </w:tc>
        <w:tc>
          <w:tcPr>
            <w:tcW w:w="1080" w:type="dxa"/>
            <w:noWrap w:val="0"/>
            <w:vAlign w:val="center"/>
          </w:tcPr>
          <w:p w14:paraId="755A0E4F">
            <w:pPr>
              <w:spacing w:line="400" w:lineRule="exact"/>
              <w:jc w:val="center"/>
              <w:rPr>
                <w:rFonts w:hint="eastAsia" w:ascii="宋体" w:hAnsi="宋体"/>
                <w:color w:val="auto"/>
                <w:sz w:val="22"/>
                <w:szCs w:val="22"/>
                <w:highlight w:val="none"/>
              </w:rPr>
            </w:pPr>
          </w:p>
        </w:tc>
        <w:tc>
          <w:tcPr>
            <w:tcW w:w="1620" w:type="dxa"/>
            <w:noWrap w:val="0"/>
            <w:vAlign w:val="center"/>
          </w:tcPr>
          <w:p w14:paraId="224BF6BF">
            <w:pPr>
              <w:spacing w:line="400" w:lineRule="exact"/>
              <w:jc w:val="center"/>
              <w:rPr>
                <w:rFonts w:hint="eastAsia" w:ascii="宋体" w:hAnsi="宋体"/>
                <w:color w:val="auto"/>
                <w:sz w:val="22"/>
                <w:szCs w:val="22"/>
                <w:highlight w:val="none"/>
              </w:rPr>
            </w:pPr>
          </w:p>
        </w:tc>
      </w:tr>
      <w:tr w14:paraId="339E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624EAC83">
            <w:pPr>
              <w:spacing w:line="400" w:lineRule="exact"/>
              <w:jc w:val="center"/>
              <w:rPr>
                <w:rFonts w:hint="eastAsia" w:ascii="宋体" w:hAnsi="宋体"/>
                <w:color w:val="auto"/>
                <w:sz w:val="22"/>
                <w:szCs w:val="22"/>
                <w:highlight w:val="none"/>
              </w:rPr>
            </w:pPr>
          </w:p>
        </w:tc>
        <w:tc>
          <w:tcPr>
            <w:tcW w:w="2160" w:type="dxa"/>
            <w:noWrap w:val="0"/>
            <w:vAlign w:val="center"/>
          </w:tcPr>
          <w:p w14:paraId="08A4A0D1">
            <w:pPr>
              <w:spacing w:line="400" w:lineRule="exact"/>
              <w:jc w:val="center"/>
              <w:rPr>
                <w:rFonts w:hint="eastAsia" w:ascii="宋体" w:hAnsi="宋体"/>
                <w:color w:val="auto"/>
                <w:sz w:val="22"/>
                <w:szCs w:val="22"/>
                <w:highlight w:val="none"/>
              </w:rPr>
            </w:pPr>
          </w:p>
        </w:tc>
        <w:tc>
          <w:tcPr>
            <w:tcW w:w="1440" w:type="dxa"/>
            <w:noWrap w:val="0"/>
            <w:vAlign w:val="center"/>
          </w:tcPr>
          <w:p w14:paraId="52317DAD">
            <w:pPr>
              <w:spacing w:line="400" w:lineRule="exact"/>
              <w:jc w:val="center"/>
              <w:rPr>
                <w:rFonts w:hint="eastAsia" w:ascii="宋体" w:hAnsi="宋体"/>
                <w:color w:val="auto"/>
                <w:sz w:val="22"/>
                <w:szCs w:val="22"/>
                <w:highlight w:val="none"/>
              </w:rPr>
            </w:pPr>
          </w:p>
        </w:tc>
        <w:tc>
          <w:tcPr>
            <w:tcW w:w="1260" w:type="dxa"/>
            <w:noWrap w:val="0"/>
            <w:vAlign w:val="center"/>
          </w:tcPr>
          <w:p w14:paraId="672FA93C">
            <w:pPr>
              <w:spacing w:line="400" w:lineRule="exact"/>
              <w:jc w:val="center"/>
              <w:rPr>
                <w:rFonts w:hint="eastAsia" w:ascii="宋体" w:hAnsi="宋体"/>
                <w:color w:val="auto"/>
                <w:sz w:val="22"/>
                <w:szCs w:val="22"/>
                <w:highlight w:val="none"/>
              </w:rPr>
            </w:pPr>
          </w:p>
        </w:tc>
        <w:tc>
          <w:tcPr>
            <w:tcW w:w="1620" w:type="dxa"/>
            <w:noWrap w:val="0"/>
            <w:vAlign w:val="center"/>
          </w:tcPr>
          <w:p w14:paraId="1BC30C7D">
            <w:pPr>
              <w:spacing w:line="400" w:lineRule="exact"/>
              <w:jc w:val="center"/>
              <w:rPr>
                <w:rFonts w:hint="eastAsia" w:ascii="宋体" w:hAnsi="宋体"/>
                <w:color w:val="auto"/>
                <w:sz w:val="22"/>
                <w:szCs w:val="22"/>
                <w:highlight w:val="none"/>
              </w:rPr>
            </w:pPr>
          </w:p>
        </w:tc>
        <w:tc>
          <w:tcPr>
            <w:tcW w:w="1080" w:type="dxa"/>
            <w:noWrap w:val="0"/>
            <w:vAlign w:val="center"/>
          </w:tcPr>
          <w:p w14:paraId="65710E1B">
            <w:pPr>
              <w:spacing w:line="400" w:lineRule="exact"/>
              <w:jc w:val="center"/>
              <w:rPr>
                <w:rFonts w:hint="eastAsia" w:ascii="宋体" w:hAnsi="宋体"/>
                <w:color w:val="auto"/>
                <w:sz w:val="22"/>
                <w:szCs w:val="22"/>
                <w:highlight w:val="none"/>
              </w:rPr>
            </w:pPr>
          </w:p>
        </w:tc>
        <w:tc>
          <w:tcPr>
            <w:tcW w:w="1620" w:type="dxa"/>
            <w:noWrap w:val="0"/>
            <w:vAlign w:val="center"/>
          </w:tcPr>
          <w:p w14:paraId="0E106C92">
            <w:pPr>
              <w:spacing w:line="400" w:lineRule="exact"/>
              <w:jc w:val="center"/>
              <w:rPr>
                <w:rFonts w:hint="eastAsia" w:ascii="宋体" w:hAnsi="宋体"/>
                <w:color w:val="auto"/>
                <w:sz w:val="22"/>
                <w:szCs w:val="22"/>
                <w:highlight w:val="none"/>
              </w:rPr>
            </w:pPr>
          </w:p>
        </w:tc>
      </w:tr>
      <w:tr w14:paraId="12F3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5633CDCD">
            <w:pPr>
              <w:spacing w:line="400" w:lineRule="exact"/>
              <w:jc w:val="center"/>
              <w:rPr>
                <w:rFonts w:hint="eastAsia" w:ascii="宋体" w:hAnsi="宋体"/>
                <w:color w:val="auto"/>
                <w:sz w:val="22"/>
                <w:szCs w:val="22"/>
                <w:highlight w:val="none"/>
              </w:rPr>
            </w:pPr>
          </w:p>
        </w:tc>
        <w:tc>
          <w:tcPr>
            <w:tcW w:w="2160" w:type="dxa"/>
            <w:noWrap w:val="0"/>
            <w:vAlign w:val="center"/>
          </w:tcPr>
          <w:p w14:paraId="182CE4F2">
            <w:pPr>
              <w:spacing w:line="400" w:lineRule="exact"/>
              <w:jc w:val="center"/>
              <w:rPr>
                <w:rFonts w:hint="eastAsia" w:ascii="宋体" w:hAnsi="宋体"/>
                <w:color w:val="auto"/>
                <w:sz w:val="22"/>
                <w:szCs w:val="22"/>
                <w:highlight w:val="none"/>
              </w:rPr>
            </w:pPr>
          </w:p>
        </w:tc>
        <w:tc>
          <w:tcPr>
            <w:tcW w:w="1440" w:type="dxa"/>
            <w:noWrap w:val="0"/>
            <w:vAlign w:val="center"/>
          </w:tcPr>
          <w:p w14:paraId="7EB64AB8">
            <w:pPr>
              <w:spacing w:line="400" w:lineRule="exact"/>
              <w:jc w:val="center"/>
              <w:rPr>
                <w:rFonts w:hint="eastAsia" w:ascii="宋体" w:hAnsi="宋体"/>
                <w:color w:val="auto"/>
                <w:sz w:val="22"/>
                <w:szCs w:val="22"/>
                <w:highlight w:val="none"/>
              </w:rPr>
            </w:pPr>
          </w:p>
        </w:tc>
        <w:tc>
          <w:tcPr>
            <w:tcW w:w="1260" w:type="dxa"/>
            <w:noWrap w:val="0"/>
            <w:vAlign w:val="center"/>
          </w:tcPr>
          <w:p w14:paraId="3BBC67A8">
            <w:pPr>
              <w:spacing w:line="400" w:lineRule="exact"/>
              <w:jc w:val="center"/>
              <w:rPr>
                <w:rFonts w:hint="eastAsia" w:ascii="宋体" w:hAnsi="宋体"/>
                <w:color w:val="auto"/>
                <w:sz w:val="22"/>
                <w:szCs w:val="22"/>
                <w:highlight w:val="none"/>
              </w:rPr>
            </w:pPr>
          </w:p>
        </w:tc>
        <w:tc>
          <w:tcPr>
            <w:tcW w:w="1620" w:type="dxa"/>
            <w:noWrap w:val="0"/>
            <w:vAlign w:val="center"/>
          </w:tcPr>
          <w:p w14:paraId="4E5559DC">
            <w:pPr>
              <w:spacing w:line="400" w:lineRule="exact"/>
              <w:jc w:val="center"/>
              <w:rPr>
                <w:rFonts w:hint="eastAsia" w:ascii="宋体" w:hAnsi="宋体"/>
                <w:color w:val="auto"/>
                <w:sz w:val="22"/>
                <w:szCs w:val="22"/>
                <w:highlight w:val="none"/>
              </w:rPr>
            </w:pPr>
          </w:p>
        </w:tc>
        <w:tc>
          <w:tcPr>
            <w:tcW w:w="1080" w:type="dxa"/>
            <w:noWrap w:val="0"/>
            <w:vAlign w:val="center"/>
          </w:tcPr>
          <w:p w14:paraId="1EEAECFE">
            <w:pPr>
              <w:spacing w:line="400" w:lineRule="exact"/>
              <w:jc w:val="center"/>
              <w:rPr>
                <w:rFonts w:hint="eastAsia" w:ascii="宋体" w:hAnsi="宋体"/>
                <w:color w:val="auto"/>
                <w:sz w:val="22"/>
                <w:szCs w:val="22"/>
                <w:highlight w:val="none"/>
              </w:rPr>
            </w:pPr>
          </w:p>
        </w:tc>
        <w:tc>
          <w:tcPr>
            <w:tcW w:w="1620" w:type="dxa"/>
            <w:noWrap w:val="0"/>
            <w:vAlign w:val="center"/>
          </w:tcPr>
          <w:p w14:paraId="685F9BB2">
            <w:pPr>
              <w:spacing w:line="400" w:lineRule="exact"/>
              <w:jc w:val="center"/>
              <w:rPr>
                <w:rFonts w:hint="eastAsia" w:ascii="宋体" w:hAnsi="宋体"/>
                <w:color w:val="auto"/>
                <w:sz w:val="22"/>
                <w:szCs w:val="22"/>
                <w:highlight w:val="none"/>
              </w:rPr>
            </w:pPr>
          </w:p>
        </w:tc>
      </w:tr>
      <w:tr w14:paraId="6A66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57DEE541">
            <w:pPr>
              <w:spacing w:line="400" w:lineRule="exact"/>
              <w:jc w:val="center"/>
              <w:rPr>
                <w:rFonts w:hint="eastAsia" w:ascii="宋体" w:hAnsi="宋体"/>
                <w:color w:val="auto"/>
                <w:sz w:val="22"/>
                <w:szCs w:val="22"/>
                <w:highlight w:val="none"/>
              </w:rPr>
            </w:pPr>
          </w:p>
        </w:tc>
        <w:tc>
          <w:tcPr>
            <w:tcW w:w="2160" w:type="dxa"/>
            <w:noWrap w:val="0"/>
            <w:vAlign w:val="center"/>
          </w:tcPr>
          <w:p w14:paraId="1E29E34B">
            <w:pPr>
              <w:spacing w:line="400" w:lineRule="exact"/>
              <w:jc w:val="center"/>
              <w:rPr>
                <w:rFonts w:hint="eastAsia" w:ascii="宋体" w:hAnsi="宋体"/>
                <w:color w:val="auto"/>
                <w:sz w:val="22"/>
                <w:szCs w:val="22"/>
                <w:highlight w:val="none"/>
              </w:rPr>
            </w:pPr>
          </w:p>
        </w:tc>
        <w:tc>
          <w:tcPr>
            <w:tcW w:w="1440" w:type="dxa"/>
            <w:noWrap w:val="0"/>
            <w:vAlign w:val="center"/>
          </w:tcPr>
          <w:p w14:paraId="395D1C95">
            <w:pPr>
              <w:spacing w:line="400" w:lineRule="exact"/>
              <w:jc w:val="center"/>
              <w:rPr>
                <w:rFonts w:hint="eastAsia" w:ascii="宋体" w:hAnsi="宋体"/>
                <w:color w:val="auto"/>
                <w:sz w:val="22"/>
                <w:szCs w:val="22"/>
                <w:highlight w:val="none"/>
              </w:rPr>
            </w:pPr>
          </w:p>
        </w:tc>
        <w:tc>
          <w:tcPr>
            <w:tcW w:w="1260" w:type="dxa"/>
            <w:noWrap w:val="0"/>
            <w:vAlign w:val="center"/>
          </w:tcPr>
          <w:p w14:paraId="22527BA5">
            <w:pPr>
              <w:spacing w:line="400" w:lineRule="exact"/>
              <w:jc w:val="center"/>
              <w:rPr>
                <w:rFonts w:hint="eastAsia" w:ascii="宋体" w:hAnsi="宋体"/>
                <w:color w:val="auto"/>
                <w:sz w:val="22"/>
                <w:szCs w:val="22"/>
                <w:highlight w:val="none"/>
              </w:rPr>
            </w:pPr>
          </w:p>
        </w:tc>
        <w:tc>
          <w:tcPr>
            <w:tcW w:w="1620" w:type="dxa"/>
            <w:noWrap w:val="0"/>
            <w:vAlign w:val="center"/>
          </w:tcPr>
          <w:p w14:paraId="03831A6D">
            <w:pPr>
              <w:spacing w:line="400" w:lineRule="exact"/>
              <w:jc w:val="center"/>
              <w:rPr>
                <w:rFonts w:hint="eastAsia" w:ascii="宋体" w:hAnsi="宋体"/>
                <w:color w:val="auto"/>
                <w:sz w:val="22"/>
                <w:szCs w:val="22"/>
                <w:highlight w:val="none"/>
              </w:rPr>
            </w:pPr>
          </w:p>
        </w:tc>
        <w:tc>
          <w:tcPr>
            <w:tcW w:w="1080" w:type="dxa"/>
            <w:noWrap w:val="0"/>
            <w:vAlign w:val="center"/>
          </w:tcPr>
          <w:p w14:paraId="341F92B1">
            <w:pPr>
              <w:spacing w:line="400" w:lineRule="exact"/>
              <w:jc w:val="center"/>
              <w:rPr>
                <w:rFonts w:hint="eastAsia" w:ascii="宋体" w:hAnsi="宋体"/>
                <w:color w:val="auto"/>
                <w:sz w:val="22"/>
                <w:szCs w:val="22"/>
                <w:highlight w:val="none"/>
              </w:rPr>
            </w:pPr>
          </w:p>
        </w:tc>
        <w:tc>
          <w:tcPr>
            <w:tcW w:w="1620" w:type="dxa"/>
            <w:noWrap w:val="0"/>
            <w:vAlign w:val="center"/>
          </w:tcPr>
          <w:p w14:paraId="1033A216">
            <w:pPr>
              <w:spacing w:line="400" w:lineRule="exact"/>
              <w:jc w:val="center"/>
              <w:rPr>
                <w:rFonts w:hint="eastAsia" w:ascii="宋体" w:hAnsi="宋体"/>
                <w:color w:val="auto"/>
                <w:sz w:val="22"/>
                <w:szCs w:val="22"/>
                <w:highlight w:val="none"/>
              </w:rPr>
            </w:pPr>
          </w:p>
        </w:tc>
      </w:tr>
      <w:tr w14:paraId="496E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4035C3AD">
            <w:pPr>
              <w:spacing w:line="400" w:lineRule="exact"/>
              <w:jc w:val="center"/>
              <w:rPr>
                <w:rFonts w:hint="eastAsia" w:ascii="宋体" w:hAnsi="宋体"/>
                <w:color w:val="auto"/>
                <w:sz w:val="22"/>
                <w:szCs w:val="22"/>
                <w:highlight w:val="none"/>
              </w:rPr>
            </w:pPr>
          </w:p>
        </w:tc>
        <w:tc>
          <w:tcPr>
            <w:tcW w:w="2160" w:type="dxa"/>
            <w:noWrap w:val="0"/>
            <w:vAlign w:val="center"/>
          </w:tcPr>
          <w:p w14:paraId="0FBD43CA">
            <w:pPr>
              <w:spacing w:line="400" w:lineRule="exact"/>
              <w:jc w:val="center"/>
              <w:rPr>
                <w:rFonts w:hint="eastAsia" w:ascii="宋体" w:hAnsi="宋体"/>
                <w:color w:val="auto"/>
                <w:sz w:val="22"/>
                <w:szCs w:val="22"/>
                <w:highlight w:val="none"/>
              </w:rPr>
            </w:pPr>
          </w:p>
        </w:tc>
        <w:tc>
          <w:tcPr>
            <w:tcW w:w="1440" w:type="dxa"/>
            <w:noWrap w:val="0"/>
            <w:vAlign w:val="center"/>
          </w:tcPr>
          <w:p w14:paraId="33C79F9D">
            <w:pPr>
              <w:spacing w:line="400" w:lineRule="exact"/>
              <w:jc w:val="center"/>
              <w:rPr>
                <w:rFonts w:hint="eastAsia" w:ascii="宋体" w:hAnsi="宋体"/>
                <w:color w:val="auto"/>
                <w:sz w:val="22"/>
                <w:szCs w:val="22"/>
                <w:highlight w:val="none"/>
              </w:rPr>
            </w:pPr>
          </w:p>
        </w:tc>
        <w:tc>
          <w:tcPr>
            <w:tcW w:w="1260" w:type="dxa"/>
            <w:noWrap w:val="0"/>
            <w:vAlign w:val="center"/>
          </w:tcPr>
          <w:p w14:paraId="4BA42833">
            <w:pPr>
              <w:spacing w:line="400" w:lineRule="exact"/>
              <w:jc w:val="center"/>
              <w:rPr>
                <w:rFonts w:hint="eastAsia" w:ascii="宋体" w:hAnsi="宋体"/>
                <w:color w:val="auto"/>
                <w:sz w:val="22"/>
                <w:szCs w:val="22"/>
                <w:highlight w:val="none"/>
              </w:rPr>
            </w:pPr>
          </w:p>
        </w:tc>
        <w:tc>
          <w:tcPr>
            <w:tcW w:w="1620" w:type="dxa"/>
            <w:noWrap w:val="0"/>
            <w:vAlign w:val="center"/>
          </w:tcPr>
          <w:p w14:paraId="4278F007">
            <w:pPr>
              <w:spacing w:line="400" w:lineRule="exact"/>
              <w:jc w:val="center"/>
              <w:rPr>
                <w:rFonts w:hint="eastAsia" w:ascii="宋体" w:hAnsi="宋体"/>
                <w:color w:val="auto"/>
                <w:sz w:val="22"/>
                <w:szCs w:val="22"/>
                <w:highlight w:val="none"/>
              </w:rPr>
            </w:pPr>
          </w:p>
        </w:tc>
        <w:tc>
          <w:tcPr>
            <w:tcW w:w="1080" w:type="dxa"/>
            <w:noWrap w:val="0"/>
            <w:vAlign w:val="center"/>
          </w:tcPr>
          <w:p w14:paraId="56226D78">
            <w:pPr>
              <w:spacing w:line="400" w:lineRule="exact"/>
              <w:jc w:val="center"/>
              <w:rPr>
                <w:rFonts w:hint="eastAsia" w:ascii="宋体" w:hAnsi="宋体"/>
                <w:color w:val="auto"/>
                <w:sz w:val="22"/>
                <w:szCs w:val="22"/>
                <w:highlight w:val="none"/>
              </w:rPr>
            </w:pPr>
          </w:p>
        </w:tc>
        <w:tc>
          <w:tcPr>
            <w:tcW w:w="1620" w:type="dxa"/>
            <w:noWrap w:val="0"/>
            <w:vAlign w:val="center"/>
          </w:tcPr>
          <w:p w14:paraId="1783E5B7">
            <w:pPr>
              <w:spacing w:line="400" w:lineRule="exact"/>
              <w:jc w:val="center"/>
              <w:rPr>
                <w:rFonts w:hint="eastAsia" w:ascii="宋体" w:hAnsi="宋体"/>
                <w:color w:val="auto"/>
                <w:sz w:val="22"/>
                <w:szCs w:val="22"/>
                <w:highlight w:val="none"/>
              </w:rPr>
            </w:pPr>
          </w:p>
        </w:tc>
      </w:tr>
      <w:tr w14:paraId="2BB8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494E8221">
            <w:pPr>
              <w:spacing w:line="400" w:lineRule="exact"/>
              <w:jc w:val="center"/>
              <w:rPr>
                <w:rFonts w:hint="eastAsia" w:ascii="宋体" w:hAnsi="宋体"/>
                <w:color w:val="auto"/>
                <w:sz w:val="22"/>
                <w:szCs w:val="22"/>
                <w:highlight w:val="none"/>
              </w:rPr>
            </w:pPr>
          </w:p>
        </w:tc>
        <w:tc>
          <w:tcPr>
            <w:tcW w:w="2160" w:type="dxa"/>
            <w:noWrap w:val="0"/>
            <w:vAlign w:val="center"/>
          </w:tcPr>
          <w:p w14:paraId="653296D2">
            <w:pPr>
              <w:spacing w:line="400" w:lineRule="exact"/>
              <w:jc w:val="center"/>
              <w:rPr>
                <w:rFonts w:hint="eastAsia" w:ascii="宋体" w:hAnsi="宋体"/>
                <w:color w:val="auto"/>
                <w:sz w:val="22"/>
                <w:szCs w:val="22"/>
                <w:highlight w:val="none"/>
              </w:rPr>
            </w:pPr>
          </w:p>
        </w:tc>
        <w:tc>
          <w:tcPr>
            <w:tcW w:w="1440" w:type="dxa"/>
            <w:noWrap w:val="0"/>
            <w:vAlign w:val="center"/>
          </w:tcPr>
          <w:p w14:paraId="45C77958">
            <w:pPr>
              <w:spacing w:line="400" w:lineRule="exact"/>
              <w:jc w:val="center"/>
              <w:rPr>
                <w:rFonts w:hint="eastAsia" w:ascii="宋体" w:hAnsi="宋体"/>
                <w:color w:val="auto"/>
                <w:sz w:val="22"/>
                <w:szCs w:val="22"/>
                <w:highlight w:val="none"/>
              </w:rPr>
            </w:pPr>
          </w:p>
        </w:tc>
        <w:tc>
          <w:tcPr>
            <w:tcW w:w="1260" w:type="dxa"/>
            <w:noWrap w:val="0"/>
            <w:vAlign w:val="center"/>
          </w:tcPr>
          <w:p w14:paraId="47B1398A">
            <w:pPr>
              <w:spacing w:line="400" w:lineRule="exact"/>
              <w:jc w:val="center"/>
              <w:rPr>
                <w:rFonts w:hint="eastAsia" w:ascii="宋体" w:hAnsi="宋体"/>
                <w:color w:val="auto"/>
                <w:sz w:val="22"/>
                <w:szCs w:val="22"/>
                <w:highlight w:val="none"/>
              </w:rPr>
            </w:pPr>
          </w:p>
        </w:tc>
        <w:tc>
          <w:tcPr>
            <w:tcW w:w="1620" w:type="dxa"/>
            <w:noWrap w:val="0"/>
            <w:vAlign w:val="center"/>
          </w:tcPr>
          <w:p w14:paraId="3B78FA3B">
            <w:pPr>
              <w:spacing w:line="400" w:lineRule="exact"/>
              <w:jc w:val="center"/>
              <w:rPr>
                <w:rFonts w:hint="eastAsia" w:ascii="宋体" w:hAnsi="宋体"/>
                <w:color w:val="auto"/>
                <w:sz w:val="22"/>
                <w:szCs w:val="22"/>
                <w:highlight w:val="none"/>
              </w:rPr>
            </w:pPr>
          </w:p>
        </w:tc>
        <w:tc>
          <w:tcPr>
            <w:tcW w:w="1080" w:type="dxa"/>
            <w:noWrap w:val="0"/>
            <w:vAlign w:val="center"/>
          </w:tcPr>
          <w:p w14:paraId="4AA48978">
            <w:pPr>
              <w:spacing w:line="400" w:lineRule="exact"/>
              <w:jc w:val="center"/>
              <w:rPr>
                <w:rFonts w:hint="eastAsia" w:ascii="宋体" w:hAnsi="宋体"/>
                <w:color w:val="auto"/>
                <w:sz w:val="22"/>
                <w:szCs w:val="22"/>
                <w:highlight w:val="none"/>
              </w:rPr>
            </w:pPr>
          </w:p>
        </w:tc>
        <w:tc>
          <w:tcPr>
            <w:tcW w:w="1620" w:type="dxa"/>
            <w:noWrap w:val="0"/>
            <w:vAlign w:val="center"/>
          </w:tcPr>
          <w:p w14:paraId="4F9D9CB1">
            <w:pPr>
              <w:spacing w:line="400" w:lineRule="exact"/>
              <w:jc w:val="center"/>
              <w:rPr>
                <w:rFonts w:hint="eastAsia" w:ascii="宋体" w:hAnsi="宋体"/>
                <w:color w:val="auto"/>
                <w:sz w:val="22"/>
                <w:szCs w:val="22"/>
                <w:highlight w:val="none"/>
              </w:rPr>
            </w:pPr>
          </w:p>
        </w:tc>
      </w:tr>
    </w:tbl>
    <w:p w14:paraId="29D730D9">
      <w:pPr>
        <w:pStyle w:val="26"/>
        <w:spacing w:line="400" w:lineRule="exact"/>
        <w:ind w:left="657" w:leftChars="313"/>
        <w:rPr>
          <w:rFonts w:hint="eastAsia" w:hAnsi="宋体"/>
          <w:bCs/>
          <w:color w:val="auto"/>
          <w:sz w:val="22"/>
          <w:highlight w:val="none"/>
        </w:rPr>
      </w:pPr>
      <w:r>
        <w:rPr>
          <w:rFonts w:hint="eastAsia" w:hAnsi="宋体"/>
          <w:bCs/>
          <w:color w:val="auto"/>
          <w:sz w:val="22"/>
          <w:highlight w:val="none"/>
        </w:rPr>
        <w:t>注：1、本表所列为投标人拟投入的作业机具、设备清单。</w:t>
      </w:r>
    </w:p>
    <w:p w14:paraId="45999FE7">
      <w:pPr>
        <w:pStyle w:val="26"/>
        <w:spacing w:line="400" w:lineRule="exact"/>
        <w:ind w:left="657" w:leftChars="313" w:firstLine="440" w:firstLineChars="200"/>
        <w:rPr>
          <w:rFonts w:hint="eastAsia" w:hAnsi="宋体"/>
          <w:bCs/>
          <w:color w:val="auto"/>
          <w:sz w:val="22"/>
          <w:highlight w:val="none"/>
        </w:rPr>
      </w:pPr>
      <w:r>
        <w:rPr>
          <w:rFonts w:hint="eastAsia" w:hAnsi="宋体"/>
          <w:bCs/>
          <w:color w:val="auto"/>
          <w:sz w:val="22"/>
          <w:highlight w:val="none"/>
        </w:rPr>
        <w:t>2、本表所列设备价格不计入总价，但应在价格中考虑机具、设备的损耗、折旧及有关费用。</w:t>
      </w:r>
    </w:p>
    <w:p w14:paraId="76D1B649">
      <w:pPr>
        <w:pStyle w:val="26"/>
        <w:spacing w:line="400" w:lineRule="exact"/>
        <w:ind w:left="657" w:leftChars="313" w:firstLine="440" w:firstLineChars="200"/>
        <w:rPr>
          <w:rFonts w:hint="eastAsia" w:hAnsi="宋体"/>
          <w:bCs/>
          <w:color w:val="auto"/>
          <w:sz w:val="22"/>
          <w:highlight w:val="none"/>
        </w:rPr>
      </w:pPr>
      <w:r>
        <w:rPr>
          <w:rFonts w:hint="eastAsia" w:hAnsi="宋体"/>
          <w:bCs/>
          <w:color w:val="auto"/>
          <w:sz w:val="22"/>
          <w:highlight w:val="none"/>
        </w:rPr>
        <w:t>3、此表仅提供了表格形式，投标人可按此表格编制。</w:t>
      </w:r>
    </w:p>
    <w:p w14:paraId="09BE0233">
      <w:pPr>
        <w:spacing w:line="400" w:lineRule="exact"/>
        <w:jc w:val="center"/>
        <w:rPr>
          <w:rFonts w:hint="eastAsia" w:ascii="宋体" w:hAnsi="宋体" w:cs="宋体"/>
          <w:color w:val="auto"/>
          <w:sz w:val="24"/>
          <w:highlight w:val="none"/>
        </w:rPr>
      </w:pPr>
    </w:p>
    <w:p w14:paraId="605B958C">
      <w:pPr>
        <w:spacing w:line="400" w:lineRule="exact"/>
        <w:jc w:val="center"/>
        <w:rPr>
          <w:rFonts w:hint="eastAsia" w:ascii="宋体" w:hAnsi="宋体" w:cs="宋体"/>
          <w:color w:val="auto"/>
          <w:sz w:val="24"/>
          <w:highlight w:val="none"/>
        </w:rPr>
      </w:pPr>
    </w:p>
    <w:p w14:paraId="5643E1C4">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4A22242C">
      <w:pPr>
        <w:spacing w:line="40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1C871E3">
      <w:pPr>
        <w:spacing w:line="400" w:lineRule="exact"/>
        <w:jc w:val="center"/>
        <w:rPr>
          <w:rFonts w:hint="eastAsia" w:ascii="宋体" w:hAnsi="宋体"/>
          <w:b/>
          <w:color w:val="auto"/>
          <w:sz w:val="28"/>
          <w:szCs w:val="28"/>
          <w:highlight w:val="none"/>
        </w:rPr>
      </w:pPr>
      <w:r>
        <w:rPr>
          <w:rFonts w:hint="eastAsia" w:ascii="宋体" w:hAnsi="宋体" w:cs="宋体"/>
          <w:color w:val="auto"/>
          <w:sz w:val="24"/>
          <w:highlight w:val="none"/>
        </w:rPr>
        <w:br w:type="page"/>
      </w:r>
      <w:bookmarkStart w:id="96" w:name="_Toc408565765"/>
      <w:r>
        <w:rPr>
          <w:rFonts w:hint="eastAsia" w:ascii="宋体" w:hAnsi="宋体"/>
          <w:b/>
          <w:color w:val="auto"/>
          <w:sz w:val="28"/>
          <w:szCs w:val="28"/>
          <w:highlight w:val="none"/>
        </w:rPr>
        <w:t>（2）拟投入本项目的耗材配备一览表</w:t>
      </w:r>
      <w:bookmarkEnd w:id="96"/>
    </w:p>
    <w:p w14:paraId="2D462D92">
      <w:pPr>
        <w:spacing w:line="400" w:lineRule="exact"/>
        <w:rPr>
          <w:rFonts w:hint="eastAsia" w:ascii="宋体" w:hAnsi="宋体"/>
          <w:b/>
          <w:color w:val="auto"/>
          <w:sz w:val="24"/>
          <w:highlight w:val="none"/>
        </w:rPr>
      </w:pPr>
    </w:p>
    <w:p w14:paraId="1CB315FF">
      <w:pPr>
        <w:spacing w:line="400" w:lineRule="exact"/>
        <w:rPr>
          <w:rFonts w:hint="eastAsia" w:ascii="宋体" w:hAnsi="宋体"/>
          <w:color w:val="auto"/>
          <w:sz w:val="22"/>
          <w:highlight w:val="none"/>
        </w:rPr>
      </w:pPr>
      <w:r>
        <w:rPr>
          <w:rFonts w:hint="eastAsia" w:ascii="宋体" w:hAnsi="宋体"/>
          <w:b/>
          <w:color w:val="auto"/>
          <w:sz w:val="24"/>
          <w:highlight w:val="none"/>
        </w:rPr>
        <w:t>项目名称：</w:t>
      </w:r>
      <w:r>
        <w:rPr>
          <w:rFonts w:hint="eastAsia" w:ascii="宋体" w:hAnsi="宋体"/>
          <w:b/>
          <w:color w:val="auto"/>
          <w:sz w:val="22"/>
          <w:highlight w:val="none"/>
        </w:rPr>
        <w:t xml:space="preserve">                                             项目编号：</w:t>
      </w:r>
      <w:r>
        <w:rPr>
          <w:rFonts w:hint="eastAsia" w:ascii="宋体" w:hAnsi="宋体"/>
          <w:color w:val="auto"/>
          <w:sz w:val="22"/>
          <w:highlight w:val="none"/>
        </w:rPr>
        <w:t xml:space="preserve"> </w:t>
      </w: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32"/>
        <w:gridCol w:w="1525"/>
        <w:gridCol w:w="1762"/>
        <w:gridCol w:w="1510"/>
        <w:gridCol w:w="1007"/>
        <w:gridCol w:w="1453"/>
      </w:tblGrid>
      <w:tr w14:paraId="00E5B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9" w:hRule="exact"/>
        </w:trPr>
        <w:tc>
          <w:tcPr>
            <w:tcW w:w="817" w:type="dxa"/>
            <w:noWrap w:val="0"/>
            <w:vAlign w:val="center"/>
          </w:tcPr>
          <w:p w14:paraId="14DE2B25">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1432" w:type="dxa"/>
            <w:noWrap w:val="0"/>
            <w:vAlign w:val="center"/>
          </w:tcPr>
          <w:p w14:paraId="2004A50A">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耗材名称</w:t>
            </w:r>
          </w:p>
        </w:tc>
        <w:tc>
          <w:tcPr>
            <w:tcW w:w="1525" w:type="dxa"/>
            <w:noWrap w:val="0"/>
            <w:vAlign w:val="center"/>
          </w:tcPr>
          <w:p w14:paraId="7517D4C1">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型号规格</w:t>
            </w:r>
          </w:p>
        </w:tc>
        <w:tc>
          <w:tcPr>
            <w:tcW w:w="1762" w:type="dxa"/>
            <w:noWrap w:val="0"/>
            <w:vAlign w:val="center"/>
          </w:tcPr>
          <w:p w14:paraId="1F7F3559">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品牌/产地</w:t>
            </w:r>
          </w:p>
        </w:tc>
        <w:tc>
          <w:tcPr>
            <w:tcW w:w="1510" w:type="dxa"/>
            <w:noWrap w:val="0"/>
            <w:vAlign w:val="center"/>
          </w:tcPr>
          <w:p w14:paraId="58132356">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数量</w:t>
            </w:r>
          </w:p>
        </w:tc>
        <w:tc>
          <w:tcPr>
            <w:tcW w:w="1007" w:type="dxa"/>
            <w:noWrap w:val="0"/>
            <w:vAlign w:val="center"/>
          </w:tcPr>
          <w:p w14:paraId="3D954008">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单价（元）</w:t>
            </w:r>
          </w:p>
        </w:tc>
        <w:tc>
          <w:tcPr>
            <w:tcW w:w="1453" w:type="dxa"/>
            <w:noWrap w:val="0"/>
            <w:vAlign w:val="center"/>
          </w:tcPr>
          <w:p w14:paraId="5BC5CB8A">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14:paraId="5546A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817" w:type="dxa"/>
            <w:noWrap w:val="0"/>
            <w:vAlign w:val="center"/>
          </w:tcPr>
          <w:p w14:paraId="1ECBF7A4">
            <w:pPr>
              <w:spacing w:line="400" w:lineRule="exact"/>
              <w:jc w:val="center"/>
              <w:rPr>
                <w:rFonts w:hint="eastAsia" w:ascii="宋体" w:hAnsi="宋体" w:cs="宋体"/>
                <w:color w:val="auto"/>
                <w:sz w:val="22"/>
                <w:szCs w:val="22"/>
                <w:highlight w:val="none"/>
              </w:rPr>
            </w:pPr>
          </w:p>
        </w:tc>
        <w:tc>
          <w:tcPr>
            <w:tcW w:w="1432" w:type="dxa"/>
            <w:noWrap w:val="0"/>
            <w:vAlign w:val="center"/>
          </w:tcPr>
          <w:p w14:paraId="056E562B">
            <w:pPr>
              <w:spacing w:line="400" w:lineRule="exact"/>
              <w:jc w:val="center"/>
              <w:rPr>
                <w:rFonts w:hint="eastAsia" w:ascii="宋体" w:hAnsi="宋体" w:cs="宋体"/>
                <w:color w:val="auto"/>
                <w:sz w:val="22"/>
                <w:szCs w:val="22"/>
                <w:highlight w:val="none"/>
              </w:rPr>
            </w:pPr>
          </w:p>
        </w:tc>
        <w:tc>
          <w:tcPr>
            <w:tcW w:w="1525" w:type="dxa"/>
            <w:noWrap w:val="0"/>
            <w:vAlign w:val="center"/>
          </w:tcPr>
          <w:p w14:paraId="4E3B004B">
            <w:pPr>
              <w:spacing w:line="400" w:lineRule="exact"/>
              <w:jc w:val="center"/>
              <w:rPr>
                <w:rFonts w:hint="eastAsia" w:ascii="宋体" w:hAnsi="宋体" w:cs="宋体"/>
                <w:color w:val="auto"/>
                <w:sz w:val="22"/>
                <w:szCs w:val="22"/>
                <w:highlight w:val="none"/>
              </w:rPr>
            </w:pPr>
          </w:p>
        </w:tc>
        <w:tc>
          <w:tcPr>
            <w:tcW w:w="1762" w:type="dxa"/>
            <w:noWrap w:val="0"/>
            <w:vAlign w:val="center"/>
          </w:tcPr>
          <w:p w14:paraId="4A666696">
            <w:pPr>
              <w:spacing w:line="400" w:lineRule="exact"/>
              <w:jc w:val="center"/>
              <w:rPr>
                <w:rFonts w:hint="eastAsia" w:ascii="宋体" w:hAnsi="宋体" w:cs="宋体"/>
                <w:color w:val="auto"/>
                <w:sz w:val="22"/>
                <w:szCs w:val="22"/>
                <w:highlight w:val="none"/>
              </w:rPr>
            </w:pPr>
          </w:p>
        </w:tc>
        <w:tc>
          <w:tcPr>
            <w:tcW w:w="1510" w:type="dxa"/>
            <w:noWrap w:val="0"/>
            <w:vAlign w:val="center"/>
          </w:tcPr>
          <w:p w14:paraId="64EA243D">
            <w:pPr>
              <w:spacing w:line="400" w:lineRule="exact"/>
              <w:jc w:val="center"/>
              <w:rPr>
                <w:rFonts w:hint="eastAsia" w:ascii="宋体" w:hAnsi="宋体" w:cs="宋体"/>
                <w:color w:val="auto"/>
                <w:sz w:val="22"/>
                <w:szCs w:val="22"/>
                <w:highlight w:val="none"/>
              </w:rPr>
            </w:pPr>
          </w:p>
        </w:tc>
        <w:tc>
          <w:tcPr>
            <w:tcW w:w="1007" w:type="dxa"/>
            <w:noWrap w:val="0"/>
            <w:vAlign w:val="center"/>
          </w:tcPr>
          <w:p w14:paraId="3A43A729">
            <w:pPr>
              <w:spacing w:line="400" w:lineRule="exact"/>
              <w:jc w:val="center"/>
              <w:rPr>
                <w:rFonts w:hint="eastAsia" w:ascii="宋体" w:hAnsi="宋体" w:cs="宋体"/>
                <w:color w:val="auto"/>
                <w:sz w:val="22"/>
                <w:szCs w:val="22"/>
                <w:highlight w:val="none"/>
              </w:rPr>
            </w:pPr>
          </w:p>
        </w:tc>
        <w:tc>
          <w:tcPr>
            <w:tcW w:w="1453" w:type="dxa"/>
            <w:noWrap w:val="0"/>
            <w:vAlign w:val="center"/>
          </w:tcPr>
          <w:p w14:paraId="1F6A5B41">
            <w:pPr>
              <w:spacing w:line="400" w:lineRule="exact"/>
              <w:jc w:val="center"/>
              <w:rPr>
                <w:rFonts w:hint="eastAsia" w:ascii="宋体" w:hAnsi="宋体" w:cs="宋体"/>
                <w:color w:val="auto"/>
                <w:sz w:val="22"/>
                <w:szCs w:val="22"/>
                <w:highlight w:val="none"/>
              </w:rPr>
            </w:pPr>
          </w:p>
        </w:tc>
      </w:tr>
      <w:tr w14:paraId="20FE4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817" w:type="dxa"/>
            <w:noWrap w:val="0"/>
            <w:vAlign w:val="center"/>
          </w:tcPr>
          <w:p w14:paraId="33C971B0">
            <w:pPr>
              <w:spacing w:line="400" w:lineRule="exact"/>
              <w:jc w:val="center"/>
              <w:rPr>
                <w:rFonts w:hint="eastAsia" w:ascii="宋体" w:hAnsi="宋体" w:cs="宋体"/>
                <w:color w:val="auto"/>
                <w:sz w:val="22"/>
                <w:szCs w:val="22"/>
                <w:highlight w:val="none"/>
              </w:rPr>
            </w:pPr>
          </w:p>
        </w:tc>
        <w:tc>
          <w:tcPr>
            <w:tcW w:w="1432" w:type="dxa"/>
            <w:noWrap w:val="0"/>
            <w:vAlign w:val="center"/>
          </w:tcPr>
          <w:p w14:paraId="1C095A9C">
            <w:pPr>
              <w:spacing w:line="400" w:lineRule="exact"/>
              <w:jc w:val="center"/>
              <w:rPr>
                <w:rFonts w:hint="eastAsia" w:ascii="宋体" w:hAnsi="宋体" w:cs="宋体"/>
                <w:color w:val="auto"/>
                <w:sz w:val="22"/>
                <w:szCs w:val="22"/>
                <w:highlight w:val="none"/>
              </w:rPr>
            </w:pPr>
          </w:p>
        </w:tc>
        <w:tc>
          <w:tcPr>
            <w:tcW w:w="1525" w:type="dxa"/>
            <w:noWrap w:val="0"/>
            <w:vAlign w:val="center"/>
          </w:tcPr>
          <w:p w14:paraId="1144C932">
            <w:pPr>
              <w:spacing w:line="400" w:lineRule="exact"/>
              <w:jc w:val="center"/>
              <w:rPr>
                <w:rFonts w:hint="eastAsia" w:ascii="宋体" w:hAnsi="宋体" w:cs="宋体"/>
                <w:color w:val="auto"/>
                <w:sz w:val="22"/>
                <w:szCs w:val="22"/>
                <w:highlight w:val="none"/>
              </w:rPr>
            </w:pPr>
          </w:p>
        </w:tc>
        <w:tc>
          <w:tcPr>
            <w:tcW w:w="1762" w:type="dxa"/>
            <w:noWrap w:val="0"/>
            <w:vAlign w:val="center"/>
          </w:tcPr>
          <w:p w14:paraId="1FF306A2">
            <w:pPr>
              <w:spacing w:line="400" w:lineRule="exact"/>
              <w:jc w:val="center"/>
              <w:rPr>
                <w:rFonts w:hint="eastAsia" w:ascii="宋体" w:hAnsi="宋体" w:cs="宋体"/>
                <w:color w:val="auto"/>
                <w:sz w:val="22"/>
                <w:szCs w:val="22"/>
                <w:highlight w:val="none"/>
              </w:rPr>
            </w:pPr>
          </w:p>
        </w:tc>
        <w:tc>
          <w:tcPr>
            <w:tcW w:w="1510" w:type="dxa"/>
            <w:noWrap w:val="0"/>
            <w:vAlign w:val="center"/>
          </w:tcPr>
          <w:p w14:paraId="3A0C8095">
            <w:pPr>
              <w:spacing w:line="400" w:lineRule="exact"/>
              <w:jc w:val="center"/>
              <w:rPr>
                <w:rFonts w:hint="eastAsia" w:ascii="宋体" w:hAnsi="宋体" w:cs="宋体"/>
                <w:color w:val="auto"/>
                <w:sz w:val="22"/>
                <w:szCs w:val="22"/>
                <w:highlight w:val="none"/>
              </w:rPr>
            </w:pPr>
          </w:p>
        </w:tc>
        <w:tc>
          <w:tcPr>
            <w:tcW w:w="1007" w:type="dxa"/>
            <w:noWrap w:val="0"/>
            <w:vAlign w:val="center"/>
          </w:tcPr>
          <w:p w14:paraId="6C8D0379">
            <w:pPr>
              <w:spacing w:line="400" w:lineRule="exact"/>
              <w:jc w:val="center"/>
              <w:rPr>
                <w:rFonts w:hint="eastAsia" w:ascii="宋体" w:hAnsi="宋体" w:cs="宋体"/>
                <w:color w:val="auto"/>
                <w:sz w:val="22"/>
                <w:szCs w:val="22"/>
                <w:highlight w:val="none"/>
              </w:rPr>
            </w:pPr>
          </w:p>
        </w:tc>
        <w:tc>
          <w:tcPr>
            <w:tcW w:w="1453" w:type="dxa"/>
            <w:noWrap w:val="0"/>
            <w:vAlign w:val="center"/>
          </w:tcPr>
          <w:p w14:paraId="49AF51B0">
            <w:pPr>
              <w:spacing w:line="400" w:lineRule="exact"/>
              <w:jc w:val="center"/>
              <w:rPr>
                <w:rFonts w:hint="eastAsia" w:ascii="宋体" w:hAnsi="宋体" w:cs="宋体"/>
                <w:color w:val="auto"/>
                <w:sz w:val="22"/>
                <w:szCs w:val="22"/>
                <w:highlight w:val="none"/>
              </w:rPr>
            </w:pPr>
          </w:p>
        </w:tc>
      </w:tr>
      <w:tr w14:paraId="5B1D0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817" w:type="dxa"/>
            <w:noWrap w:val="0"/>
            <w:vAlign w:val="center"/>
          </w:tcPr>
          <w:p w14:paraId="26951B69">
            <w:pPr>
              <w:spacing w:line="400" w:lineRule="exact"/>
              <w:jc w:val="center"/>
              <w:rPr>
                <w:rFonts w:hint="eastAsia" w:ascii="宋体" w:hAnsi="宋体" w:cs="宋体"/>
                <w:color w:val="auto"/>
                <w:sz w:val="22"/>
                <w:szCs w:val="22"/>
                <w:highlight w:val="none"/>
              </w:rPr>
            </w:pPr>
          </w:p>
        </w:tc>
        <w:tc>
          <w:tcPr>
            <w:tcW w:w="1432" w:type="dxa"/>
            <w:noWrap w:val="0"/>
            <w:vAlign w:val="center"/>
          </w:tcPr>
          <w:p w14:paraId="5135BD48">
            <w:pPr>
              <w:spacing w:line="400" w:lineRule="exact"/>
              <w:jc w:val="center"/>
              <w:rPr>
                <w:rFonts w:hint="eastAsia" w:ascii="宋体" w:hAnsi="宋体" w:cs="宋体"/>
                <w:color w:val="auto"/>
                <w:sz w:val="22"/>
                <w:szCs w:val="22"/>
                <w:highlight w:val="none"/>
              </w:rPr>
            </w:pPr>
          </w:p>
        </w:tc>
        <w:tc>
          <w:tcPr>
            <w:tcW w:w="1525" w:type="dxa"/>
            <w:noWrap w:val="0"/>
            <w:vAlign w:val="center"/>
          </w:tcPr>
          <w:p w14:paraId="7D058049">
            <w:pPr>
              <w:spacing w:line="400" w:lineRule="exact"/>
              <w:jc w:val="center"/>
              <w:rPr>
                <w:rFonts w:hint="eastAsia" w:ascii="宋体" w:hAnsi="宋体" w:cs="宋体"/>
                <w:color w:val="auto"/>
                <w:sz w:val="22"/>
                <w:szCs w:val="22"/>
                <w:highlight w:val="none"/>
              </w:rPr>
            </w:pPr>
          </w:p>
        </w:tc>
        <w:tc>
          <w:tcPr>
            <w:tcW w:w="1762" w:type="dxa"/>
            <w:noWrap w:val="0"/>
            <w:vAlign w:val="center"/>
          </w:tcPr>
          <w:p w14:paraId="5C07FD5B">
            <w:pPr>
              <w:spacing w:line="400" w:lineRule="exact"/>
              <w:jc w:val="center"/>
              <w:rPr>
                <w:rFonts w:hint="eastAsia" w:ascii="宋体" w:hAnsi="宋体" w:cs="宋体"/>
                <w:color w:val="auto"/>
                <w:sz w:val="22"/>
                <w:szCs w:val="22"/>
                <w:highlight w:val="none"/>
              </w:rPr>
            </w:pPr>
          </w:p>
        </w:tc>
        <w:tc>
          <w:tcPr>
            <w:tcW w:w="1510" w:type="dxa"/>
            <w:noWrap w:val="0"/>
            <w:vAlign w:val="center"/>
          </w:tcPr>
          <w:p w14:paraId="416EB1ED">
            <w:pPr>
              <w:spacing w:line="400" w:lineRule="exact"/>
              <w:jc w:val="center"/>
              <w:rPr>
                <w:rFonts w:hint="eastAsia" w:ascii="宋体" w:hAnsi="宋体" w:cs="宋体"/>
                <w:color w:val="auto"/>
                <w:sz w:val="22"/>
                <w:szCs w:val="22"/>
                <w:highlight w:val="none"/>
              </w:rPr>
            </w:pPr>
          </w:p>
        </w:tc>
        <w:tc>
          <w:tcPr>
            <w:tcW w:w="1007" w:type="dxa"/>
            <w:noWrap w:val="0"/>
            <w:vAlign w:val="center"/>
          </w:tcPr>
          <w:p w14:paraId="631110F9">
            <w:pPr>
              <w:spacing w:line="400" w:lineRule="exact"/>
              <w:jc w:val="center"/>
              <w:rPr>
                <w:rFonts w:hint="eastAsia" w:ascii="宋体" w:hAnsi="宋体" w:cs="宋体"/>
                <w:color w:val="auto"/>
                <w:sz w:val="22"/>
                <w:szCs w:val="22"/>
                <w:highlight w:val="none"/>
              </w:rPr>
            </w:pPr>
          </w:p>
        </w:tc>
        <w:tc>
          <w:tcPr>
            <w:tcW w:w="1453" w:type="dxa"/>
            <w:noWrap w:val="0"/>
            <w:vAlign w:val="center"/>
          </w:tcPr>
          <w:p w14:paraId="648F2577">
            <w:pPr>
              <w:spacing w:line="400" w:lineRule="exact"/>
              <w:jc w:val="center"/>
              <w:rPr>
                <w:rFonts w:hint="eastAsia" w:ascii="宋体" w:hAnsi="宋体" w:cs="宋体"/>
                <w:color w:val="auto"/>
                <w:sz w:val="22"/>
                <w:szCs w:val="22"/>
                <w:highlight w:val="none"/>
              </w:rPr>
            </w:pPr>
          </w:p>
        </w:tc>
      </w:tr>
      <w:tr w14:paraId="3D5D0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817" w:type="dxa"/>
            <w:noWrap w:val="0"/>
            <w:vAlign w:val="center"/>
          </w:tcPr>
          <w:p w14:paraId="127DB61B">
            <w:pPr>
              <w:spacing w:line="400" w:lineRule="exact"/>
              <w:jc w:val="center"/>
              <w:rPr>
                <w:rFonts w:hint="eastAsia" w:ascii="宋体" w:hAnsi="宋体" w:cs="宋体"/>
                <w:color w:val="auto"/>
                <w:sz w:val="22"/>
                <w:szCs w:val="22"/>
                <w:highlight w:val="none"/>
              </w:rPr>
            </w:pPr>
          </w:p>
        </w:tc>
        <w:tc>
          <w:tcPr>
            <w:tcW w:w="1432" w:type="dxa"/>
            <w:noWrap w:val="0"/>
            <w:vAlign w:val="center"/>
          </w:tcPr>
          <w:p w14:paraId="0949FBC1">
            <w:pPr>
              <w:spacing w:line="400" w:lineRule="exact"/>
              <w:jc w:val="center"/>
              <w:rPr>
                <w:rFonts w:hint="eastAsia" w:ascii="宋体" w:hAnsi="宋体" w:cs="宋体"/>
                <w:color w:val="auto"/>
                <w:sz w:val="22"/>
                <w:szCs w:val="22"/>
                <w:highlight w:val="none"/>
              </w:rPr>
            </w:pPr>
          </w:p>
        </w:tc>
        <w:tc>
          <w:tcPr>
            <w:tcW w:w="1525" w:type="dxa"/>
            <w:noWrap w:val="0"/>
            <w:vAlign w:val="center"/>
          </w:tcPr>
          <w:p w14:paraId="1A2EFAD4">
            <w:pPr>
              <w:spacing w:line="400" w:lineRule="exact"/>
              <w:jc w:val="center"/>
              <w:rPr>
                <w:rFonts w:hint="eastAsia" w:ascii="宋体" w:hAnsi="宋体" w:cs="宋体"/>
                <w:color w:val="auto"/>
                <w:sz w:val="22"/>
                <w:szCs w:val="22"/>
                <w:highlight w:val="none"/>
              </w:rPr>
            </w:pPr>
          </w:p>
        </w:tc>
        <w:tc>
          <w:tcPr>
            <w:tcW w:w="1762" w:type="dxa"/>
            <w:noWrap w:val="0"/>
            <w:vAlign w:val="center"/>
          </w:tcPr>
          <w:p w14:paraId="397BCB4E">
            <w:pPr>
              <w:spacing w:line="400" w:lineRule="exact"/>
              <w:jc w:val="center"/>
              <w:rPr>
                <w:rFonts w:hint="eastAsia" w:ascii="宋体" w:hAnsi="宋体" w:cs="宋体"/>
                <w:color w:val="auto"/>
                <w:sz w:val="22"/>
                <w:szCs w:val="22"/>
                <w:highlight w:val="none"/>
              </w:rPr>
            </w:pPr>
          </w:p>
        </w:tc>
        <w:tc>
          <w:tcPr>
            <w:tcW w:w="1510" w:type="dxa"/>
            <w:noWrap w:val="0"/>
            <w:vAlign w:val="center"/>
          </w:tcPr>
          <w:p w14:paraId="20DD8C97">
            <w:pPr>
              <w:spacing w:line="400" w:lineRule="exact"/>
              <w:jc w:val="center"/>
              <w:rPr>
                <w:rFonts w:hint="eastAsia" w:ascii="宋体" w:hAnsi="宋体" w:cs="宋体"/>
                <w:color w:val="auto"/>
                <w:sz w:val="22"/>
                <w:szCs w:val="22"/>
                <w:highlight w:val="none"/>
              </w:rPr>
            </w:pPr>
          </w:p>
        </w:tc>
        <w:tc>
          <w:tcPr>
            <w:tcW w:w="1007" w:type="dxa"/>
            <w:noWrap w:val="0"/>
            <w:vAlign w:val="center"/>
          </w:tcPr>
          <w:p w14:paraId="04C09A98">
            <w:pPr>
              <w:spacing w:line="400" w:lineRule="exact"/>
              <w:jc w:val="center"/>
              <w:rPr>
                <w:rFonts w:hint="eastAsia" w:ascii="宋体" w:hAnsi="宋体" w:cs="宋体"/>
                <w:color w:val="auto"/>
                <w:sz w:val="22"/>
                <w:szCs w:val="22"/>
                <w:highlight w:val="none"/>
              </w:rPr>
            </w:pPr>
          </w:p>
        </w:tc>
        <w:tc>
          <w:tcPr>
            <w:tcW w:w="1453" w:type="dxa"/>
            <w:noWrap w:val="0"/>
            <w:vAlign w:val="center"/>
          </w:tcPr>
          <w:p w14:paraId="3FEE8671">
            <w:pPr>
              <w:spacing w:line="400" w:lineRule="exact"/>
              <w:jc w:val="center"/>
              <w:rPr>
                <w:rFonts w:hint="eastAsia" w:ascii="宋体" w:hAnsi="宋体" w:cs="宋体"/>
                <w:color w:val="auto"/>
                <w:sz w:val="22"/>
                <w:szCs w:val="22"/>
                <w:highlight w:val="none"/>
              </w:rPr>
            </w:pPr>
          </w:p>
        </w:tc>
      </w:tr>
      <w:tr w14:paraId="40102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817" w:type="dxa"/>
            <w:noWrap w:val="0"/>
            <w:vAlign w:val="center"/>
          </w:tcPr>
          <w:p w14:paraId="25EB612D">
            <w:pPr>
              <w:spacing w:line="400" w:lineRule="exact"/>
              <w:jc w:val="center"/>
              <w:rPr>
                <w:rFonts w:hint="eastAsia" w:ascii="宋体" w:hAnsi="宋体" w:cs="宋体"/>
                <w:color w:val="auto"/>
                <w:sz w:val="22"/>
                <w:szCs w:val="22"/>
                <w:highlight w:val="none"/>
              </w:rPr>
            </w:pPr>
          </w:p>
        </w:tc>
        <w:tc>
          <w:tcPr>
            <w:tcW w:w="1432" w:type="dxa"/>
            <w:noWrap w:val="0"/>
            <w:vAlign w:val="center"/>
          </w:tcPr>
          <w:p w14:paraId="0C81EE8C">
            <w:pPr>
              <w:spacing w:line="400" w:lineRule="exact"/>
              <w:jc w:val="center"/>
              <w:rPr>
                <w:rFonts w:hint="eastAsia" w:ascii="宋体" w:hAnsi="宋体" w:cs="宋体"/>
                <w:color w:val="auto"/>
                <w:sz w:val="22"/>
                <w:szCs w:val="22"/>
                <w:highlight w:val="none"/>
              </w:rPr>
            </w:pPr>
          </w:p>
        </w:tc>
        <w:tc>
          <w:tcPr>
            <w:tcW w:w="1525" w:type="dxa"/>
            <w:noWrap w:val="0"/>
            <w:vAlign w:val="center"/>
          </w:tcPr>
          <w:p w14:paraId="78B425D2">
            <w:pPr>
              <w:spacing w:line="400" w:lineRule="exact"/>
              <w:jc w:val="center"/>
              <w:rPr>
                <w:rFonts w:hint="eastAsia" w:ascii="宋体" w:hAnsi="宋体" w:cs="宋体"/>
                <w:color w:val="auto"/>
                <w:sz w:val="22"/>
                <w:szCs w:val="22"/>
                <w:highlight w:val="none"/>
              </w:rPr>
            </w:pPr>
          </w:p>
        </w:tc>
        <w:tc>
          <w:tcPr>
            <w:tcW w:w="1762" w:type="dxa"/>
            <w:noWrap w:val="0"/>
            <w:vAlign w:val="center"/>
          </w:tcPr>
          <w:p w14:paraId="6B76A6F3">
            <w:pPr>
              <w:spacing w:line="400" w:lineRule="exact"/>
              <w:jc w:val="center"/>
              <w:rPr>
                <w:rFonts w:hint="eastAsia" w:ascii="宋体" w:hAnsi="宋体" w:cs="宋体"/>
                <w:color w:val="auto"/>
                <w:sz w:val="22"/>
                <w:szCs w:val="22"/>
                <w:highlight w:val="none"/>
              </w:rPr>
            </w:pPr>
          </w:p>
        </w:tc>
        <w:tc>
          <w:tcPr>
            <w:tcW w:w="1510" w:type="dxa"/>
            <w:noWrap w:val="0"/>
            <w:vAlign w:val="center"/>
          </w:tcPr>
          <w:p w14:paraId="22F9B50E">
            <w:pPr>
              <w:spacing w:line="400" w:lineRule="exact"/>
              <w:jc w:val="center"/>
              <w:rPr>
                <w:rFonts w:hint="eastAsia" w:ascii="宋体" w:hAnsi="宋体" w:cs="宋体"/>
                <w:color w:val="auto"/>
                <w:sz w:val="22"/>
                <w:szCs w:val="22"/>
                <w:highlight w:val="none"/>
              </w:rPr>
            </w:pPr>
          </w:p>
        </w:tc>
        <w:tc>
          <w:tcPr>
            <w:tcW w:w="1007" w:type="dxa"/>
            <w:noWrap w:val="0"/>
            <w:vAlign w:val="center"/>
          </w:tcPr>
          <w:p w14:paraId="0CE8AD06">
            <w:pPr>
              <w:spacing w:line="400" w:lineRule="exact"/>
              <w:jc w:val="center"/>
              <w:rPr>
                <w:rFonts w:hint="eastAsia" w:ascii="宋体" w:hAnsi="宋体" w:cs="宋体"/>
                <w:color w:val="auto"/>
                <w:sz w:val="22"/>
                <w:szCs w:val="22"/>
                <w:highlight w:val="none"/>
              </w:rPr>
            </w:pPr>
          </w:p>
        </w:tc>
        <w:tc>
          <w:tcPr>
            <w:tcW w:w="1453" w:type="dxa"/>
            <w:noWrap w:val="0"/>
            <w:vAlign w:val="center"/>
          </w:tcPr>
          <w:p w14:paraId="558C3498">
            <w:pPr>
              <w:spacing w:line="400" w:lineRule="exact"/>
              <w:jc w:val="center"/>
              <w:rPr>
                <w:rFonts w:hint="eastAsia" w:ascii="宋体" w:hAnsi="宋体" w:cs="宋体"/>
                <w:color w:val="auto"/>
                <w:sz w:val="22"/>
                <w:szCs w:val="22"/>
                <w:highlight w:val="none"/>
              </w:rPr>
            </w:pPr>
          </w:p>
        </w:tc>
      </w:tr>
      <w:tr w14:paraId="589DA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817" w:type="dxa"/>
            <w:noWrap w:val="0"/>
            <w:vAlign w:val="center"/>
          </w:tcPr>
          <w:p w14:paraId="734C0FC2">
            <w:pPr>
              <w:spacing w:line="400" w:lineRule="exact"/>
              <w:jc w:val="center"/>
              <w:rPr>
                <w:rFonts w:hint="eastAsia" w:ascii="宋体" w:hAnsi="宋体" w:cs="宋体"/>
                <w:color w:val="auto"/>
                <w:sz w:val="22"/>
                <w:szCs w:val="22"/>
                <w:highlight w:val="none"/>
              </w:rPr>
            </w:pPr>
          </w:p>
        </w:tc>
        <w:tc>
          <w:tcPr>
            <w:tcW w:w="1432" w:type="dxa"/>
            <w:noWrap w:val="0"/>
            <w:vAlign w:val="center"/>
          </w:tcPr>
          <w:p w14:paraId="0057E7C9">
            <w:pPr>
              <w:spacing w:line="400" w:lineRule="exact"/>
              <w:jc w:val="center"/>
              <w:rPr>
                <w:rFonts w:hint="eastAsia" w:ascii="宋体" w:hAnsi="宋体" w:cs="宋体"/>
                <w:color w:val="auto"/>
                <w:sz w:val="22"/>
                <w:szCs w:val="22"/>
                <w:highlight w:val="none"/>
              </w:rPr>
            </w:pPr>
          </w:p>
        </w:tc>
        <w:tc>
          <w:tcPr>
            <w:tcW w:w="1525" w:type="dxa"/>
            <w:noWrap w:val="0"/>
            <w:vAlign w:val="center"/>
          </w:tcPr>
          <w:p w14:paraId="1799928F">
            <w:pPr>
              <w:spacing w:line="400" w:lineRule="exact"/>
              <w:jc w:val="center"/>
              <w:rPr>
                <w:rFonts w:hint="eastAsia" w:ascii="宋体" w:hAnsi="宋体" w:cs="宋体"/>
                <w:color w:val="auto"/>
                <w:sz w:val="22"/>
                <w:szCs w:val="22"/>
                <w:highlight w:val="none"/>
              </w:rPr>
            </w:pPr>
          </w:p>
        </w:tc>
        <w:tc>
          <w:tcPr>
            <w:tcW w:w="1762" w:type="dxa"/>
            <w:noWrap w:val="0"/>
            <w:vAlign w:val="center"/>
          </w:tcPr>
          <w:p w14:paraId="139FDED3">
            <w:pPr>
              <w:spacing w:line="400" w:lineRule="exact"/>
              <w:jc w:val="center"/>
              <w:rPr>
                <w:rFonts w:hint="eastAsia" w:ascii="宋体" w:hAnsi="宋体" w:cs="宋体"/>
                <w:color w:val="auto"/>
                <w:sz w:val="22"/>
                <w:szCs w:val="22"/>
                <w:highlight w:val="none"/>
              </w:rPr>
            </w:pPr>
          </w:p>
        </w:tc>
        <w:tc>
          <w:tcPr>
            <w:tcW w:w="1510" w:type="dxa"/>
            <w:noWrap w:val="0"/>
            <w:vAlign w:val="center"/>
          </w:tcPr>
          <w:p w14:paraId="201B0EF1">
            <w:pPr>
              <w:spacing w:line="400" w:lineRule="exact"/>
              <w:jc w:val="center"/>
              <w:rPr>
                <w:rFonts w:hint="eastAsia" w:ascii="宋体" w:hAnsi="宋体" w:cs="宋体"/>
                <w:color w:val="auto"/>
                <w:sz w:val="22"/>
                <w:szCs w:val="22"/>
                <w:highlight w:val="none"/>
              </w:rPr>
            </w:pPr>
          </w:p>
        </w:tc>
        <w:tc>
          <w:tcPr>
            <w:tcW w:w="1007" w:type="dxa"/>
            <w:noWrap w:val="0"/>
            <w:vAlign w:val="center"/>
          </w:tcPr>
          <w:p w14:paraId="779B3817">
            <w:pPr>
              <w:spacing w:line="400" w:lineRule="exact"/>
              <w:jc w:val="center"/>
              <w:rPr>
                <w:rFonts w:hint="eastAsia" w:ascii="宋体" w:hAnsi="宋体" w:cs="宋体"/>
                <w:color w:val="auto"/>
                <w:sz w:val="22"/>
                <w:szCs w:val="22"/>
                <w:highlight w:val="none"/>
              </w:rPr>
            </w:pPr>
          </w:p>
        </w:tc>
        <w:tc>
          <w:tcPr>
            <w:tcW w:w="1453" w:type="dxa"/>
            <w:noWrap w:val="0"/>
            <w:vAlign w:val="center"/>
          </w:tcPr>
          <w:p w14:paraId="6AF62C73">
            <w:pPr>
              <w:spacing w:line="400" w:lineRule="exact"/>
              <w:jc w:val="center"/>
              <w:rPr>
                <w:rFonts w:hint="eastAsia" w:ascii="宋体" w:hAnsi="宋体" w:cs="宋体"/>
                <w:color w:val="auto"/>
                <w:sz w:val="22"/>
                <w:szCs w:val="22"/>
                <w:highlight w:val="none"/>
              </w:rPr>
            </w:pPr>
          </w:p>
        </w:tc>
      </w:tr>
      <w:tr w14:paraId="6CD04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817" w:type="dxa"/>
            <w:noWrap w:val="0"/>
            <w:vAlign w:val="center"/>
          </w:tcPr>
          <w:p w14:paraId="425710A6">
            <w:pPr>
              <w:spacing w:line="400" w:lineRule="exact"/>
              <w:jc w:val="center"/>
              <w:rPr>
                <w:rFonts w:hint="eastAsia" w:ascii="宋体" w:hAnsi="宋体" w:cs="宋体"/>
                <w:color w:val="auto"/>
                <w:sz w:val="22"/>
                <w:szCs w:val="22"/>
                <w:highlight w:val="none"/>
              </w:rPr>
            </w:pPr>
          </w:p>
        </w:tc>
        <w:tc>
          <w:tcPr>
            <w:tcW w:w="1432" w:type="dxa"/>
            <w:noWrap w:val="0"/>
            <w:vAlign w:val="center"/>
          </w:tcPr>
          <w:p w14:paraId="1CAAA73B">
            <w:pPr>
              <w:spacing w:line="400" w:lineRule="exact"/>
              <w:jc w:val="center"/>
              <w:rPr>
                <w:rFonts w:hint="eastAsia" w:ascii="宋体" w:hAnsi="宋体" w:cs="宋体"/>
                <w:color w:val="auto"/>
                <w:sz w:val="22"/>
                <w:szCs w:val="22"/>
                <w:highlight w:val="none"/>
              </w:rPr>
            </w:pPr>
          </w:p>
        </w:tc>
        <w:tc>
          <w:tcPr>
            <w:tcW w:w="1525" w:type="dxa"/>
            <w:noWrap w:val="0"/>
            <w:vAlign w:val="center"/>
          </w:tcPr>
          <w:p w14:paraId="612DFC90">
            <w:pPr>
              <w:spacing w:line="400" w:lineRule="exact"/>
              <w:jc w:val="center"/>
              <w:rPr>
                <w:rFonts w:hint="eastAsia" w:ascii="宋体" w:hAnsi="宋体" w:cs="宋体"/>
                <w:color w:val="auto"/>
                <w:sz w:val="22"/>
                <w:szCs w:val="22"/>
                <w:highlight w:val="none"/>
              </w:rPr>
            </w:pPr>
          </w:p>
        </w:tc>
        <w:tc>
          <w:tcPr>
            <w:tcW w:w="1762" w:type="dxa"/>
            <w:noWrap w:val="0"/>
            <w:vAlign w:val="center"/>
          </w:tcPr>
          <w:p w14:paraId="63D901DD">
            <w:pPr>
              <w:spacing w:line="400" w:lineRule="exact"/>
              <w:jc w:val="center"/>
              <w:rPr>
                <w:rFonts w:hint="eastAsia" w:ascii="宋体" w:hAnsi="宋体" w:cs="宋体"/>
                <w:color w:val="auto"/>
                <w:sz w:val="22"/>
                <w:szCs w:val="22"/>
                <w:highlight w:val="none"/>
              </w:rPr>
            </w:pPr>
          </w:p>
        </w:tc>
        <w:tc>
          <w:tcPr>
            <w:tcW w:w="1510" w:type="dxa"/>
            <w:noWrap w:val="0"/>
            <w:vAlign w:val="center"/>
          </w:tcPr>
          <w:p w14:paraId="5133A6C0">
            <w:pPr>
              <w:spacing w:line="400" w:lineRule="exact"/>
              <w:jc w:val="center"/>
              <w:rPr>
                <w:rFonts w:hint="eastAsia" w:ascii="宋体" w:hAnsi="宋体" w:cs="宋体"/>
                <w:color w:val="auto"/>
                <w:sz w:val="22"/>
                <w:szCs w:val="22"/>
                <w:highlight w:val="none"/>
              </w:rPr>
            </w:pPr>
          </w:p>
        </w:tc>
        <w:tc>
          <w:tcPr>
            <w:tcW w:w="1007" w:type="dxa"/>
            <w:noWrap w:val="0"/>
            <w:vAlign w:val="center"/>
          </w:tcPr>
          <w:p w14:paraId="35EFB917">
            <w:pPr>
              <w:spacing w:line="400" w:lineRule="exact"/>
              <w:jc w:val="center"/>
              <w:rPr>
                <w:rFonts w:hint="eastAsia" w:ascii="宋体" w:hAnsi="宋体" w:cs="宋体"/>
                <w:color w:val="auto"/>
                <w:sz w:val="22"/>
                <w:szCs w:val="22"/>
                <w:highlight w:val="none"/>
              </w:rPr>
            </w:pPr>
          </w:p>
        </w:tc>
        <w:tc>
          <w:tcPr>
            <w:tcW w:w="1453" w:type="dxa"/>
            <w:noWrap w:val="0"/>
            <w:vAlign w:val="center"/>
          </w:tcPr>
          <w:p w14:paraId="5D098F95">
            <w:pPr>
              <w:spacing w:line="400" w:lineRule="exact"/>
              <w:jc w:val="center"/>
              <w:rPr>
                <w:rFonts w:hint="eastAsia" w:ascii="宋体" w:hAnsi="宋体" w:cs="宋体"/>
                <w:color w:val="auto"/>
                <w:sz w:val="22"/>
                <w:szCs w:val="22"/>
                <w:highlight w:val="none"/>
              </w:rPr>
            </w:pPr>
          </w:p>
        </w:tc>
      </w:tr>
      <w:tr w14:paraId="09E37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817" w:type="dxa"/>
            <w:noWrap w:val="0"/>
            <w:vAlign w:val="center"/>
          </w:tcPr>
          <w:p w14:paraId="7B8D51F5">
            <w:pPr>
              <w:spacing w:line="400" w:lineRule="exact"/>
              <w:jc w:val="center"/>
              <w:rPr>
                <w:rFonts w:hint="eastAsia" w:ascii="宋体" w:hAnsi="宋体" w:cs="宋体"/>
                <w:color w:val="auto"/>
                <w:sz w:val="22"/>
                <w:szCs w:val="22"/>
                <w:highlight w:val="none"/>
              </w:rPr>
            </w:pPr>
          </w:p>
        </w:tc>
        <w:tc>
          <w:tcPr>
            <w:tcW w:w="1432" w:type="dxa"/>
            <w:noWrap w:val="0"/>
            <w:vAlign w:val="center"/>
          </w:tcPr>
          <w:p w14:paraId="3C57521C">
            <w:pPr>
              <w:spacing w:line="400" w:lineRule="exact"/>
              <w:jc w:val="center"/>
              <w:rPr>
                <w:rFonts w:hint="eastAsia" w:ascii="宋体" w:hAnsi="宋体" w:cs="宋体"/>
                <w:color w:val="auto"/>
                <w:sz w:val="22"/>
                <w:szCs w:val="22"/>
                <w:highlight w:val="none"/>
              </w:rPr>
            </w:pPr>
          </w:p>
        </w:tc>
        <w:tc>
          <w:tcPr>
            <w:tcW w:w="1525" w:type="dxa"/>
            <w:noWrap w:val="0"/>
            <w:vAlign w:val="center"/>
          </w:tcPr>
          <w:p w14:paraId="4B4DC5E5">
            <w:pPr>
              <w:spacing w:line="400" w:lineRule="exact"/>
              <w:jc w:val="center"/>
              <w:rPr>
                <w:rFonts w:hint="eastAsia" w:ascii="宋体" w:hAnsi="宋体" w:cs="宋体"/>
                <w:color w:val="auto"/>
                <w:sz w:val="22"/>
                <w:szCs w:val="22"/>
                <w:highlight w:val="none"/>
              </w:rPr>
            </w:pPr>
          </w:p>
        </w:tc>
        <w:tc>
          <w:tcPr>
            <w:tcW w:w="1762" w:type="dxa"/>
            <w:noWrap w:val="0"/>
            <w:vAlign w:val="center"/>
          </w:tcPr>
          <w:p w14:paraId="0A7B9E9D">
            <w:pPr>
              <w:spacing w:line="400" w:lineRule="exact"/>
              <w:jc w:val="center"/>
              <w:rPr>
                <w:rFonts w:hint="eastAsia" w:ascii="宋体" w:hAnsi="宋体" w:cs="宋体"/>
                <w:color w:val="auto"/>
                <w:sz w:val="22"/>
                <w:szCs w:val="22"/>
                <w:highlight w:val="none"/>
              </w:rPr>
            </w:pPr>
          </w:p>
        </w:tc>
        <w:tc>
          <w:tcPr>
            <w:tcW w:w="1510" w:type="dxa"/>
            <w:noWrap w:val="0"/>
            <w:vAlign w:val="center"/>
          </w:tcPr>
          <w:p w14:paraId="1CF66291">
            <w:pPr>
              <w:spacing w:line="400" w:lineRule="exact"/>
              <w:jc w:val="center"/>
              <w:rPr>
                <w:rFonts w:hint="eastAsia" w:ascii="宋体" w:hAnsi="宋体" w:cs="宋体"/>
                <w:color w:val="auto"/>
                <w:sz w:val="22"/>
                <w:szCs w:val="22"/>
                <w:highlight w:val="none"/>
              </w:rPr>
            </w:pPr>
          </w:p>
        </w:tc>
        <w:tc>
          <w:tcPr>
            <w:tcW w:w="1007" w:type="dxa"/>
            <w:noWrap w:val="0"/>
            <w:vAlign w:val="center"/>
          </w:tcPr>
          <w:p w14:paraId="032640D8">
            <w:pPr>
              <w:spacing w:line="400" w:lineRule="exact"/>
              <w:jc w:val="center"/>
              <w:rPr>
                <w:rFonts w:hint="eastAsia" w:ascii="宋体" w:hAnsi="宋体" w:cs="宋体"/>
                <w:color w:val="auto"/>
                <w:sz w:val="22"/>
                <w:szCs w:val="22"/>
                <w:highlight w:val="none"/>
              </w:rPr>
            </w:pPr>
          </w:p>
        </w:tc>
        <w:tc>
          <w:tcPr>
            <w:tcW w:w="1453" w:type="dxa"/>
            <w:noWrap w:val="0"/>
            <w:vAlign w:val="center"/>
          </w:tcPr>
          <w:p w14:paraId="5B940845">
            <w:pPr>
              <w:spacing w:line="400" w:lineRule="exact"/>
              <w:jc w:val="center"/>
              <w:rPr>
                <w:rFonts w:hint="eastAsia" w:ascii="宋体" w:hAnsi="宋体" w:cs="宋体"/>
                <w:color w:val="auto"/>
                <w:sz w:val="22"/>
                <w:szCs w:val="22"/>
                <w:highlight w:val="none"/>
              </w:rPr>
            </w:pPr>
          </w:p>
        </w:tc>
      </w:tr>
      <w:tr w14:paraId="6DEF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817" w:type="dxa"/>
            <w:noWrap w:val="0"/>
            <w:vAlign w:val="center"/>
          </w:tcPr>
          <w:p w14:paraId="0989CB19">
            <w:pPr>
              <w:spacing w:line="400" w:lineRule="exact"/>
              <w:jc w:val="center"/>
              <w:rPr>
                <w:rFonts w:hint="eastAsia" w:ascii="宋体" w:hAnsi="宋体" w:cs="宋体"/>
                <w:color w:val="auto"/>
                <w:sz w:val="22"/>
                <w:szCs w:val="22"/>
                <w:highlight w:val="none"/>
              </w:rPr>
            </w:pPr>
          </w:p>
        </w:tc>
        <w:tc>
          <w:tcPr>
            <w:tcW w:w="1432" w:type="dxa"/>
            <w:noWrap w:val="0"/>
            <w:vAlign w:val="center"/>
          </w:tcPr>
          <w:p w14:paraId="096A844B">
            <w:pPr>
              <w:spacing w:line="400" w:lineRule="exact"/>
              <w:jc w:val="center"/>
              <w:rPr>
                <w:rFonts w:hint="eastAsia" w:ascii="宋体" w:hAnsi="宋体" w:cs="宋体"/>
                <w:color w:val="auto"/>
                <w:sz w:val="22"/>
                <w:szCs w:val="22"/>
                <w:highlight w:val="none"/>
              </w:rPr>
            </w:pPr>
          </w:p>
        </w:tc>
        <w:tc>
          <w:tcPr>
            <w:tcW w:w="1525" w:type="dxa"/>
            <w:noWrap w:val="0"/>
            <w:vAlign w:val="center"/>
          </w:tcPr>
          <w:p w14:paraId="652059D3">
            <w:pPr>
              <w:spacing w:line="400" w:lineRule="exact"/>
              <w:jc w:val="center"/>
              <w:rPr>
                <w:rFonts w:hint="eastAsia" w:ascii="宋体" w:hAnsi="宋体" w:cs="宋体"/>
                <w:color w:val="auto"/>
                <w:sz w:val="22"/>
                <w:szCs w:val="22"/>
                <w:highlight w:val="none"/>
              </w:rPr>
            </w:pPr>
          </w:p>
        </w:tc>
        <w:tc>
          <w:tcPr>
            <w:tcW w:w="1762" w:type="dxa"/>
            <w:noWrap w:val="0"/>
            <w:vAlign w:val="center"/>
          </w:tcPr>
          <w:p w14:paraId="2FB43BA7">
            <w:pPr>
              <w:spacing w:line="400" w:lineRule="exact"/>
              <w:jc w:val="center"/>
              <w:rPr>
                <w:rFonts w:hint="eastAsia" w:ascii="宋体" w:hAnsi="宋体" w:cs="宋体"/>
                <w:color w:val="auto"/>
                <w:sz w:val="22"/>
                <w:szCs w:val="22"/>
                <w:highlight w:val="none"/>
              </w:rPr>
            </w:pPr>
          </w:p>
        </w:tc>
        <w:tc>
          <w:tcPr>
            <w:tcW w:w="1510" w:type="dxa"/>
            <w:noWrap w:val="0"/>
            <w:vAlign w:val="center"/>
          </w:tcPr>
          <w:p w14:paraId="22FA97F8">
            <w:pPr>
              <w:spacing w:line="400" w:lineRule="exact"/>
              <w:jc w:val="center"/>
              <w:rPr>
                <w:rFonts w:hint="eastAsia" w:ascii="宋体" w:hAnsi="宋体" w:cs="宋体"/>
                <w:color w:val="auto"/>
                <w:sz w:val="22"/>
                <w:szCs w:val="22"/>
                <w:highlight w:val="none"/>
              </w:rPr>
            </w:pPr>
          </w:p>
        </w:tc>
        <w:tc>
          <w:tcPr>
            <w:tcW w:w="1007" w:type="dxa"/>
            <w:noWrap w:val="0"/>
            <w:vAlign w:val="center"/>
          </w:tcPr>
          <w:p w14:paraId="65FB5616">
            <w:pPr>
              <w:spacing w:line="400" w:lineRule="exact"/>
              <w:jc w:val="center"/>
              <w:rPr>
                <w:rFonts w:hint="eastAsia" w:ascii="宋体" w:hAnsi="宋体" w:cs="宋体"/>
                <w:color w:val="auto"/>
                <w:sz w:val="22"/>
                <w:szCs w:val="22"/>
                <w:highlight w:val="none"/>
              </w:rPr>
            </w:pPr>
          </w:p>
        </w:tc>
        <w:tc>
          <w:tcPr>
            <w:tcW w:w="1453" w:type="dxa"/>
            <w:noWrap w:val="0"/>
            <w:vAlign w:val="center"/>
          </w:tcPr>
          <w:p w14:paraId="354CE9C1">
            <w:pPr>
              <w:spacing w:line="400" w:lineRule="exact"/>
              <w:jc w:val="center"/>
              <w:rPr>
                <w:rFonts w:hint="eastAsia" w:ascii="宋体" w:hAnsi="宋体" w:cs="宋体"/>
                <w:color w:val="auto"/>
                <w:sz w:val="22"/>
                <w:szCs w:val="22"/>
                <w:highlight w:val="none"/>
              </w:rPr>
            </w:pPr>
          </w:p>
        </w:tc>
      </w:tr>
      <w:tr w14:paraId="59BD8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817" w:type="dxa"/>
            <w:noWrap w:val="0"/>
            <w:vAlign w:val="center"/>
          </w:tcPr>
          <w:p w14:paraId="7BB20338">
            <w:pPr>
              <w:spacing w:line="400" w:lineRule="exact"/>
              <w:jc w:val="center"/>
              <w:rPr>
                <w:rFonts w:hint="eastAsia" w:ascii="宋体" w:hAnsi="宋体" w:cs="宋体"/>
                <w:color w:val="auto"/>
                <w:sz w:val="22"/>
                <w:szCs w:val="22"/>
                <w:highlight w:val="none"/>
              </w:rPr>
            </w:pPr>
          </w:p>
        </w:tc>
        <w:tc>
          <w:tcPr>
            <w:tcW w:w="1432" w:type="dxa"/>
            <w:noWrap w:val="0"/>
            <w:vAlign w:val="center"/>
          </w:tcPr>
          <w:p w14:paraId="6CAD9E71">
            <w:pPr>
              <w:spacing w:line="400" w:lineRule="exact"/>
              <w:jc w:val="center"/>
              <w:rPr>
                <w:rFonts w:hint="eastAsia" w:ascii="宋体" w:hAnsi="宋体" w:cs="宋体"/>
                <w:color w:val="auto"/>
                <w:sz w:val="22"/>
                <w:szCs w:val="22"/>
                <w:highlight w:val="none"/>
              </w:rPr>
            </w:pPr>
          </w:p>
        </w:tc>
        <w:tc>
          <w:tcPr>
            <w:tcW w:w="1525" w:type="dxa"/>
            <w:noWrap w:val="0"/>
            <w:vAlign w:val="center"/>
          </w:tcPr>
          <w:p w14:paraId="120073E1">
            <w:pPr>
              <w:spacing w:line="400" w:lineRule="exact"/>
              <w:jc w:val="center"/>
              <w:rPr>
                <w:rFonts w:hint="eastAsia" w:ascii="宋体" w:hAnsi="宋体" w:cs="宋体"/>
                <w:color w:val="auto"/>
                <w:sz w:val="22"/>
                <w:szCs w:val="22"/>
                <w:highlight w:val="none"/>
              </w:rPr>
            </w:pPr>
          </w:p>
        </w:tc>
        <w:tc>
          <w:tcPr>
            <w:tcW w:w="1762" w:type="dxa"/>
            <w:noWrap w:val="0"/>
            <w:vAlign w:val="center"/>
          </w:tcPr>
          <w:p w14:paraId="7B7ADD0B">
            <w:pPr>
              <w:spacing w:line="400" w:lineRule="exact"/>
              <w:jc w:val="center"/>
              <w:rPr>
                <w:rFonts w:hint="eastAsia" w:ascii="宋体" w:hAnsi="宋体" w:cs="宋体"/>
                <w:color w:val="auto"/>
                <w:sz w:val="22"/>
                <w:szCs w:val="22"/>
                <w:highlight w:val="none"/>
              </w:rPr>
            </w:pPr>
          </w:p>
        </w:tc>
        <w:tc>
          <w:tcPr>
            <w:tcW w:w="1510" w:type="dxa"/>
            <w:noWrap w:val="0"/>
            <w:vAlign w:val="center"/>
          </w:tcPr>
          <w:p w14:paraId="0C2965EB">
            <w:pPr>
              <w:spacing w:line="400" w:lineRule="exact"/>
              <w:jc w:val="center"/>
              <w:rPr>
                <w:rFonts w:hint="eastAsia" w:ascii="宋体" w:hAnsi="宋体" w:cs="宋体"/>
                <w:color w:val="auto"/>
                <w:sz w:val="22"/>
                <w:szCs w:val="22"/>
                <w:highlight w:val="none"/>
              </w:rPr>
            </w:pPr>
          </w:p>
        </w:tc>
        <w:tc>
          <w:tcPr>
            <w:tcW w:w="1007" w:type="dxa"/>
            <w:noWrap w:val="0"/>
            <w:vAlign w:val="center"/>
          </w:tcPr>
          <w:p w14:paraId="2C7A2215">
            <w:pPr>
              <w:spacing w:line="400" w:lineRule="exact"/>
              <w:jc w:val="center"/>
              <w:rPr>
                <w:rFonts w:hint="eastAsia" w:ascii="宋体" w:hAnsi="宋体" w:cs="宋体"/>
                <w:color w:val="auto"/>
                <w:sz w:val="22"/>
                <w:szCs w:val="22"/>
                <w:highlight w:val="none"/>
              </w:rPr>
            </w:pPr>
          </w:p>
        </w:tc>
        <w:tc>
          <w:tcPr>
            <w:tcW w:w="1453" w:type="dxa"/>
            <w:noWrap w:val="0"/>
            <w:vAlign w:val="center"/>
          </w:tcPr>
          <w:p w14:paraId="1CA7531E">
            <w:pPr>
              <w:spacing w:line="400" w:lineRule="exact"/>
              <w:jc w:val="center"/>
              <w:rPr>
                <w:rFonts w:hint="eastAsia" w:ascii="宋体" w:hAnsi="宋体" w:cs="宋体"/>
                <w:color w:val="auto"/>
                <w:sz w:val="22"/>
                <w:szCs w:val="22"/>
                <w:highlight w:val="none"/>
              </w:rPr>
            </w:pPr>
          </w:p>
        </w:tc>
      </w:tr>
    </w:tbl>
    <w:p w14:paraId="1BB3ACFC">
      <w:pPr>
        <w:spacing w:line="400" w:lineRule="exact"/>
        <w:rPr>
          <w:rFonts w:hint="eastAsia" w:ascii="宋体" w:hAnsi="宋体"/>
          <w:color w:val="auto"/>
          <w:sz w:val="22"/>
          <w:szCs w:val="20"/>
          <w:highlight w:val="none"/>
        </w:rPr>
      </w:pPr>
      <w:r>
        <w:rPr>
          <w:rFonts w:hint="eastAsia" w:ascii="宋体" w:hAnsi="宋体"/>
          <w:color w:val="auto"/>
          <w:sz w:val="22"/>
          <w:szCs w:val="20"/>
          <w:highlight w:val="none"/>
        </w:rPr>
        <w:t>注：  1.本表所列为投标人拟投入的拟投入本项目的耗材。</w:t>
      </w:r>
    </w:p>
    <w:p w14:paraId="763A240E">
      <w:pPr>
        <w:spacing w:line="400" w:lineRule="exact"/>
        <w:ind w:left="657" w:leftChars="313"/>
        <w:rPr>
          <w:rFonts w:hint="eastAsia" w:ascii="宋体" w:hAnsi="宋体"/>
          <w:color w:val="auto"/>
          <w:sz w:val="22"/>
          <w:szCs w:val="20"/>
          <w:highlight w:val="none"/>
        </w:rPr>
      </w:pPr>
      <w:r>
        <w:rPr>
          <w:rFonts w:hint="eastAsia" w:ascii="宋体" w:hAnsi="宋体"/>
          <w:color w:val="auto"/>
          <w:sz w:val="22"/>
          <w:szCs w:val="20"/>
          <w:highlight w:val="none"/>
        </w:rPr>
        <w:t>2.本表中所列耗材价格计入投标总价。</w:t>
      </w:r>
    </w:p>
    <w:p w14:paraId="0345CFDB">
      <w:pPr>
        <w:spacing w:line="400" w:lineRule="exact"/>
        <w:ind w:left="657" w:leftChars="313"/>
        <w:rPr>
          <w:rFonts w:hint="eastAsia" w:ascii="宋体" w:hAnsi="宋体"/>
          <w:color w:val="auto"/>
          <w:sz w:val="22"/>
          <w:szCs w:val="20"/>
          <w:highlight w:val="none"/>
        </w:rPr>
      </w:pPr>
      <w:r>
        <w:rPr>
          <w:rFonts w:hint="eastAsia" w:ascii="宋体" w:hAnsi="宋体"/>
          <w:color w:val="auto"/>
          <w:sz w:val="22"/>
          <w:szCs w:val="20"/>
          <w:highlight w:val="none"/>
        </w:rPr>
        <w:t>3．此表仅提供了表格形式，投标人可按此表格编制。</w:t>
      </w:r>
    </w:p>
    <w:p w14:paraId="3425C998">
      <w:pPr>
        <w:spacing w:line="400" w:lineRule="exact"/>
        <w:ind w:left="657" w:leftChars="313"/>
        <w:rPr>
          <w:rFonts w:hint="eastAsia" w:ascii="宋体" w:hAnsi="宋体"/>
          <w:color w:val="auto"/>
          <w:sz w:val="22"/>
          <w:szCs w:val="20"/>
          <w:highlight w:val="none"/>
        </w:rPr>
      </w:pPr>
    </w:p>
    <w:p w14:paraId="741923D3">
      <w:pPr>
        <w:spacing w:line="400" w:lineRule="exact"/>
        <w:ind w:left="657" w:leftChars="313"/>
        <w:rPr>
          <w:rFonts w:hint="eastAsia" w:ascii="宋体" w:hAnsi="宋体"/>
          <w:color w:val="auto"/>
          <w:sz w:val="22"/>
          <w:szCs w:val="20"/>
          <w:highlight w:val="none"/>
        </w:rPr>
      </w:pPr>
    </w:p>
    <w:p w14:paraId="2CADF1BF">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1346873A">
      <w:pPr>
        <w:spacing w:line="40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8EE3C1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038EBE5">
      <w:pPr>
        <w:pStyle w:val="3"/>
        <w:spacing w:line="240" w:lineRule="auto"/>
        <w:rPr>
          <w:rFonts w:ascii="宋体" w:hAnsi="宋体" w:eastAsia="宋体" w:cs="宋体"/>
          <w:color w:val="auto"/>
          <w:sz w:val="24"/>
          <w:szCs w:val="24"/>
          <w:highlight w:val="none"/>
        </w:rPr>
      </w:pPr>
      <w:bookmarkStart w:id="97" w:name="_Toc32238"/>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 xml:space="preserve"> 同类项目业绩一览表</w:t>
      </w:r>
      <w:bookmarkEnd w:id="91"/>
      <w:bookmarkEnd w:id="97"/>
    </w:p>
    <w:p w14:paraId="3D9C5A59">
      <w:pPr>
        <w:spacing w:line="440" w:lineRule="exact"/>
        <w:rPr>
          <w:rFonts w:ascii="宋体" w:hAnsi="宋体"/>
          <w:b/>
          <w:bCs/>
          <w:color w:val="auto"/>
          <w:sz w:val="24"/>
          <w:highlight w:val="none"/>
        </w:rPr>
      </w:pPr>
    </w:p>
    <w:p w14:paraId="7EDC4DCD">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同类项目业绩一览表</w:t>
      </w:r>
    </w:p>
    <w:p w14:paraId="51972B23">
      <w:pPr>
        <w:spacing w:line="380" w:lineRule="exact"/>
        <w:ind w:left="-357" w:leftChars="-170" w:firstLine="216" w:firstLineChars="98"/>
        <w:rPr>
          <w:rFonts w:ascii="宋体" w:hAnsi="宋体" w:cs="宋体"/>
          <w:b/>
          <w:bCs/>
          <w:color w:val="auto"/>
          <w:sz w:val="22"/>
          <w:szCs w:val="22"/>
          <w:highlight w:val="none"/>
        </w:rPr>
      </w:pPr>
    </w:p>
    <w:p w14:paraId="48BC2CEE">
      <w:pPr>
        <w:spacing w:line="380" w:lineRule="exact"/>
        <w:ind w:left="-357" w:leftChars="-170" w:firstLine="216" w:firstLineChars="98"/>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                                              项目编号：</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97"/>
        <w:gridCol w:w="1640"/>
        <w:gridCol w:w="1263"/>
        <w:gridCol w:w="1348"/>
        <w:gridCol w:w="2624"/>
      </w:tblGrid>
      <w:tr w14:paraId="25AE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shd w:val="clear" w:color="auto" w:fill="D9D9D9"/>
            <w:vAlign w:val="center"/>
          </w:tcPr>
          <w:p w14:paraId="7EFBFF6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115" w:type="pct"/>
            <w:shd w:val="clear" w:color="auto" w:fill="D9D9D9"/>
            <w:vAlign w:val="center"/>
          </w:tcPr>
          <w:p w14:paraId="681D5B1A">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832" w:type="pct"/>
            <w:shd w:val="clear" w:color="auto" w:fill="D9D9D9"/>
            <w:vAlign w:val="center"/>
          </w:tcPr>
          <w:p w14:paraId="6C1C65DF">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641" w:type="pct"/>
            <w:shd w:val="clear" w:color="auto" w:fill="D9D9D9"/>
            <w:vAlign w:val="center"/>
          </w:tcPr>
          <w:p w14:paraId="2285E97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684" w:type="pct"/>
            <w:shd w:val="clear" w:color="auto" w:fill="D9D9D9"/>
            <w:vAlign w:val="center"/>
          </w:tcPr>
          <w:p w14:paraId="39081B9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签订时间</w:t>
            </w:r>
          </w:p>
        </w:tc>
        <w:tc>
          <w:tcPr>
            <w:tcW w:w="1331" w:type="pct"/>
            <w:shd w:val="clear" w:color="auto" w:fill="D9D9D9"/>
            <w:vAlign w:val="center"/>
          </w:tcPr>
          <w:p w14:paraId="0BD3C58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用户联系人/联系方式</w:t>
            </w:r>
          </w:p>
        </w:tc>
      </w:tr>
      <w:tr w14:paraId="52A3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750216">
            <w:pPr>
              <w:spacing w:line="380" w:lineRule="exact"/>
              <w:jc w:val="center"/>
              <w:rPr>
                <w:rFonts w:ascii="宋体" w:hAnsi="宋体" w:cs="宋体"/>
                <w:b/>
                <w:bCs/>
                <w:color w:val="auto"/>
                <w:sz w:val="22"/>
                <w:szCs w:val="22"/>
                <w:highlight w:val="none"/>
              </w:rPr>
            </w:pPr>
          </w:p>
        </w:tc>
        <w:tc>
          <w:tcPr>
            <w:tcW w:w="1115" w:type="pct"/>
            <w:vAlign w:val="center"/>
          </w:tcPr>
          <w:p w14:paraId="1108CB1A">
            <w:pPr>
              <w:spacing w:line="380" w:lineRule="exact"/>
              <w:jc w:val="center"/>
              <w:rPr>
                <w:rFonts w:ascii="宋体" w:hAnsi="宋体" w:cs="宋体"/>
                <w:b/>
                <w:bCs/>
                <w:color w:val="auto"/>
                <w:sz w:val="22"/>
                <w:szCs w:val="22"/>
                <w:highlight w:val="none"/>
              </w:rPr>
            </w:pPr>
          </w:p>
        </w:tc>
        <w:tc>
          <w:tcPr>
            <w:tcW w:w="832" w:type="pct"/>
            <w:vAlign w:val="center"/>
          </w:tcPr>
          <w:p w14:paraId="48526945">
            <w:pPr>
              <w:spacing w:line="380" w:lineRule="exact"/>
              <w:jc w:val="center"/>
              <w:rPr>
                <w:rFonts w:ascii="宋体" w:hAnsi="宋体" w:cs="宋体"/>
                <w:b/>
                <w:bCs/>
                <w:color w:val="auto"/>
                <w:sz w:val="22"/>
                <w:szCs w:val="22"/>
                <w:highlight w:val="none"/>
              </w:rPr>
            </w:pPr>
          </w:p>
        </w:tc>
        <w:tc>
          <w:tcPr>
            <w:tcW w:w="641" w:type="pct"/>
            <w:vAlign w:val="center"/>
          </w:tcPr>
          <w:p w14:paraId="02FFD2BF">
            <w:pPr>
              <w:spacing w:line="380" w:lineRule="exact"/>
              <w:jc w:val="center"/>
              <w:rPr>
                <w:rFonts w:ascii="宋体" w:hAnsi="宋体" w:cs="宋体"/>
                <w:b/>
                <w:bCs/>
                <w:color w:val="auto"/>
                <w:sz w:val="22"/>
                <w:szCs w:val="22"/>
                <w:highlight w:val="none"/>
              </w:rPr>
            </w:pPr>
          </w:p>
        </w:tc>
        <w:tc>
          <w:tcPr>
            <w:tcW w:w="684" w:type="pct"/>
            <w:vAlign w:val="center"/>
          </w:tcPr>
          <w:p w14:paraId="4A1EB3EC">
            <w:pPr>
              <w:spacing w:line="380" w:lineRule="exact"/>
              <w:jc w:val="center"/>
              <w:rPr>
                <w:rFonts w:ascii="宋体" w:hAnsi="宋体" w:cs="宋体"/>
                <w:b/>
                <w:bCs/>
                <w:color w:val="auto"/>
                <w:sz w:val="22"/>
                <w:szCs w:val="22"/>
                <w:highlight w:val="none"/>
              </w:rPr>
            </w:pPr>
          </w:p>
        </w:tc>
        <w:tc>
          <w:tcPr>
            <w:tcW w:w="1331" w:type="pct"/>
            <w:vAlign w:val="center"/>
          </w:tcPr>
          <w:p w14:paraId="579AFBCB">
            <w:pPr>
              <w:spacing w:line="380" w:lineRule="exact"/>
              <w:jc w:val="center"/>
              <w:rPr>
                <w:rFonts w:ascii="宋体" w:hAnsi="宋体" w:cs="宋体"/>
                <w:b/>
                <w:bCs/>
                <w:color w:val="auto"/>
                <w:sz w:val="22"/>
                <w:szCs w:val="22"/>
                <w:highlight w:val="none"/>
              </w:rPr>
            </w:pPr>
          </w:p>
        </w:tc>
      </w:tr>
      <w:tr w14:paraId="2E9C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749F95CA">
            <w:pPr>
              <w:spacing w:line="380" w:lineRule="exact"/>
              <w:jc w:val="center"/>
              <w:rPr>
                <w:rFonts w:ascii="宋体" w:hAnsi="宋体" w:cs="宋体"/>
                <w:b/>
                <w:bCs/>
                <w:color w:val="auto"/>
                <w:sz w:val="22"/>
                <w:szCs w:val="22"/>
                <w:highlight w:val="none"/>
              </w:rPr>
            </w:pPr>
          </w:p>
        </w:tc>
        <w:tc>
          <w:tcPr>
            <w:tcW w:w="1115" w:type="pct"/>
            <w:vAlign w:val="center"/>
          </w:tcPr>
          <w:p w14:paraId="4FB6BD28">
            <w:pPr>
              <w:spacing w:line="380" w:lineRule="exact"/>
              <w:jc w:val="center"/>
              <w:rPr>
                <w:rFonts w:ascii="宋体" w:hAnsi="宋体" w:cs="宋体"/>
                <w:b/>
                <w:bCs/>
                <w:color w:val="auto"/>
                <w:sz w:val="22"/>
                <w:szCs w:val="22"/>
                <w:highlight w:val="none"/>
              </w:rPr>
            </w:pPr>
          </w:p>
        </w:tc>
        <w:tc>
          <w:tcPr>
            <w:tcW w:w="832" w:type="pct"/>
            <w:vAlign w:val="center"/>
          </w:tcPr>
          <w:p w14:paraId="12FDCC57">
            <w:pPr>
              <w:spacing w:line="380" w:lineRule="exact"/>
              <w:jc w:val="center"/>
              <w:rPr>
                <w:rFonts w:ascii="宋体" w:hAnsi="宋体" w:cs="宋体"/>
                <w:b/>
                <w:bCs/>
                <w:color w:val="auto"/>
                <w:sz w:val="22"/>
                <w:szCs w:val="22"/>
                <w:highlight w:val="none"/>
              </w:rPr>
            </w:pPr>
          </w:p>
        </w:tc>
        <w:tc>
          <w:tcPr>
            <w:tcW w:w="641" w:type="pct"/>
            <w:vAlign w:val="center"/>
          </w:tcPr>
          <w:p w14:paraId="1342C7DF">
            <w:pPr>
              <w:spacing w:line="380" w:lineRule="exact"/>
              <w:jc w:val="center"/>
              <w:rPr>
                <w:rFonts w:ascii="宋体" w:hAnsi="宋体" w:cs="宋体"/>
                <w:b/>
                <w:bCs/>
                <w:color w:val="auto"/>
                <w:sz w:val="22"/>
                <w:szCs w:val="22"/>
                <w:highlight w:val="none"/>
              </w:rPr>
            </w:pPr>
          </w:p>
        </w:tc>
        <w:tc>
          <w:tcPr>
            <w:tcW w:w="684" w:type="pct"/>
            <w:vAlign w:val="center"/>
          </w:tcPr>
          <w:p w14:paraId="377F2BEF">
            <w:pPr>
              <w:spacing w:line="380" w:lineRule="exact"/>
              <w:jc w:val="center"/>
              <w:rPr>
                <w:rFonts w:ascii="宋体" w:hAnsi="宋体" w:cs="宋体"/>
                <w:b/>
                <w:bCs/>
                <w:color w:val="auto"/>
                <w:sz w:val="22"/>
                <w:szCs w:val="22"/>
                <w:highlight w:val="none"/>
              </w:rPr>
            </w:pPr>
          </w:p>
        </w:tc>
        <w:tc>
          <w:tcPr>
            <w:tcW w:w="1331" w:type="pct"/>
            <w:vAlign w:val="center"/>
          </w:tcPr>
          <w:p w14:paraId="67482BE1">
            <w:pPr>
              <w:spacing w:line="380" w:lineRule="exact"/>
              <w:jc w:val="center"/>
              <w:rPr>
                <w:rFonts w:ascii="宋体" w:hAnsi="宋体" w:cs="宋体"/>
                <w:b/>
                <w:bCs/>
                <w:color w:val="auto"/>
                <w:sz w:val="22"/>
                <w:szCs w:val="22"/>
                <w:highlight w:val="none"/>
              </w:rPr>
            </w:pPr>
          </w:p>
        </w:tc>
      </w:tr>
      <w:tr w14:paraId="7A3F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27987D96">
            <w:pPr>
              <w:spacing w:line="380" w:lineRule="exact"/>
              <w:jc w:val="center"/>
              <w:rPr>
                <w:rFonts w:ascii="宋体" w:hAnsi="宋体" w:cs="宋体"/>
                <w:b/>
                <w:bCs/>
                <w:color w:val="auto"/>
                <w:sz w:val="22"/>
                <w:szCs w:val="22"/>
                <w:highlight w:val="none"/>
              </w:rPr>
            </w:pPr>
          </w:p>
        </w:tc>
        <w:tc>
          <w:tcPr>
            <w:tcW w:w="1115" w:type="pct"/>
            <w:vAlign w:val="center"/>
          </w:tcPr>
          <w:p w14:paraId="06140A54">
            <w:pPr>
              <w:spacing w:line="380" w:lineRule="exact"/>
              <w:jc w:val="center"/>
              <w:rPr>
                <w:rFonts w:ascii="宋体" w:hAnsi="宋体" w:cs="宋体"/>
                <w:b/>
                <w:bCs/>
                <w:color w:val="auto"/>
                <w:sz w:val="22"/>
                <w:szCs w:val="22"/>
                <w:highlight w:val="none"/>
              </w:rPr>
            </w:pPr>
          </w:p>
        </w:tc>
        <w:tc>
          <w:tcPr>
            <w:tcW w:w="832" w:type="pct"/>
            <w:vAlign w:val="center"/>
          </w:tcPr>
          <w:p w14:paraId="56B22692">
            <w:pPr>
              <w:spacing w:line="380" w:lineRule="exact"/>
              <w:jc w:val="center"/>
              <w:rPr>
                <w:rFonts w:ascii="宋体" w:hAnsi="宋体" w:cs="宋体"/>
                <w:b/>
                <w:bCs/>
                <w:color w:val="auto"/>
                <w:sz w:val="22"/>
                <w:szCs w:val="22"/>
                <w:highlight w:val="none"/>
              </w:rPr>
            </w:pPr>
          </w:p>
        </w:tc>
        <w:tc>
          <w:tcPr>
            <w:tcW w:w="641" w:type="pct"/>
            <w:vAlign w:val="center"/>
          </w:tcPr>
          <w:p w14:paraId="174B3778">
            <w:pPr>
              <w:spacing w:line="380" w:lineRule="exact"/>
              <w:jc w:val="center"/>
              <w:rPr>
                <w:rFonts w:ascii="宋体" w:hAnsi="宋体" w:cs="宋体"/>
                <w:b/>
                <w:bCs/>
                <w:color w:val="auto"/>
                <w:sz w:val="22"/>
                <w:szCs w:val="22"/>
                <w:highlight w:val="none"/>
              </w:rPr>
            </w:pPr>
          </w:p>
        </w:tc>
        <w:tc>
          <w:tcPr>
            <w:tcW w:w="684" w:type="pct"/>
            <w:vAlign w:val="center"/>
          </w:tcPr>
          <w:p w14:paraId="2C89A033">
            <w:pPr>
              <w:spacing w:line="380" w:lineRule="exact"/>
              <w:jc w:val="center"/>
              <w:rPr>
                <w:rFonts w:ascii="宋体" w:hAnsi="宋体" w:cs="宋体"/>
                <w:b/>
                <w:bCs/>
                <w:color w:val="auto"/>
                <w:sz w:val="22"/>
                <w:szCs w:val="22"/>
                <w:highlight w:val="none"/>
              </w:rPr>
            </w:pPr>
          </w:p>
        </w:tc>
        <w:tc>
          <w:tcPr>
            <w:tcW w:w="1331" w:type="pct"/>
            <w:vAlign w:val="center"/>
          </w:tcPr>
          <w:p w14:paraId="26D382B6">
            <w:pPr>
              <w:spacing w:line="380" w:lineRule="exact"/>
              <w:jc w:val="center"/>
              <w:rPr>
                <w:rFonts w:ascii="宋体" w:hAnsi="宋体" w:cs="宋体"/>
                <w:b/>
                <w:bCs/>
                <w:color w:val="auto"/>
                <w:sz w:val="22"/>
                <w:szCs w:val="22"/>
                <w:highlight w:val="none"/>
              </w:rPr>
            </w:pPr>
          </w:p>
        </w:tc>
      </w:tr>
      <w:tr w14:paraId="4AA8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CBBC41">
            <w:pPr>
              <w:spacing w:line="380" w:lineRule="exact"/>
              <w:jc w:val="center"/>
              <w:rPr>
                <w:rFonts w:ascii="宋体" w:hAnsi="宋体" w:cs="宋体"/>
                <w:b/>
                <w:bCs/>
                <w:color w:val="auto"/>
                <w:sz w:val="22"/>
                <w:szCs w:val="22"/>
                <w:highlight w:val="none"/>
              </w:rPr>
            </w:pPr>
          </w:p>
        </w:tc>
        <w:tc>
          <w:tcPr>
            <w:tcW w:w="1115" w:type="pct"/>
            <w:vAlign w:val="center"/>
          </w:tcPr>
          <w:p w14:paraId="1720B190">
            <w:pPr>
              <w:spacing w:line="380" w:lineRule="exact"/>
              <w:jc w:val="center"/>
              <w:rPr>
                <w:rFonts w:ascii="宋体" w:hAnsi="宋体" w:cs="宋体"/>
                <w:b/>
                <w:bCs/>
                <w:color w:val="auto"/>
                <w:sz w:val="22"/>
                <w:szCs w:val="22"/>
                <w:highlight w:val="none"/>
              </w:rPr>
            </w:pPr>
          </w:p>
        </w:tc>
        <w:tc>
          <w:tcPr>
            <w:tcW w:w="832" w:type="pct"/>
            <w:vAlign w:val="center"/>
          </w:tcPr>
          <w:p w14:paraId="76EE37A7">
            <w:pPr>
              <w:spacing w:line="380" w:lineRule="exact"/>
              <w:jc w:val="center"/>
              <w:rPr>
                <w:rFonts w:ascii="宋体" w:hAnsi="宋体" w:cs="宋体"/>
                <w:b/>
                <w:bCs/>
                <w:color w:val="auto"/>
                <w:sz w:val="22"/>
                <w:szCs w:val="22"/>
                <w:highlight w:val="none"/>
              </w:rPr>
            </w:pPr>
          </w:p>
        </w:tc>
        <w:tc>
          <w:tcPr>
            <w:tcW w:w="641" w:type="pct"/>
            <w:vAlign w:val="center"/>
          </w:tcPr>
          <w:p w14:paraId="63FB3727">
            <w:pPr>
              <w:spacing w:line="380" w:lineRule="exact"/>
              <w:jc w:val="center"/>
              <w:rPr>
                <w:rFonts w:ascii="宋体" w:hAnsi="宋体" w:cs="宋体"/>
                <w:b/>
                <w:bCs/>
                <w:color w:val="auto"/>
                <w:sz w:val="22"/>
                <w:szCs w:val="22"/>
                <w:highlight w:val="none"/>
              </w:rPr>
            </w:pPr>
          </w:p>
        </w:tc>
        <w:tc>
          <w:tcPr>
            <w:tcW w:w="684" w:type="pct"/>
            <w:vAlign w:val="center"/>
          </w:tcPr>
          <w:p w14:paraId="4BABD036">
            <w:pPr>
              <w:spacing w:line="380" w:lineRule="exact"/>
              <w:jc w:val="center"/>
              <w:rPr>
                <w:rFonts w:ascii="宋体" w:hAnsi="宋体" w:cs="宋体"/>
                <w:b/>
                <w:bCs/>
                <w:color w:val="auto"/>
                <w:sz w:val="22"/>
                <w:szCs w:val="22"/>
                <w:highlight w:val="none"/>
              </w:rPr>
            </w:pPr>
          </w:p>
        </w:tc>
        <w:tc>
          <w:tcPr>
            <w:tcW w:w="1331" w:type="pct"/>
            <w:vAlign w:val="center"/>
          </w:tcPr>
          <w:p w14:paraId="70276C0D">
            <w:pPr>
              <w:spacing w:line="380" w:lineRule="exact"/>
              <w:jc w:val="center"/>
              <w:rPr>
                <w:rFonts w:ascii="宋体" w:hAnsi="宋体" w:cs="宋体"/>
                <w:b/>
                <w:bCs/>
                <w:color w:val="auto"/>
                <w:sz w:val="22"/>
                <w:szCs w:val="22"/>
                <w:highlight w:val="none"/>
              </w:rPr>
            </w:pPr>
          </w:p>
        </w:tc>
      </w:tr>
      <w:tr w14:paraId="5592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0A30FC1">
            <w:pPr>
              <w:spacing w:line="380" w:lineRule="exact"/>
              <w:jc w:val="center"/>
              <w:rPr>
                <w:rFonts w:ascii="宋体" w:hAnsi="宋体" w:cs="宋体"/>
                <w:b/>
                <w:bCs/>
                <w:color w:val="auto"/>
                <w:sz w:val="22"/>
                <w:szCs w:val="22"/>
                <w:highlight w:val="none"/>
              </w:rPr>
            </w:pPr>
          </w:p>
        </w:tc>
        <w:tc>
          <w:tcPr>
            <w:tcW w:w="1115" w:type="pct"/>
            <w:vAlign w:val="center"/>
          </w:tcPr>
          <w:p w14:paraId="5219D260">
            <w:pPr>
              <w:spacing w:line="380" w:lineRule="exact"/>
              <w:jc w:val="center"/>
              <w:rPr>
                <w:rFonts w:ascii="宋体" w:hAnsi="宋体" w:cs="宋体"/>
                <w:b/>
                <w:bCs/>
                <w:color w:val="auto"/>
                <w:sz w:val="22"/>
                <w:szCs w:val="22"/>
                <w:highlight w:val="none"/>
              </w:rPr>
            </w:pPr>
          </w:p>
        </w:tc>
        <w:tc>
          <w:tcPr>
            <w:tcW w:w="832" w:type="pct"/>
            <w:vAlign w:val="center"/>
          </w:tcPr>
          <w:p w14:paraId="74E95F11">
            <w:pPr>
              <w:spacing w:line="380" w:lineRule="exact"/>
              <w:jc w:val="center"/>
              <w:rPr>
                <w:rFonts w:ascii="宋体" w:hAnsi="宋体" w:cs="宋体"/>
                <w:b/>
                <w:bCs/>
                <w:color w:val="auto"/>
                <w:sz w:val="22"/>
                <w:szCs w:val="22"/>
                <w:highlight w:val="none"/>
              </w:rPr>
            </w:pPr>
          </w:p>
        </w:tc>
        <w:tc>
          <w:tcPr>
            <w:tcW w:w="641" w:type="pct"/>
            <w:vAlign w:val="center"/>
          </w:tcPr>
          <w:p w14:paraId="545228CB">
            <w:pPr>
              <w:spacing w:line="380" w:lineRule="exact"/>
              <w:jc w:val="center"/>
              <w:rPr>
                <w:rFonts w:ascii="宋体" w:hAnsi="宋体" w:cs="宋体"/>
                <w:b/>
                <w:bCs/>
                <w:color w:val="auto"/>
                <w:sz w:val="22"/>
                <w:szCs w:val="22"/>
                <w:highlight w:val="none"/>
              </w:rPr>
            </w:pPr>
          </w:p>
        </w:tc>
        <w:tc>
          <w:tcPr>
            <w:tcW w:w="684" w:type="pct"/>
            <w:vAlign w:val="center"/>
          </w:tcPr>
          <w:p w14:paraId="1386B8A7">
            <w:pPr>
              <w:spacing w:line="380" w:lineRule="exact"/>
              <w:jc w:val="center"/>
              <w:rPr>
                <w:rFonts w:ascii="宋体" w:hAnsi="宋体" w:cs="宋体"/>
                <w:b/>
                <w:bCs/>
                <w:color w:val="auto"/>
                <w:sz w:val="22"/>
                <w:szCs w:val="22"/>
                <w:highlight w:val="none"/>
              </w:rPr>
            </w:pPr>
          </w:p>
        </w:tc>
        <w:tc>
          <w:tcPr>
            <w:tcW w:w="1331" w:type="pct"/>
            <w:vAlign w:val="center"/>
          </w:tcPr>
          <w:p w14:paraId="465E9982">
            <w:pPr>
              <w:spacing w:line="380" w:lineRule="exact"/>
              <w:jc w:val="center"/>
              <w:rPr>
                <w:rFonts w:ascii="宋体" w:hAnsi="宋体" w:cs="宋体"/>
                <w:b/>
                <w:bCs/>
                <w:color w:val="auto"/>
                <w:sz w:val="22"/>
                <w:szCs w:val="22"/>
                <w:highlight w:val="none"/>
              </w:rPr>
            </w:pPr>
          </w:p>
        </w:tc>
      </w:tr>
      <w:tr w14:paraId="55BC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2FCA7D">
            <w:pPr>
              <w:spacing w:line="380" w:lineRule="exact"/>
              <w:jc w:val="center"/>
              <w:rPr>
                <w:rFonts w:ascii="宋体" w:hAnsi="宋体" w:cs="宋体"/>
                <w:b/>
                <w:bCs/>
                <w:color w:val="auto"/>
                <w:sz w:val="22"/>
                <w:szCs w:val="22"/>
                <w:highlight w:val="none"/>
              </w:rPr>
            </w:pPr>
          </w:p>
        </w:tc>
        <w:tc>
          <w:tcPr>
            <w:tcW w:w="1115" w:type="pct"/>
            <w:vAlign w:val="center"/>
          </w:tcPr>
          <w:p w14:paraId="7EF746CB">
            <w:pPr>
              <w:spacing w:line="380" w:lineRule="exact"/>
              <w:jc w:val="center"/>
              <w:rPr>
                <w:rFonts w:ascii="宋体" w:hAnsi="宋体" w:cs="宋体"/>
                <w:b/>
                <w:bCs/>
                <w:color w:val="auto"/>
                <w:sz w:val="22"/>
                <w:szCs w:val="22"/>
                <w:highlight w:val="none"/>
              </w:rPr>
            </w:pPr>
          </w:p>
        </w:tc>
        <w:tc>
          <w:tcPr>
            <w:tcW w:w="832" w:type="pct"/>
            <w:vAlign w:val="center"/>
          </w:tcPr>
          <w:p w14:paraId="31B2C011">
            <w:pPr>
              <w:spacing w:line="380" w:lineRule="exact"/>
              <w:jc w:val="center"/>
              <w:rPr>
                <w:rFonts w:ascii="宋体" w:hAnsi="宋体" w:cs="宋体"/>
                <w:b/>
                <w:bCs/>
                <w:color w:val="auto"/>
                <w:sz w:val="22"/>
                <w:szCs w:val="22"/>
                <w:highlight w:val="none"/>
              </w:rPr>
            </w:pPr>
          </w:p>
        </w:tc>
        <w:tc>
          <w:tcPr>
            <w:tcW w:w="641" w:type="pct"/>
            <w:vAlign w:val="center"/>
          </w:tcPr>
          <w:p w14:paraId="5DA75706">
            <w:pPr>
              <w:spacing w:line="380" w:lineRule="exact"/>
              <w:jc w:val="center"/>
              <w:rPr>
                <w:rFonts w:ascii="宋体" w:hAnsi="宋体" w:cs="宋体"/>
                <w:b/>
                <w:bCs/>
                <w:color w:val="auto"/>
                <w:sz w:val="22"/>
                <w:szCs w:val="22"/>
                <w:highlight w:val="none"/>
              </w:rPr>
            </w:pPr>
          </w:p>
        </w:tc>
        <w:tc>
          <w:tcPr>
            <w:tcW w:w="684" w:type="pct"/>
            <w:vAlign w:val="center"/>
          </w:tcPr>
          <w:p w14:paraId="62445B7C">
            <w:pPr>
              <w:spacing w:line="380" w:lineRule="exact"/>
              <w:jc w:val="center"/>
              <w:rPr>
                <w:rFonts w:ascii="宋体" w:hAnsi="宋体" w:cs="宋体"/>
                <w:b/>
                <w:bCs/>
                <w:color w:val="auto"/>
                <w:sz w:val="22"/>
                <w:szCs w:val="22"/>
                <w:highlight w:val="none"/>
              </w:rPr>
            </w:pPr>
          </w:p>
        </w:tc>
        <w:tc>
          <w:tcPr>
            <w:tcW w:w="1331" w:type="pct"/>
            <w:vAlign w:val="center"/>
          </w:tcPr>
          <w:p w14:paraId="4A2B87A5">
            <w:pPr>
              <w:spacing w:line="380" w:lineRule="exact"/>
              <w:jc w:val="center"/>
              <w:rPr>
                <w:rFonts w:ascii="宋体" w:hAnsi="宋体" w:cs="宋体"/>
                <w:b/>
                <w:bCs/>
                <w:color w:val="auto"/>
                <w:sz w:val="22"/>
                <w:szCs w:val="22"/>
                <w:highlight w:val="none"/>
              </w:rPr>
            </w:pPr>
          </w:p>
        </w:tc>
      </w:tr>
      <w:tr w14:paraId="08C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1466AB73">
            <w:pPr>
              <w:spacing w:line="380" w:lineRule="exact"/>
              <w:jc w:val="center"/>
              <w:rPr>
                <w:rFonts w:ascii="宋体" w:hAnsi="宋体" w:cs="宋体"/>
                <w:b/>
                <w:bCs/>
                <w:color w:val="auto"/>
                <w:sz w:val="22"/>
                <w:szCs w:val="22"/>
                <w:highlight w:val="none"/>
              </w:rPr>
            </w:pPr>
          </w:p>
        </w:tc>
        <w:tc>
          <w:tcPr>
            <w:tcW w:w="1115" w:type="pct"/>
            <w:vAlign w:val="center"/>
          </w:tcPr>
          <w:p w14:paraId="3DCF1592">
            <w:pPr>
              <w:spacing w:line="380" w:lineRule="exact"/>
              <w:jc w:val="center"/>
              <w:rPr>
                <w:rFonts w:ascii="宋体" w:hAnsi="宋体" w:cs="宋体"/>
                <w:b/>
                <w:bCs/>
                <w:color w:val="auto"/>
                <w:sz w:val="22"/>
                <w:szCs w:val="22"/>
                <w:highlight w:val="none"/>
              </w:rPr>
            </w:pPr>
          </w:p>
        </w:tc>
        <w:tc>
          <w:tcPr>
            <w:tcW w:w="832" w:type="pct"/>
            <w:vAlign w:val="center"/>
          </w:tcPr>
          <w:p w14:paraId="6F2C7321">
            <w:pPr>
              <w:spacing w:line="380" w:lineRule="exact"/>
              <w:jc w:val="center"/>
              <w:rPr>
                <w:rFonts w:ascii="宋体" w:hAnsi="宋体" w:cs="宋体"/>
                <w:b/>
                <w:bCs/>
                <w:color w:val="auto"/>
                <w:sz w:val="22"/>
                <w:szCs w:val="22"/>
                <w:highlight w:val="none"/>
              </w:rPr>
            </w:pPr>
          </w:p>
        </w:tc>
        <w:tc>
          <w:tcPr>
            <w:tcW w:w="641" w:type="pct"/>
            <w:vAlign w:val="center"/>
          </w:tcPr>
          <w:p w14:paraId="2BFE9340">
            <w:pPr>
              <w:spacing w:line="380" w:lineRule="exact"/>
              <w:jc w:val="center"/>
              <w:rPr>
                <w:rFonts w:ascii="宋体" w:hAnsi="宋体" w:cs="宋体"/>
                <w:b/>
                <w:bCs/>
                <w:color w:val="auto"/>
                <w:sz w:val="22"/>
                <w:szCs w:val="22"/>
                <w:highlight w:val="none"/>
              </w:rPr>
            </w:pPr>
          </w:p>
        </w:tc>
        <w:tc>
          <w:tcPr>
            <w:tcW w:w="684" w:type="pct"/>
            <w:vAlign w:val="center"/>
          </w:tcPr>
          <w:p w14:paraId="37A205D0">
            <w:pPr>
              <w:spacing w:line="380" w:lineRule="exact"/>
              <w:jc w:val="center"/>
              <w:rPr>
                <w:rFonts w:ascii="宋体" w:hAnsi="宋体" w:cs="宋体"/>
                <w:b/>
                <w:bCs/>
                <w:color w:val="auto"/>
                <w:sz w:val="22"/>
                <w:szCs w:val="22"/>
                <w:highlight w:val="none"/>
              </w:rPr>
            </w:pPr>
          </w:p>
        </w:tc>
        <w:tc>
          <w:tcPr>
            <w:tcW w:w="1331" w:type="pct"/>
            <w:vAlign w:val="center"/>
          </w:tcPr>
          <w:p w14:paraId="03162138">
            <w:pPr>
              <w:spacing w:line="380" w:lineRule="exact"/>
              <w:jc w:val="center"/>
              <w:rPr>
                <w:rFonts w:ascii="宋体" w:hAnsi="宋体" w:cs="宋体"/>
                <w:b/>
                <w:bCs/>
                <w:color w:val="auto"/>
                <w:sz w:val="22"/>
                <w:szCs w:val="22"/>
                <w:highlight w:val="none"/>
              </w:rPr>
            </w:pPr>
          </w:p>
        </w:tc>
      </w:tr>
      <w:tr w14:paraId="6B50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D21DF7F">
            <w:pPr>
              <w:spacing w:line="380" w:lineRule="exact"/>
              <w:jc w:val="center"/>
              <w:rPr>
                <w:rFonts w:ascii="宋体" w:hAnsi="宋体" w:cs="宋体"/>
                <w:b/>
                <w:bCs/>
                <w:color w:val="auto"/>
                <w:sz w:val="22"/>
                <w:szCs w:val="22"/>
                <w:highlight w:val="none"/>
              </w:rPr>
            </w:pPr>
          </w:p>
        </w:tc>
        <w:tc>
          <w:tcPr>
            <w:tcW w:w="1115" w:type="pct"/>
            <w:vAlign w:val="center"/>
          </w:tcPr>
          <w:p w14:paraId="3BD703E0">
            <w:pPr>
              <w:spacing w:line="380" w:lineRule="exact"/>
              <w:jc w:val="center"/>
              <w:rPr>
                <w:rFonts w:ascii="宋体" w:hAnsi="宋体" w:cs="宋体"/>
                <w:b/>
                <w:bCs/>
                <w:color w:val="auto"/>
                <w:sz w:val="22"/>
                <w:szCs w:val="22"/>
                <w:highlight w:val="none"/>
              </w:rPr>
            </w:pPr>
          </w:p>
        </w:tc>
        <w:tc>
          <w:tcPr>
            <w:tcW w:w="832" w:type="pct"/>
            <w:vAlign w:val="center"/>
          </w:tcPr>
          <w:p w14:paraId="2C21813D">
            <w:pPr>
              <w:spacing w:line="380" w:lineRule="exact"/>
              <w:jc w:val="center"/>
              <w:rPr>
                <w:rFonts w:ascii="宋体" w:hAnsi="宋体" w:cs="宋体"/>
                <w:b/>
                <w:bCs/>
                <w:color w:val="auto"/>
                <w:sz w:val="22"/>
                <w:szCs w:val="22"/>
                <w:highlight w:val="none"/>
              </w:rPr>
            </w:pPr>
          </w:p>
        </w:tc>
        <w:tc>
          <w:tcPr>
            <w:tcW w:w="641" w:type="pct"/>
            <w:vAlign w:val="center"/>
          </w:tcPr>
          <w:p w14:paraId="33DAAE4A">
            <w:pPr>
              <w:spacing w:line="380" w:lineRule="exact"/>
              <w:jc w:val="center"/>
              <w:rPr>
                <w:rFonts w:ascii="宋体" w:hAnsi="宋体" w:cs="宋体"/>
                <w:b/>
                <w:bCs/>
                <w:color w:val="auto"/>
                <w:sz w:val="22"/>
                <w:szCs w:val="22"/>
                <w:highlight w:val="none"/>
              </w:rPr>
            </w:pPr>
          </w:p>
        </w:tc>
        <w:tc>
          <w:tcPr>
            <w:tcW w:w="684" w:type="pct"/>
            <w:vAlign w:val="center"/>
          </w:tcPr>
          <w:p w14:paraId="77245540">
            <w:pPr>
              <w:spacing w:line="380" w:lineRule="exact"/>
              <w:jc w:val="center"/>
              <w:rPr>
                <w:rFonts w:ascii="宋体" w:hAnsi="宋体" w:cs="宋体"/>
                <w:b/>
                <w:bCs/>
                <w:color w:val="auto"/>
                <w:sz w:val="22"/>
                <w:szCs w:val="22"/>
                <w:highlight w:val="none"/>
              </w:rPr>
            </w:pPr>
          </w:p>
        </w:tc>
        <w:tc>
          <w:tcPr>
            <w:tcW w:w="1331" w:type="pct"/>
            <w:vAlign w:val="center"/>
          </w:tcPr>
          <w:p w14:paraId="6857CF89">
            <w:pPr>
              <w:spacing w:line="380" w:lineRule="exact"/>
              <w:jc w:val="center"/>
              <w:rPr>
                <w:rFonts w:ascii="宋体" w:hAnsi="宋体" w:cs="宋体"/>
                <w:b/>
                <w:bCs/>
                <w:color w:val="auto"/>
                <w:sz w:val="22"/>
                <w:szCs w:val="22"/>
                <w:highlight w:val="none"/>
              </w:rPr>
            </w:pPr>
          </w:p>
        </w:tc>
      </w:tr>
      <w:tr w14:paraId="321D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55687C1B">
            <w:pPr>
              <w:spacing w:line="380" w:lineRule="exact"/>
              <w:jc w:val="center"/>
              <w:rPr>
                <w:rFonts w:ascii="宋体" w:hAnsi="宋体" w:cs="宋体"/>
                <w:b/>
                <w:bCs/>
                <w:color w:val="auto"/>
                <w:sz w:val="22"/>
                <w:szCs w:val="22"/>
                <w:highlight w:val="none"/>
              </w:rPr>
            </w:pPr>
          </w:p>
        </w:tc>
        <w:tc>
          <w:tcPr>
            <w:tcW w:w="1115" w:type="pct"/>
            <w:vAlign w:val="center"/>
          </w:tcPr>
          <w:p w14:paraId="2E838D71">
            <w:pPr>
              <w:spacing w:line="380" w:lineRule="exact"/>
              <w:jc w:val="center"/>
              <w:rPr>
                <w:rFonts w:ascii="宋体" w:hAnsi="宋体" w:cs="宋体"/>
                <w:b/>
                <w:bCs/>
                <w:color w:val="auto"/>
                <w:sz w:val="22"/>
                <w:szCs w:val="22"/>
                <w:highlight w:val="none"/>
              </w:rPr>
            </w:pPr>
          </w:p>
        </w:tc>
        <w:tc>
          <w:tcPr>
            <w:tcW w:w="832" w:type="pct"/>
            <w:vAlign w:val="center"/>
          </w:tcPr>
          <w:p w14:paraId="26D2E8BA">
            <w:pPr>
              <w:spacing w:line="380" w:lineRule="exact"/>
              <w:jc w:val="center"/>
              <w:rPr>
                <w:rFonts w:ascii="宋体" w:hAnsi="宋体" w:cs="宋体"/>
                <w:b/>
                <w:bCs/>
                <w:color w:val="auto"/>
                <w:sz w:val="22"/>
                <w:szCs w:val="22"/>
                <w:highlight w:val="none"/>
              </w:rPr>
            </w:pPr>
          </w:p>
        </w:tc>
        <w:tc>
          <w:tcPr>
            <w:tcW w:w="641" w:type="pct"/>
            <w:vAlign w:val="center"/>
          </w:tcPr>
          <w:p w14:paraId="0FF7B393">
            <w:pPr>
              <w:spacing w:line="380" w:lineRule="exact"/>
              <w:jc w:val="center"/>
              <w:rPr>
                <w:rFonts w:ascii="宋体" w:hAnsi="宋体" w:cs="宋体"/>
                <w:b/>
                <w:bCs/>
                <w:color w:val="auto"/>
                <w:sz w:val="22"/>
                <w:szCs w:val="22"/>
                <w:highlight w:val="none"/>
              </w:rPr>
            </w:pPr>
          </w:p>
        </w:tc>
        <w:tc>
          <w:tcPr>
            <w:tcW w:w="684" w:type="pct"/>
            <w:vAlign w:val="center"/>
          </w:tcPr>
          <w:p w14:paraId="060BC542">
            <w:pPr>
              <w:spacing w:line="380" w:lineRule="exact"/>
              <w:jc w:val="center"/>
              <w:rPr>
                <w:rFonts w:ascii="宋体" w:hAnsi="宋体" w:cs="宋体"/>
                <w:b/>
                <w:bCs/>
                <w:color w:val="auto"/>
                <w:sz w:val="22"/>
                <w:szCs w:val="22"/>
                <w:highlight w:val="none"/>
              </w:rPr>
            </w:pPr>
          </w:p>
        </w:tc>
        <w:tc>
          <w:tcPr>
            <w:tcW w:w="1331" w:type="pct"/>
            <w:vAlign w:val="center"/>
          </w:tcPr>
          <w:p w14:paraId="3ECD35B4">
            <w:pPr>
              <w:spacing w:line="380" w:lineRule="exact"/>
              <w:jc w:val="center"/>
              <w:rPr>
                <w:rFonts w:ascii="宋体" w:hAnsi="宋体" w:cs="宋体"/>
                <w:b/>
                <w:bCs/>
                <w:color w:val="auto"/>
                <w:sz w:val="22"/>
                <w:szCs w:val="22"/>
                <w:highlight w:val="none"/>
              </w:rPr>
            </w:pPr>
          </w:p>
        </w:tc>
      </w:tr>
      <w:tr w14:paraId="2855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2EFF92">
            <w:pPr>
              <w:spacing w:line="380" w:lineRule="exact"/>
              <w:jc w:val="center"/>
              <w:rPr>
                <w:rFonts w:ascii="宋体" w:hAnsi="宋体" w:cs="宋体"/>
                <w:b/>
                <w:bCs/>
                <w:color w:val="auto"/>
                <w:sz w:val="22"/>
                <w:szCs w:val="22"/>
                <w:highlight w:val="none"/>
              </w:rPr>
            </w:pPr>
          </w:p>
        </w:tc>
        <w:tc>
          <w:tcPr>
            <w:tcW w:w="1115" w:type="pct"/>
            <w:vAlign w:val="center"/>
          </w:tcPr>
          <w:p w14:paraId="25B84109">
            <w:pPr>
              <w:spacing w:line="380" w:lineRule="exact"/>
              <w:jc w:val="center"/>
              <w:rPr>
                <w:rFonts w:ascii="宋体" w:hAnsi="宋体" w:cs="宋体"/>
                <w:b/>
                <w:bCs/>
                <w:color w:val="auto"/>
                <w:sz w:val="22"/>
                <w:szCs w:val="22"/>
                <w:highlight w:val="none"/>
              </w:rPr>
            </w:pPr>
          </w:p>
        </w:tc>
        <w:tc>
          <w:tcPr>
            <w:tcW w:w="832" w:type="pct"/>
            <w:vAlign w:val="center"/>
          </w:tcPr>
          <w:p w14:paraId="5D33DA9F">
            <w:pPr>
              <w:spacing w:line="380" w:lineRule="exact"/>
              <w:jc w:val="center"/>
              <w:rPr>
                <w:rFonts w:ascii="宋体" w:hAnsi="宋体" w:cs="宋体"/>
                <w:b/>
                <w:bCs/>
                <w:color w:val="auto"/>
                <w:sz w:val="22"/>
                <w:szCs w:val="22"/>
                <w:highlight w:val="none"/>
              </w:rPr>
            </w:pPr>
          </w:p>
        </w:tc>
        <w:tc>
          <w:tcPr>
            <w:tcW w:w="641" w:type="pct"/>
            <w:vAlign w:val="center"/>
          </w:tcPr>
          <w:p w14:paraId="7EAA592F">
            <w:pPr>
              <w:spacing w:line="380" w:lineRule="exact"/>
              <w:jc w:val="center"/>
              <w:rPr>
                <w:rFonts w:ascii="宋体" w:hAnsi="宋体" w:cs="宋体"/>
                <w:b/>
                <w:bCs/>
                <w:color w:val="auto"/>
                <w:sz w:val="22"/>
                <w:szCs w:val="22"/>
                <w:highlight w:val="none"/>
              </w:rPr>
            </w:pPr>
          </w:p>
        </w:tc>
        <w:tc>
          <w:tcPr>
            <w:tcW w:w="684" w:type="pct"/>
            <w:vAlign w:val="center"/>
          </w:tcPr>
          <w:p w14:paraId="6E72B231">
            <w:pPr>
              <w:spacing w:line="380" w:lineRule="exact"/>
              <w:jc w:val="center"/>
              <w:rPr>
                <w:rFonts w:ascii="宋体" w:hAnsi="宋体" w:cs="宋体"/>
                <w:b/>
                <w:bCs/>
                <w:color w:val="auto"/>
                <w:sz w:val="22"/>
                <w:szCs w:val="22"/>
                <w:highlight w:val="none"/>
              </w:rPr>
            </w:pPr>
          </w:p>
        </w:tc>
        <w:tc>
          <w:tcPr>
            <w:tcW w:w="1331" w:type="pct"/>
            <w:vAlign w:val="center"/>
          </w:tcPr>
          <w:p w14:paraId="39EC63E0">
            <w:pPr>
              <w:spacing w:line="380" w:lineRule="exact"/>
              <w:jc w:val="center"/>
              <w:rPr>
                <w:rFonts w:ascii="宋体" w:hAnsi="宋体" w:cs="宋体"/>
                <w:b/>
                <w:bCs/>
                <w:color w:val="auto"/>
                <w:sz w:val="22"/>
                <w:szCs w:val="22"/>
                <w:highlight w:val="none"/>
              </w:rPr>
            </w:pPr>
          </w:p>
        </w:tc>
      </w:tr>
      <w:tr w14:paraId="0E0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8573C44">
            <w:pPr>
              <w:spacing w:line="380" w:lineRule="exact"/>
              <w:jc w:val="center"/>
              <w:rPr>
                <w:rFonts w:ascii="宋体" w:hAnsi="宋体" w:cs="宋体"/>
                <w:b/>
                <w:bCs/>
                <w:color w:val="auto"/>
                <w:sz w:val="22"/>
                <w:szCs w:val="22"/>
                <w:highlight w:val="none"/>
              </w:rPr>
            </w:pPr>
          </w:p>
        </w:tc>
        <w:tc>
          <w:tcPr>
            <w:tcW w:w="1115" w:type="pct"/>
            <w:vAlign w:val="center"/>
          </w:tcPr>
          <w:p w14:paraId="00CD8993">
            <w:pPr>
              <w:spacing w:line="380" w:lineRule="exact"/>
              <w:jc w:val="center"/>
              <w:rPr>
                <w:rFonts w:ascii="宋体" w:hAnsi="宋体" w:cs="宋体"/>
                <w:b/>
                <w:bCs/>
                <w:color w:val="auto"/>
                <w:sz w:val="22"/>
                <w:szCs w:val="22"/>
                <w:highlight w:val="none"/>
              </w:rPr>
            </w:pPr>
          </w:p>
        </w:tc>
        <w:tc>
          <w:tcPr>
            <w:tcW w:w="832" w:type="pct"/>
            <w:vAlign w:val="center"/>
          </w:tcPr>
          <w:p w14:paraId="5DD920C0">
            <w:pPr>
              <w:spacing w:line="380" w:lineRule="exact"/>
              <w:jc w:val="center"/>
              <w:rPr>
                <w:rFonts w:ascii="宋体" w:hAnsi="宋体" w:cs="宋体"/>
                <w:b/>
                <w:bCs/>
                <w:color w:val="auto"/>
                <w:sz w:val="22"/>
                <w:szCs w:val="22"/>
                <w:highlight w:val="none"/>
              </w:rPr>
            </w:pPr>
          </w:p>
        </w:tc>
        <w:tc>
          <w:tcPr>
            <w:tcW w:w="641" w:type="pct"/>
            <w:vAlign w:val="center"/>
          </w:tcPr>
          <w:p w14:paraId="46DE56B7">
            <w:pPr>
              <w:spacing w:line="380" w:lineRule="exact"/>
              <w:jc w:val="center"/>
              <w:rPr>
                <w:rFonts w:ascii="宋体" w:hAnsi="宋体" w:cs="宋体"/>
                <w:b/>
                <w:bCs/>
                <w:color w:val="auto"/>
                <w:sz w:val="22"/>
                <w:szCs w:val="22"/>
                <w:highlight w:val="none"/>
              </w:rPr>
            </w:pPr>
          </w:p>
        </w:tc>
        <w:tc>
          <w:tcPr>
            <w:tcW w:w="684" w:type="pct"/>
            <w:vAlign w:val="center"/>
          </w:tcPr>
          <w:p w14:paraId="2D8C9AD5">
            <w:pPr>
              <w:spacing w:line="380" w:lineRule="exact"/>
              <w:jc w:val="center"/>
              <w:rPr>
                <w:rFonts w:ascii="宋体" w:hAnsi="宋体" w:cs="宋体"/>
                <w:b/>
                <w:bCs/>
                <w:color w:val="auto"/>
                <w:sz w:val="22"/>
                <w:szCs w:val="22"/>
                <w:highlight w:val="none"/>
              </w:rPr>
            </w:pPr>
          </w:p>
        </w:tc>
        <w:tc>
          <w:tcPr>
            <w:tcW w:w="1331" w:type="pct"/>
            <w:vAlign w:val="center"/>
          </w:tcPr>
          <w:p w14:paraId="1AFC0D71">
            <w:pPr>
              <w:spacing w:line="380" w:lineRule="exact"/>
              <w:jc w:val="center"/>
              <w:rPr>
                <w:rFonts w:ascii="宋体" w:hAnsi="宋体" w:cs="宋体"/>
                <w:b/>
                <w:bCs/>
                <w:color w:val="auto"/>
                <w:sz w:val="22"/>
                <w:szCs w:val="22"/>
                <w:highlight w:val="none"/>
              </w:rPr>
            </w:pPr>
          </w:p>
        </w:tc>
      </w:tr>
    </w:tbl>
    <w:p w14:paraId="4BA7E366">
      <w:pPr>
        <w:spacing w:line="440" w:lineRule="exact"/>
        <w:rPr>
          <w:rFonts w:ascii="宋体" w:hAnsi="宋体" w:cs="宋体"/>
          <w:b/>
          <w:color w:val="auto"/>
          <w:sz w:val="22"/>
          <w:szCs w:val="22"/>
          <w:highlight w:val="none"/>
        </w:rPr>
      </w:pPr>
      <w:bookmarkStart w:id="98" w:name="_Toc469730741"/>
      <w:bookmarkStart w:id="99" w:name="_Toc82417917"/>
      <w:bookmarkStart w:id="100" w:name="_Toc13603237"/>
      <w:bookmarkStart w:id="101" w:name="_Toc54034498"/>
      <w:bookmarkStart w:id="102" w:name="_Toc480204650"/>
      <w:r>
        <w:rPr>
          <w:rFonts w:hint="eastAsia" w:ascii="宋体" w:hAnsi="宋体" w:cs="宋体"/>
          <w:b/>
          <w:color w:val="auto"/>
          <w:sz w:val="22"/>
          <w:szCs w:val="22"/>
          <w:highlight w:val="none"/>
        </w:rPr>
        <w:t>注：根据商务技术评分要求提供证明材料。</w:t>
      </w:r>
    </w:p>
    <w:p w14:paraId="14DE2892">
      <w:pPr>
        <w:tabs>
          <w:tab w:val="left" w:pos="720"/>
          <w:tab w:val="left" w:pos="1260"/>
          <w:tab w:val="left" w:pos="5355"/>
        </w:tabs>
        <w:spacing w:line="430" w:lineRule="exact"/>
        <w:rPr>
          <w:rFonts w:ascii="宋体" w:hAnsi="宋体" w:cs="宋体"/>
          <w:bCs/>
          <w:color w:val="auto"/>
          <w:sz w:val="22"/>
          <w:szCs w:val="22"/>
          <w:highlight w:val="none"/>
        </w:rPr>
      </w:pPr>
    </w:p>
    <w:p w14:paraId="1CCE2E69">
      <w:pPr>
        <w:spacing w:line="440" w:lineRule="exact"/>
        <w:ind w:firstLine="4400" w:firstLineChars="2000"/>
        <w:rPr>
          <w:rFonts w:ascii="宋体" w:hAnsi="宋体" w:cs="宋体"/>
          <w:color w:val="auto"/>
          <w:sz w:val="22"/>
          <w:szCs w:val="22"/>
          <w:highlight w:val="none"/>
        </w:rPr>
      </w:pPr>
    </w:p>
    <w:p w14:paraId="057B8EC1">
      <w:pPr>
        <w:spacing w:line="440" w:lineRule="exact"/>
        <w:rPr>
          <w:rFonts w:ascii="宋体" w:hAnsi="宋体" w:cs="宋体"/>
          <w:color w:val="auto"/>
          <w:sz w:val="22"/>
          <w:szCs w:val="22"/>
          <w:highlight w:val="none"/>
        </w:rPr>
      </w:pPr>
    </w:p>
    <w:p w14:paraId="4E43AF61">
      <w:pPr>
        <w:spacing w:line="440" w:lineRule="exact"/>
        <w:ind w:firstLine="4400" w:firstLineChars="2000"/>
        <w:rPr>
          <w:rFonts w:ascii="宋体" w:hAnsi="宋体" w:cs="宋体"/>
          <w:color w:val="auto"/>
          <w:sz w:val="22"/>
          <w:szCs w:val="22"/>
          <w:highlight w:val="none"/>
        </w:rPr>
      </w:pPr>
    </w:p>
    <w:p w14:paraId="5A41E41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6A1E88B7">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D598BDF">
      <w:pPr>
        <w:pStyle w:val="3"/>
        <w:spacing w:line="240" w:lineRule="auto"/>
        <w:rPr>
          <w:rFonts w:ascii="宋体" w:hAnsi="宋体" w:eastAsia="宋体"/>
          <w:color w:val="auto"/>
          <w:sz w:val="24"/>
          <w:szCs w:val="24"/>
          <w:highlight w:val="none"/>
        </w:rPr>
      </w:pPr>
      <w:bookmarkStart w:id="103" w:name="_Toc18629"/>
      <w:bookmarkStart w:id="104" w:name="_Toc20385"/>
      <w:bookmarkStart w:id="105" w:name="_Toc10560"/>
      <w:bookmarkStart w:id="106" w:name="_Toc20861"/>
      <w:bookmarkStart w:id="107" w:name="_Toc21927"/>
      <w:bookmarkStart w:id="108" w:name="_Toc40035657"/>
      <w:bookmarkStart w:id="109" w:name="_Toc524273184"/>
      <w:r>
        <w:rPr>
          <w:rFonts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 xml:space="preserve"> 政府采购政策功能相关说明</w:t>
      </w:r>
      <w:bookmarkEnd w:id="103"/>
      <w:bookmarkEnd w:id="104"/>
      <w:bookmarkEnd w:id="105"/>
      <w:bookmarkEnd w:id="106"/>
      <w:bookmarkEnd w:id="107"/>
      <w:bookmarkEnd w:id="108"/>
      <w:bookmarkEnd w:id="109"/>
    </w:p>
    <w:p w14:paraId="46C08168">
      <w:pPr>
        <w:spacing w:line="440" w:lineRule="exact"/>
        <w:ind w:left="708" w:hanging="708" w:hangingChars="294"/>
        <w:jc w:val="center"/>
        <w:rPr>
          <w:rFonts w:ascii="宋体" w:hAnsi="宋体" w:cs="宋体"/>
          <w:b/>
          <w:color w:val="auto"/>
          <w:sz w:val="24"/>
          <w:highlight w:val="none"/>
        </w:rPr>
      </w:pPr>
      <w:r>
        <w:rPr>
          <w:rFonts w:hint="eastAsia" w:ascii="宋体" w:hAnsi="宋体" w:cs="宋体"/>
          <w:b/>
          <w:color w:val="auto"/>
          <w:sz w:val="24"/>
          <w:highlight w:val="none"/>
        </w:rPr>
        <w:t>（1）小、微企业（含监狱企业、残疾人福利性单位）扶持政策说明</w:t>
      </w:r>
    </w:p>
    <w:p w14:paraId="1D41B7D9">
      <w:pPr>
        <w:spacing w:line="440" w:lineRule="atLeast"/>
        <w:jc w:val="left"/>
        <w:rPr>
          <w:rFonts w:ascii="宋体" w:hAnsi="宋体"/>
          <w:color w:val="auto"/>
          <w:sz w:val="22"/>
          <w:highlight w:val="none"/>
        </w:rPr>
      </w:pPr>
      <w:r>
        <w:rPr>
          <w:rFonts w:ascii="宋体" w:hAnsi="宋体"/>
          <w:color w:val="auto"/>
          <w:sz w:val="22"/>
          <w:highlight w:val="none"/>
        </w:rPr>
        <w:t xml:space="preserve">1.   </w:t>
      </w:r>
      <w:r>
        <w:rPr>
          <w:rFonts w:hint="eastAsia" w:ascii="宋体" w:hAnsi="宋体"/>
          <w:color w:val="auto"/>
          <w:sz w:val="22"/>
          <w:highlight w:val="none"/>
        </w:rPr>
        <w:t>文件依据</w:t>
      </w:r>
    </w:p>
    <w:p w14:paraId="61B856EF">
      <w:pPr>
        <w:spacing w:line="440" w:lineRule="atLeast"/>
        <w:jc w:val="left"/>
        <w:rPr>
          <w:rFonts w:ascii="宋体" w:hAnsi="宋体"/>
          <w:color w:val="auto"/>
          <w:sz w:val="22"/>
          <w:highlight w:val="none"/>
        </w:rPr>
      </w:pPr>
      <w:r>
        <w:rPr>
          <w:rFonts w:hint="eastAsia" w:ascii="宋体" w:hAnsi="宋体"/>
          <w:color w:val="auto"/>
          <w:sz w:val="22"/>
          <w:highlight w:val="none"/>
        </w:rPr>
        <w:t>（1）关于印发《政府采购促进中小企业发展暂行办法》的通知（财库〔2020〕46号）</w:t>
      </w:r>
    </w:p>
    <w:p w14:paraId="4F65DF88">
      <w:pPr>
        <w:spacing w:line="440" w:lineRule="atLeast"/>
        <w:jc w:val="left"/>
        <w:rPr>
          <w:rFonts w:ascii="宋体" w:hAnsi="宋体"/>
          <w:color w:val="auto"/>
          <w:sz w:val="22"/>
          <w:highlight w:val="none"/>
        </w:rPr>
      </w:pPr>
      <w:r>
        <w:rPr>
          <w:rFonts w:hint="eastAsia" w:ascii="宋体" w:hAnsi="宋体"/>
          <w:color w:val="auto"/>
          <w:sz w:val="22"/>
          <w:highlight w:val="none"/>
        </w:rPr>
        <w:t>（2）《工业和信息化部、国家统计局、国家发展和改革委员会、财政部关于印发中小企业划型标准规定的通知》（</w:t>
      </w:r>
      <w:r>
        <w:rPr>
          <w:rFonts w:ascii="宋体" w:hAnsi="宋体"/>
          <w:color w:val="auto"/>
          <w:sz w:val="22"/>
          <w:highlight w:val="none"/>
        </w:rPr>
        <w:t>工信部联企业[2011]300号</w:t>
      </w:r>
      <w:r>
        <w:rPr>
          <w:rFonts w:hint="eastAsia" w:ascii="宋体" w:hAnsi="宋体"/>
          <w:color w:val="auto"/>
          <w:sz w:val="22"/>
          <w:highlight w:val="none"/>
        </w:rPr>
        <w:t>）</w:t>
      </w:r>
    </w:p>
    <w:p w14:paraId="43F7C7E1">
      <w:pPr>
        <w:spacing w:line="440" w:lineRule="atLeast"/>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3</w:t>
      </w:r>
      <w:r>
        <w:rPr>
          <w:rFonts w:hint="eastAsia" w:ascii="宋体" w:hAnsi="宋体"/>
          <w:color w:val="auto"/>
          <w:sz w:val="22"/>
          <w:highlight w:val="none"/>
        </w:rPr>
        <w:t>）财政部、司法部《关于政府采购支持监狱企业发展有关问题的通知》（财库〔2014〕68号）</w:t>
      </w:r>
    </w:p>
    <w:p w14:paraId="751B64F5">
      <w:pPr>
        <w:spacing w:line="440" w:lineRule="atLeast"/>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4</w:t>
      </w:r>
      <w:r>
        <w:rPr>
          <w:rFonts w:hint="eastAsia" w:ascii="宋体" w:hAnsi="宋体"/>
          <w:color w:val="auto"/>
          <w:sz w:val="22"/>
          <w:highlight w:val="none"/>
        </w:rPr>
        <w:t>）《财政部 民政部 中国残疾人联合会关于促进残疾人就业政府采购政策的通知》（财库〔2017〕 141号）</w:t>
      </w:r>
    </w:p>
    <w:p w14:paraId="562DA8C6">
      <w:pPr>
        <w:spacing w:line="440" w:lineRule="atLeast"/>
        <w:jc w:val="left"/>
        <w:rPr>
          <w:rFonts w:ascii="宋体" w:hAnsi="宋体"/>
          <w:color w:val="auto"/>
          <w:sz w:val="22"/>
          <w:highlight w:val="none"/>
        </w:rPr>
      </w:pPr>
      <w:r>
        <w:rPr>
          <w:rFonts w:ascii="宋体" w:hAnsi="宋体"/>
          <w:color w:val="auto"/>
          <w:sz w:val="22"/>
          <w:highlight w:val="none"/>
        </w:rPr>
        <w:t xml:space="preserve">2.   </w:t>
      </w:r>
      <w:r>
        <w:rPr>
          <w:rFonts w:hint="eastAsia" w:ascii="宋体" w:hAnsi="宋体"/>
          <w:color w:val="auto"/>
          <w:sz w:val="22"/>
          <w:highlight w:val="none"/>
        </w:rPr>
        <w:t>享受小微企业价格折扣应具备的条件与价格折扣比例：</w:t>
      </w:r>
    </w:p>
    <w:p w14:paraId="604CC71D">
      <w:pPr>
        <w:spacing w:line="440" w:lineRule="atLeast"/>
        <w:jc w:val="left"/>
        <w:rPr>
          <w:rFonts w:ascii="宋体" w:hAnsi="宋体"/>
          <w:b/>
          <w:color w:val="auto"/>
          <w:sz w:val="22"/>
          <w:highlight w:val="none"/>
        </w:rPr>
      </w:pPr>
      <w:r>
        <w:rPr>
          <w:rFonts w:hint="eastAsia" w:ascii="宋体" w:hAnsi="宋体"/>
          <w:b/>
          <w:color w:val="auto"/>
          <w:sz w:val="22"/>
          <w:highlight w:val="none"/>
        </w:rPr>
        <w:t>（1）符合中小企业划分标准；</w:t>
      </w:r>
    </w:p>
    <w:p w14:paraId="0BA56552">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2</w:t>
      </w:r>
      <w:r>
        <w:rPr>
          <w:rFonts w:ascii="宋体" w:hAnsi="宋体"/>
          <w:b/>
          <w:color w:val="auto"/>
          <w:sz w:val="22"/>
          <w:highlight w:val="none"/>
        </w:rPr>
        <w:t>）在货物采购项目中，货物由中小企业制造，即货物由中小企业生产且使用该中小企业商号或者注册商标；</w:t>
      </w:r>
    </w:p>
    <w:p w14:paraId="54F33686">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3</w:t>
      </w:r>
      <w:r>
        <w:rPr>
          <w:rFonts w:ascii="宋体" w:hAnsi="宋体"/>
          <w:b/>
          <w:color w:val="auto"/>
          <w:sz w:val="22"/>
          <w:highlight w:val="none"/>
        </w:rPr>
        <w:t>）在工程采购项目中，工程由中小企业承建，即工程施工单位为中小企业；</w:t>
      </w:r>
    </w:p>
    <w:p w14:paraId="11ED7E69">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4</w:t>
      </w:r>
      <w:r>
        <w:rPr>
          <w:rFonts w:ascii="宋体" w:hAnsi="宋体"/>
          <w:b/>
          <w:color w:val="auto"/>
          <w:sz w:val="22"/>
          <w:highlight w:val="none"/>
        </w:rPr>
        <w:t>）在服务采购项目中，服务由中小企业承接，即</w:t>
      </w:r>
      <w:r>
        <w:rPr>
          <w:rFonts w:hint="eastAsia" w:ascii="宋体" w:hAnsi="宋体"/>
          <w:b/>
          <w:color w:val="auto"/>
          <w:sz w:val="22"/>
          <w:highlight w:val="none"/>
        </w:rPr>
        <w:t>提供</w:t>
      </w:r>
      <w:r>
        <w:rPr>
          <w:rFonts w:ascii="宋体" w:hAnsi="宋体"/>
          <w:b/>
          <w:color w:val="auto"/>
          <w:sz w:val="22"/>
          <w:highlight w:val="none"/>
        </w:rPr>
        <w:t>服务的人员为中小企业依照《中华人民共和国劳动合同法》订立劳动合同的从业人员。</w:t>
      </w:r>
    </w:p>
    <w:p w14:paraId="6B7ED7F7">
      <w:pPr>
        <w:spacing w:line="440" w:lineRule="atLeast"/>
        <w:jc w:val="left"/>
        <w:rPr>
          <w:rFonts w:ascii="宋体" w:hAnsi="宋体"/>
          <w:b/>
          <w:color w:val="auto"/>
          <w:sz w:val="22"/>
          <w:highlight w:val="none"/>
        </w:rPr>
      </w:pPr>
      <w:r>
        <w:rPr>
          <w:rFonts w:hint="eastAsia" w:ascii="宋体" w:hAnsi="宋体"/>
          <w:b/>
          <w:color w:val="auto"/>
          <w:sz w:val="22"/>
          <w:highlight w:val="none"/>
        </w:rPr>
        <w:t>（5）</w:t>
      </w:r>
      <w:r>
        <w:rPr>
          <w:rFonts w:ascii="宋体" w:hAnsi="宋体"/>
          <w:b/>
          <w:color w:val="auto"/>
          <w:sz w:val="22"/>
          <w:highlight w:val="none"/>
        </w:rPr>
        <w:t>在货物采购项目中，供应商提供的货物既有中小企业制造货物，也有大型企业制造货物的，不享受本办法规定的中小企业扶持政策。</w:t>
      </w:r>
    </w:p>
    <w:p w14:paraId="59DAF057">
      <w:pPr>
        <w:spacing w:line="440" w:lineRule="atLeast"/>
        <w:jc w:val="left"/>
        <w:rPr>
          <w:rFonts w:ascii="宋体" w:hAnsi="宋体"/>
          <w:b/>
          <w:color w:val="auto"/>
          <w:sz w:val="22"/>
          <w:highlight w:val="none"/>
        </w:rPr>
      </w:pPr>
      <w:r>
        <w:rPr>
          <w:rFonts w:hint="eastAsia" w:ascii="宋体" w:hAnsi="宋体"/>
          <w:b/>
          <w:color w:val="auto"/>
          <w:sz w:val="22"/>
          <w:highlight w:val="none"/>
        </w:rPr>
        <w:t>（6）</w:t>
      </w:r>
      <w:r>
        <w:rPr>
          <w:rFonts w:ascii="宋体" w:hAnsi="宋体"/>
          <w:b/>
          <w:color w:val="auto"/>
          <w:sz w:val="22"/>
          <w:highlight w:val="none"/>
        </w:rPr>
        <w:t>以联合体形式参加政府采购活动，联合体各方均为中小企业的，联合体视同中小企业。其中，联合体各方均为小微企业的，联合体视同小微企业。</w:t>
      </w:r>
    </w:p>
    <w:p w14:paraId="08A082E6">
      <w:pPr>
        <w:spacing w:line="440" w:lineRule="atLeast"/>
        <w:jc w:val="left"/>
        <w:rPr>
          <w:rFonts w:ascii="宋体" w:hAnsi="宋体"/>
          <w:color w:val="auto"/>
          <w:sz w:val="22"/>
          <w:highlight w:val="none"/>
        </w:rPr>
      </w:pPr>
      <w:r>
        <w:rPr>
          <w:rFonts w:ascii="宋体" w:hAnsi="宋体"/>
          <w:color w:val="auto"/>
          <w:sz w:val="22"/>
          <w:highlight w:val="none"/>
        </w:rPr>
        <w:t xml:space="preserve">3.   </w:t>
      </w:r>
      <w:r>
        <w:rPr>
          <w:rFonts w:hint="eastAsia" w:ascii="宋体" w:hAnsi="宋体"/>
          <w:color w:val="auto"/>
          <w:sz w:val="22"/>
          <w:highlight w:val="none"/>
          <w:u w:val="single"/>
        </w:rPr>
        <w:t>享受小微企业价格折扣应提供以下证明材料（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647A2381">
      <w:pPr>
        <w:spacing w:line="440" w:lineRule="exact"/>
        <w:ind w:firstLine="440" w:firstLineChars="200"/>
        <w:jc w:val="left"/>
        <w:rPr>
          <w:rFonts w:ascii="宋体" w:hAnsi="宋体"/>
          <w:color w:val="auto"/>
          <w:sz w:val="22"/>
          <w:highlight w:val="none"/>
        </w:rPr>
      </w:pPr>
      <w:r>
        <w:rPr>
          <w:rFonts w:hint="eastAsia" w:ascii="宋体" w:hAnsi="宋体"/>
          <w:color w:val="auto"/>
          <w:sz w:val="22"/>
          <w:highlight w:val="none"/>
        </w:rPr>
        <w:t>《中小企业声明函》（加盖供应商公章，格式见附件1）</w:t>
      </w:r>
    </w:p>
    <w:p w14:paraId="0A144C04">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4</w:t>
      </w:r>
      <w:r>
        <w:rPr>
          <w:rFonts w:hint="eastAsia" w:ascii="宋体" w:hAnsi="宋体"/>
          <w:color w:val="auto"/>
          <w:sz w:val="22"/>
          <w:highlight w:val="none"/>
        </w:rPr>
        <w:t xml:space="preserve">.   </w:t>
      </w:r>
      <w:r>
        <w:rPr>
          <w:rFonts w:hint="eastAsia" w:ascii="宋体" w:hAnsi="宋体"/>
          <w:color w:val="auto"/>
          <w:sz w:val="22"/>
          <w:highlight w:val="none"/>
          <w:u w:val="single"/>
        </w:rPr>
        <w:t>享受监狱企业价格折扣应提供以下证明材料（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1C150CBA">
      <w:pPr>
        <w:spacing w:line="440" w:lineRule="atLeast"/>
        <w:ind w:left="550" w:hanging="550" w:hangingChars="250"/>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w:t>
      </w:r>
      <w:r>
        <w:rPr>
          <w:rFonts w:ascii="宋体" w:hAnsi="宋体"/>
          <w:color w:val="auto"/>
          <w:sz w:val="22"/>
          <w:highlight w:val="none"/>
        </w:rPr>
        <w:t>监狱企业参加政府采购活动时，应当提供由省级以上监狱管理局、戒毒管理局(含新疆生产建设兵团)出具的属于监狱企业的证明文件</w:t>
      </w:r>
      <w:r>
        <w:rPr>
          <w:rFonts w:hint="eastAsia" w:ascii="宋体" w:hAnsi="宋体"/>
          <w:color w:val="auto"/>
          <w:sz w:val="22"/>
          <w:highlight w:val="none"/>
        </w:rPr>
        <w:t>（加盖供应商公章）</w:t>
      </w:r>
      <w:r>
        <w:rPr>
          <w:rFonts w:ascii="宋体" w:hAnsi="宋体"/>
          <w:color w:val="auto"/>
          <w:sz w:val="22"/>
          <w:highlight w:val="none"/>
        </w:rPr>
        <w:t>。在政府采购活动中，监狱企业视同小型、微型企业，享受评审中价格扣除政策</w:t>
      </w:r>
      <w:r>
        <w:rPr>
          <w:rFonts w:hint="eastAsia" w:ascii="宋体" w:hAnsi="宋体"/>
          <w:color w:val="auto"/>
          <w:sz w:val="22"/>
          <w:highlight w:val="none"/>
        </w:rPr>
        <w:t>。</w:t>
      </w:r>
    </w:p>
    <w:p w14:paraId="18625AAC">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 xml:space="preserve">5.   </w:t>
      </w:r>
      <w:r>
        <w:rPr>
          <w:rFonts w:hint="eastAsia" w:ascii="宋体" w:hAnsi="宋体"/>
          <w:color w:val="auto"/>
          <w:sz w:val="22"/>
          <w:highlight w:val="none"/>
          <w:u w:val="single"/>
        </w:rPr>
        <w:t>享受残疾人福利性单位格折扣应提供以下证明材料（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6CD34830">
      <w:pPr>
        <w:spacing w:line="440" w:lineRule="atLeast"/>
        <w:jc w:val="left"/>
        <w:rPr>
          <w:color w:val="auto"/>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）残疾人福利性单位声明函（加盖供应商公章，格式见附件2）。</w:t>
      </w:r>
    </w:p>
    <w:p w14:paraId="32577B06">
      <w:pPr>
        <w:spacing w:line="440" w:lineRule="atLeast"/>
        <w:rPr>
          <w:rFonts w:ascii="宋体" w:hAnsi="宋体"/>
          <w:color w:val="auto"/>
          <w:sz w:val="22"/>
          <w:highlight w:val="none"/>
        </w:rPr>
      </w:pPr>
      <w:r>
        <w:rPr>
          <w:rFonts w:ascii="宋体" w:hAnsi="宋体"/>
          <w:color w:val="auto"/>
          <w:sz w:val="22"/>
          <w:highlight w:val="none"/>
        </w:rPr>
        <w:br w:type="page"/>
      </w:r>
      <w:r>
        <w:rPr>
          <w:rFonts w:hint="eastAsia" w:ascii="宋体" w:hAnsi="宋体"/>
          <w:color w:val="auto"/>
          <w:sz w:val="22"/>
          <w:highlight w:val="none"/>
        </w:rPr>
        <w:t>附件1：</w:t>
      </w:r>
    </w:p>
    <w:p w14:paraId="1D121786">
      <w:pPr>
        <w:pStyle w:val="18"/>
        <w:spacing w:line="440" w:lineRule="exact"/>
        <w:ind w:left="860"/>
        <w:jc w:val="center"/>
        <w:rPr>
          <w:rFonts w:ascii="宋体" w:hAnsi="宋体"/>
          <w:b/>
          <w:bCs/>
          <w:color w:val="auto"/>
          <w:sz w:val="24"/>
          <w:highlight w:val="none"/>
        </w:rPr>
      </w:pPr>
      <w:r>
        <w:rPr>
          <w:rFonts w:ascii="宋体" w:hAnsi="宋体"/>
          <w:b/>
          <w:bCs/>
          <w:color w:val="auto"/>
          <w:sz w:val="24"/>
          <w:highlight w:val="none"/>
        </w:rPr>
        <w:t>中小企业声明函（</w:t>
      </w:r>
      <w:r>
        <w:rPr>
          <w:rFonts w:hint="eastAsia" w:ascii="宋体" w:hAnsi="宋体"/>
          <w:b/>
          <w:bCs/>
          <w:color w:val="auto"/>
          <w:sz w:val="24"/>
          <w:highlight w:val="none"/>
          <w:lang w:val="en-US" w:eastAsia="zh-CN"/>
        </w:rPr>
        <w:t>服务</w:t>
      </w:r>
      <w:r>
        <w:rPr>
          <w:rFonts w:ascii="宋体" w:hAnsi="宋体"/>
          <w:b/>
          <w:bCs/>
          <w:color w:val="auto"/>
          <w:sz w:val="24"/>
          <w:highlight w:val="none"/>
        </w:rPr>
        <w:t>）</w:t>
      </w:r>
    </w:p>
    <w:p w14:paraId="18A1ED76">
      <w:pPr>
        <w:pStyle w:val="18"/>
        <w:spacing w:line="440" w:lineRule="exact"/>
        <w:rPr>
          <w:rFonts w:ascii="宋体" w:hAnsi="宋体"/>
          <w:b/>
          <w:color w:val="auto"/>
          <w:sz w:val="22"/>
          <w:szCs w:val="22"/>
          <w:highlight w:val="none"/>
        </w:rPr>
      </w:pPr>
    </w:p>
    <w:p w14:paraId="024F44CD">
      <w:pPr>
        <w:pStyle w:val="18"/>
        <w:spacing w:before="55" w:line="480" w:lineRule="exact"/>
        <w:ind w:right="-1" w:firstLine="660" w:firstLineChars="300"/>
        <w:rPr>
          <w:rFonts w:ascii="宋体" w:hAnsi="宋体"/>
          <w:color w:val="auto"/>
          <w:sz w:val="22"/>
          <w:szCs w:val="22"/>
          <w:highlight w:val="none"/>
        </w:rPr>
      </w:pPr>
      <w:r>
        <w:rPr>
          <w:rFonts w:ascii="宋体" w:hAnsi="宋体"/>
          <w:color w:val="auto"/>
          <w:sz w:val="22"/>
          <w:szCs w:val="22"/>
          <w:highlight w:val="none"/>
        </w:rPr>
        <w:t>本公司（联合体）郑重声明，根据《政府采购促进中小企业发展管理办法》（财库</w:t>
      </w:r>
      <w:r>
        <w:rPr>
          <w:rFonts w:hint="eastAsia" w:ascii="宋体" w:hAnsi="宋体"/>
          <w:color w:val="auto"/>
          <w:sz w:val="22"/>
          <w:szCs w:val="22"/>
          <w:highlight w:val="none"/>
        </w:rPr>
        <w:t>﹝</w:t>
      </w:r>
      <w:r>
        <w:rPr>
          <w:rFonts w:ascii="宋体" w:hAnsi="宋体"/>
          <w:color w:val="auto"/>
          <w:sz w:val="22"/>
          <w:szCs w:val="22"/>
          <w:highlight w:val="none"/>
        </w:rPr>
        <w:t>2020</w:t>
      </w:r>
      <w:r>
        <w:rPr>
          <w:rFonts w:hint="eastAsia" w:ascii="宋体" w:hAnsi="宋体"/>
          <w:color w:val="auto"/>
          <w:sz w:val="22"/>
          <w:szCs w:val="22"/>
          <w:highlight w:val="none"/>
        </w:rPr>
        <w:t>﹞</w:t>
      </w:r>
      <w:r>
        <w:rPr>
          <w:rFonts w:ascii="宋体" w:hAnsi="宋体"/>
          <w:color w:val="auto"/>
          <w:sz w:val="22"/>
          <w:szCs w:val="22"/>
          <w:highlight w:val="none"/>
        </w:rPr>
        <w:t>46号）的规定，本公司（联合体）参加</w:t>
      </w:r>
      <w:r>
        <w:rPr>
          <w:rFonts w:ascii="宋体" w:hAnsi="宋体"/>
          <w:color w:val="auto"/>
          <w:sz w:val="22"/>
          <w:szCs w:val="22"/>
          <w:highlight w:val="none"/>
          <w:u w:val="single"/>
        </w:rPr>
        <w:t>（单位名称）</w:t>
      </w:r>
      <w:r>
        <w:rPr>
          <w:rFonts w:ascii="宋体" w:hAnsi="宋体"/>
          <w:color w:val="auto"/>
          <w:sz w:val="22"/>
          <w:szCs w:val="22"/>
          <w:highlight w:val="none"/>
        </w:rPr>
        <w:t>的</w:t>
      </w:r>
      <w:r>
        <w:rPr>
          <w:rFonts w:ascii="宋体" w:hAnsi="宋体"/>
          <w:color w:val="auto"/>
          <w:sz w:val="22"/>
          <w:szCs w:val="22"/>
          <w:highlight w:val="none"/>
          <w:u w:val="single"/>
        </w:rPr>
        <w:t>（项目名称）</w:t>
      </w:r>
      <w:r>
        <w:rPr>
          <w:rFonts w:ascii="宋体" w:hAnsi="宋体"/>
          <w:color w:val="auto"/>
          <w:sz w:val="22"/>
          <w:szCs w:val="22"/>
          <w:highlight w:val="none"/>
        </w:rPr>
        <w:t>采购活动，提供的货物全部由符合政策要求的中小企业制造。相关企业（含联合体中的中小企业、签订分包意向协议的中小企业）的具体情况如下：</w:t>
      </w:r>
    </w:p>
    <w:p w14:paraId="5B28A3AA">
      <w:pPr>
        <w:tabs>
          <w:tab w:val="left" w:pos="1183"/>
          <w:tab w:val="left" w:pos="1484"/>
          <w:tab w:val="left" w:pos="3825"/>
        </w:tabs>
        <w:spacing w:line="480" w:lineRule="exact"/>
        <w:ind w:firstLine="440" w:firstLineChars="200"/>
        <w:rPr>
          <w:rFonts w:ascii="宋体" w:hAnsi="宋体"/>
          <w:color w:val="auto"/>
          <w:sz w:val="22"/>
          <w:szCs w:val="22"/>
          <w:highlight w:val="none"/>
        </w:rPr>
      </w:pPr>
      <w:r>
        <w:rPr>
          <w:rFonts w:ascii="宋体" w:hAnsi="宋体"/>
          <w:color w:val="auto"/>
          <w:sz w:val="22"/>
          <w:szCs w:val="22"/>
          <w:highlight w:val="none"/>
        </w:rPr>
        <w:t>1.</w:t>
      </w:r>
      <w:r>
        <w:rPr>
          <w:rFonts w:ascii="宋体" w:hAnsi="宋体"/>
          <w:color w:val="auto"/>
          <w:sz w:val="22"/>
          <w:szCs w:val="22"/>
          <w:highlight w:val="none"/>
          <w:u w:val="single"/>
        </w:rPr>
        <w:t>（</w:t>
      </w:r>
      <w:r>
        <w:rPr>
          <w:rFonts w:hint="eastAsia" w:ascii="宋体" w:hAnsi="宋体"/>
          <w:color w:val="auto"/>
          <w:sz w:val="22"/>
          <w:szCs w:val="22"/>
          <w:highlight w:val="none"/>
          <w:u w:val="single"/>
          <w:lang w:eastAsia="zh-CN"/>
        </w:rPr>
        <w:t>2026年绿化养护采购</w:t>
      </w:r>
      <w:r>
        <w:rPr>
          <w:rFonts w:ascii="宋体" w:hAnsi="宋体"/>
          <w:color w:val="auto"/>
          <w:sz w:val="22"/>
          <w:szCs w:val="22"/>
          <w:highlight w:val="none"/>
          <w:u w:val="single"/>
        </w:rPr>
        <w:t>）</w:t>
      </w:r>
      <w:r>
        <w:rPr>
          <w:rFonts w:ascii="宋体" w:hAnsi="宋体"/>
          <w:color w:val="auto"/>
          <w:sz w:val="22"/>
          <w:szCs w:val="22"/>
          <w:highlight w:val="none"/>
        </w:rPr>
        <w:t>，属于</w:t>
      </w:r>
      <w:r>
        <w:rPr>
          <w:rFonts w:ascii="宋体" w:hAnsi="宋体"/>
          <w:color w:val="auto"/>
          <w:sz w:val="22"/>
          <w:szCs w:val="22"/>
          <w:highlight w:val="none"/>
          <w:u w:val="single"/>
        </w:rPr>
        <w:t>（</w:t>
      </w:r>
      <w:r>
        <w:rPr>
          <w:rFonts w:hint="eastAsia" w:ascii="宋体" w:hAnsi="宋体"/>
          <w:color w:val="auto"/>
          <w:sz w:val="22"/>
          <w:szCs w:val="22"/>
          <w:highlight w:val="none"/>
          <w:u w:val="single"/>
        </w:rPr>
        <w:t>物业管理</w:t>
      </w:r>
      <w:r>
        <w:rPr>
          <w:rFonts w:ascii="宋体" w:hAnsi="宋体"/>
          <w:color w:val="auto"/>
          <w:sz w:val="22"/>
          <w:szCs w:val="22"/>
          <w:highlight w:val="none"/>
          <w:u w:val="single"/>
        </w:rPr>
        <w:t>）行业</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hint="eastAsia" w:ascii="宋体" w:hAnsi="宋体"/>
          <w:color w:val="auto"/>
          <w:sz w:val="22"/>
          <w:szCs w:val="22"/>
          <w:highlight w:val="none"/>
        </w:rPr>
        <w:t>；</w:t>
      </w:r>
    </w:p>
    <w:p w14:paraId="6E3B0369">
      <w:pPr>
        <w:pStyle w:val="18"/>
        <w:spacing w:before="55" w:line="480" w:lineRule="exact"/>
        <w:ind w:right="415" w:firstLine="440" w:firstLineChars="200"/>
        <w:rPr>
          <w:rFonts w:ascii="宋体" w:hAnsi="宋体"/>
          <w:color w:val="auto"/>
          <w:sz w:val="22"/>
          <w:szCs w:val="22"/>
          <w:highlight w:val="none"/>
        </w:rPr>
      </w:pPr>
      <w:r>
        <w:rPr>
          <w:rFonts w:ascii="宋体" w:hAnsi="宋体"/>
          <w:color w:val="auto"/>
          <w:sz w:val="22"/>
          <w:szCs w:val="22"/>
          <w:highlight w:val="none"/>
        </w:rPr>
        <w:t>2.</w:t>
      </w:r>
      <w:r>
        <w:rPr>
          <w:rFonts w:ascii="宋体" w:hAnsi="宋体"/>
          <w:color w:val="auto"/>
          <w:sz w:val="22"/>
          <w:szCs w:val="22"/>
          <w:highlight w:val="none"/>
          <w:u w:val="single"/>
        </w:rPr>
        <w:t>（标的名称）</w:t>
      </w:r>
      <w:r>
        <w:rPr>
          <w:rFonts w:ascii="宋体" w:hAnsi="宋体"/>
          <w:color w:val="auto"/>
          <w:sz w:val="22"/>
          <w:szCs w:val="22"/>
          <w:highlight w:val="none"/>
        </w:rPr>
        <w:t>，属于</w:t>
      </w:r>
      <w:r>
        <w:rPr>
          <w:rFonts w:ascii="宋体" w:hAnsi="宋体"/>
          <w:color w:val="auto"/>
          <w:sz w:val="22"/>
          <w:szCs w:val="22"/>
          <w:highlight w:val="none"/>
          <w:u w:val="single"/>
        </w:rPr>
        <w:t>（采购文件中明确的所属行业）行业</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ascii="宋体" w:hAnsi="宋体"/>
          <w:color w:val="auto"/>
          <w:sz w:val="22"/>
          <w:szCs w:val="22"/>
          <w:highlight w:val="none"/>
          <w:u w:val="single"/>
        </w:rPr>
        <w:tab/>
      </w:r>
      <w:r>
        <w:rPr>
          <w:rFonts w:ascii="宋体" w:hAnsi="宋体"/>
          <w:color w:val="auto"/>
          <w:sz w:val="22"/>
          <w:szCs w:val="22"/>
          <w:highlight w:val="none"/>
        </w:rPr>
        <w:t>人，营业收入为</w:t>
      </w:r>
      <w:r>
        <w:rPr>
          <w:rFonts w:ascii="宋体" w:hAnsi="宋体"/>
          <w:color w:val="auto"/>
          <w:sz w:val="22"/>
          <w:szCs w:val="22"/>
          <w:highlight w:val="none"/>
          <w:u w:val="single"/>
        </w:rPr>
        <w:tab/>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ascii="宋体" w:hAnsi="宋体"/>
          <w:color w:val="auto"/>
          <w:sz w:val="22"/>
          <w:szCs w:val="22"/>
          <w:highlight w:val="none"/>
        </w:rPr>
        <w:t>；</w:t>
      </w:r>
    </w:p>
    <w:p w14:paraId="4A3FDA5A">
      <w:pPr>
        <w:pStyle w:val="18"/>
        <w:spacing w:line="480" w:lineRule="exact"/>
        <w:ind w:left="860"/>
        <w:rPr>
          <w:rFonts w:ascii="宋体" w:hAnsi="宋体"/>
          <w:color w:val="auto"/>
          <w:sz w:val="22"/>
          <w:szCs w:val="22"/>
          <w:highlight w:val="none"/>
        </w:rPr>
      </w:pPr>
      <w:r>
        <w:rPr>
          <w:rFonts w:ascii="宋体" w:hAnsi="宋体"/>
          <w:color w:val="auto"/>
          <w:sz w:val="22"/>
          <w:szCs w:val="22"/>
          <w:highlight w:val="none"/>
        </w:rPr>
        <w:t>……</w:t>
      </w:r>
    </w:p>
    <w:p w14:paraId="7DEBCD88">
      <w:pPr>
        <w:pStyle w:val="18"/>
        <w:spacing w:line="480" w:lineRule="exact"/>
        <w:ind w:left="860"/>
        <w:rPr>
          <w:rFonts w:ascii="宋体" w:hAnsi="宋体"/>
          <w:color w:val="auto"/>
          <w:sz w:val="22"/>
          <w:szCs w:val="22"/>
          <w:highlight w:val="none"/>
        </w:rPr>
      </w:pPr>
      <w:r>
        <w:rPr>
          <w:rFonts w:hint="eastAsia" w:ascii="宋体" w:hAnsi="宋体"/>
          <w:b/>
          <w:bCs/>
          <w:color w:val="auto"/>
          <w:sz w:val="22"/>
          <w:szCs w:val="22"/>
          <w:highlight w:val="none"/>
        </w:rPr>
        <w:t>注：（根据采购标的分别逐项列出）</w:t>
      </w:r>
    </w:p>
    <w:p w14:paraId="7D571AD0">
      <w:pPr>
        <w:pStyle w:val="18"/>
        <w:spacing w:before="105" w:line="480" w:lineRule="exact"/>
        <w:ind w:right="417" w:firstLine="645"/>
        <w:rPr>
          <w:rFonts w:ascii="宋体" w:hAnsi="宋体"/>
          <w:color w:val="auto"/>
          <w:sz w:val="22"/>
          <w:szCs w:val="22"/>
          <w:highlight w:val="none"/>
        </w:rPr>
      </w:pPr>
      <w:r>
        <w:rPr>
          <w:rFonts w:ascii="宋体" w:hAnsi="宋体"/>
          <w:color w:val="auto"/>
          <w:sz w:val="22"/>
          <w:szCs w:val="22"/>
          <w:highlight w:val="none"/>
        </w:rPr>
        <w:t>以上企业，不属于大企业的分支机构，不存在控股股东为大企业的情形，也不存在与大企业的负责人为同一人的情形。</w:t>
      </w:r>
    </w:p>
    <w:p w14:paraId="6279915B">
      <w:pPr>
        <w:pStyle w:val="18"/>
        <w:spacing w:line="480" w:lineRule="exact"/>
        <w:ind w:right="372" w:firstLine="645"/>
        <w:rPr>
          <w:rFonts w:ascii="宋体" w:hAnsi="宋体"/>
          <w:color w:val="auto"/>
          <w:sz w:val="22"/>
          <w:szCs w:val="22"/>
          <w:highlight w:val="none"/>
        </w:rPr>
      </w:pPr>
      <w:r>
        <w:rPr>
          <w:rFonts w:ascii="宋体" w:hAnsi="宋体"/>
          <w:color w:val="auto"/>
          <w:sz w:val="22"/>
          <w:szCs w:val="22"/>
          <w:highlight w:val="none"/>
        </w:rPr>
        <w:t>本企业对上述声明内容的真实性负责。如有虚假，将依法承担相应责任。</w:t>
      </w:r>
    </w:p>
    <w:p w14:paraId="1C76BE3B">
      <w:pPr>
        <w:pStyle w:val="18"/>
        <w:spacing w:before="105" w:line="480" w:lineRule="exact"/>
        <w:ind w:right="417" w:firstLine="2860" w:firstLineChars="1300"/>
        <w:rPr>
          <w:rFonts w:ascii="宋体" w:hAnsi="宋体"/>
          <w:color w:val="auto"/>
          <w:sz w:val="22"/>
          <w:szCs w:val="22"/>
          <w:highlight w:val="none"/>
        </w:rPr>
      </w:pPr>
    </w:p>
    <w:p w14:paraId="7969B58C">
      <w:pPr>
        <w:pStyle w:val="18"/>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企业名称（盖章）：</w:t>
      </w:r>
    </w:p>
    <w:p w14:paraId="53E3204F">
      <w:pPr>
        <w:pStyle w:val="18"/>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日期：</w:t>
      </w:r>
    </w:p>
    <w:p w14:paraId="361C0E04">
      <w:pPr>
        <w:spacing w:line="440" w:lineRule="exact"/>
        <w:rPr>
          <w:rFonts w:ascii="宋体" w:hAnsi="宋体"/>
          <w:color w:val="auto"/>
          <w:sz w:val="22"/>
          <w:szCs w:val="22"/>
          <w:highlight w:val="none"/>
        </w:rPr>
      </w:pPr>
    </w:p>
    <w:p w14:paraId="4780833F">
      <w:pPr>
        <w:spacing w:line="440" w:lineRule="exact"/>
        <w:rPr>
          <w:rFonts w:ascii="宋体" w:hAnsi="宋体"/>
          <w:color w:val="auto"/>
          <w:highlight w:val="none"/>
        </w:rPr>
      </w:pPr>
    </w:p>
    <w:p w14:paraId="39785171">
      <w:pPr>
        <w:spacing w:line="440" w:lineRule="exact"/>
        <w:rPr>
          <w:rFonts w:ascii="宋体" w:hAnsi="宋体"/>
          <w:color w:val="auto"/>
          <w:highlight w:val="none"/>
        </w:rPr>
      </w:pPr>
    </w:p>
    <w:p w14:paraId="1E2F7DDB">
      <w:pPr>
        <w:spacing w:line="440" w:lineRule="exact"/>
        <w:rPr>
          <w:rFonts w:ascii="宋体" w:hAnsi="宋体"/>
          <w:color w:val="auto"/>
          <w:highlight w:val="none"/>
        </w:rPr>
      </w:pPr>
    </w:p>
    <w:p w14:paraId="0146AEA6">
      <w:pPr>
        <w:spacing w:line="440" w:lineRule="exact"/>
        <w:rPr>
          <w:rFonts w:ascii="宋体" w:hAnsi="宋体"/>
          <w:color w:val="auto"/>
          <w:highlight w:val="none"/>
        </w:rPr>
      </w:pPr>
    </w:p>
    <w:p w14:paraId="465CC27F">
      <w:pPr>
        <w:spacing w:line="440" w:lineRule="exact"/>
        <w:rPr>
          <w:rFonts w:ascii="宋体" w:hAnsi="宋体"/>
          <w:color w:val="auto"/>
          <w:highlight w:val="none"/>
        </w:rPr>
      </w:pPr>
      <w:r>
        <w:rPr>
          <w:rFonts w:hint="eastAsia" w:ascii="宋体" w:hAnsi="宋体"/>
          <w:color w:val="auto"/>
          <w:highlight w:val="none"/>
        </w:rPr>
        <w:t>说明：</w:t>
      </w:r>
    </w:p>
    <w:p w14:paraId="765F248D">
      <w:pPr>
        <w:spacing w:line="440" w:lineRule="exact"/>
        <w:rPr>
          <w:rFonts w:ascii="宋体" w:hAnsi="宋体"/>
          <w:color w:val="auto"/>
          <w:highlight w:val="none"/>
        </w:rPr>
      </w:pPr>
      <w:r>
        <w:rPr>
          <w:rFonts w:hint="eastAsia" w:ascii="宋体" w:hAnsi="宋体"/>
          <w:color w:val="auto"/>
          <w:highlight w:val="none"/>
        </w:rPr>
        <w:t>从业人员、营业收入、资产总额填报上一年度数据，无上一年度数据的新成立企业可不填报。</w:t>
      </w:r>
    </w:p>
    <w:p w14:paraId="5BC61E33">
      <w:pPr>
        <w:rPr>
          <w:rFonts w:ascii="宋体" w:hAnsi="宋体"/>
          <w:color w:val="auto"/>
          <w:highlight w:val="none"/>
        </w:rPr>
      </w:pPr>
      <w:r>
        <w:rPr>
          <w:rFonts w:hint="eastAsia" w:ascii="宋体" w:hAnsi="宋体"/>
          <w:color w:val="auto"/>
          <w:highlight w:val="none"/>
        </w:rPr>
        <w:br w:type="page"/>
      </w:r>
    </w:p>
    <w:p w14:paraId="14D2A5FA">
      <w:pPr>
        <w:spacing w:line="440" w:lineRule="exact"/>
        <w:rPr>
          <w:rFonts w:ascii="宋体" w:hAnsi="宋体"/>
          <w:color w:val="auto"/>
          <w:sz w:val="22"/>
          <w:highlight w:val="none"/>
        </w:rPr>
      </w:pPr>
      <w:r>
        <w:rPr>
          <w:rFonts w:hint="eastAsia" w:ascii="宋体" w:hAnsi="宋体"/>
          <w:color w:val="auto"/>
          <w:sz w:val="22"/>
          <w:highlight w:val="none"/>
        </w:rPr>
        <w:t>附件2：</w:t>
      </w:r>
    </w:p>
    <w:p w14:paraId="4BEF956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t>残疾人福利性单位声明函</w:t>
      </w:r>
    </w:p>
    <w:p w14:paraId="622706BB">
      <w:pPr>
        <w:spacing w:line="588" w:lineRule="exact"/>
        <w:rPr>
          <w:rFonts w:ascii="新宋体" w:hAnsi="新宋体" w:eastAsia="新宋体"/>
          <w:b/>
          <w:color w:val="auto"/>
          <w:spacing w:val="6"/>
          <w:sz w:val="30"/>
          <w:szCs w:val="30"/>
          <w:highlight w:val="none"/>
        </w:rPr>
      </w:pPr>
    </w:p>
    <w:p w14:paraId="43C05D03">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单位的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项目（编号：</w:t>
      </w:r>
      <w:r>
        <w:rPr>
          <w:rFonts w:ascii="宋体" w:hAnsi="宋体"/>
          <w:color w:val="auto"/>
          <w:highlight w:val="none"/>
          <w:u w:val="single"/>
        </w:rPr>
        <w:t xml:space="preserve"> </w:t>
      </w:r>
      <w:r>
        <w:rPr>
          <w:rFonts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s="宋体"/>
          <w:color w:val="auto"/>
          <w:sz w:val="22"/>
          <w:szCs w:val="22"/>
          <w:highlight w:val="none"/>
        </w:rPr>
        <w:t>）采购活动提供本单位制造的货物，或者提供其他残疾人福利性单位制造的货物（不包括使用非残疾人福利性单位注册商标的货物）。</w:t>
      </w:r>
    </w:p>
    <w:p w14:paraId="19727142">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本单位对上述声明的真实性负责。如有虚假，将依法承担相应责任。</w:t>
      </w:r>
    </w:p>
    <w:p w14:paraId="3D24F55C">
      <w:pPr>
        <w:spacing w:line="588" w:lineRule="exact"/>
        <w:ind w:firstLine="440" w:firstLineChars="200"/>
        <w:rPr>
          <w:rFonts w:ascii="宋体" w:hAnsi="宋体" w:cs="宋体"/>
          <w:color w:val="auto"/>
          <w:sz w:val="22"/>
          <w:szCs w:val="22"/>
          <w:highlight w:val="none"/>
        </w:rPr>
      </w:pPr>
    </w:p>
    <w:p w14:paraId="0C07D984">
      <w:pPr>
        <w:spacing w:line="588" w:lineRule="exact"/>
        <w:ind w:firstLine="440" w:firstLineChars="200"/>
        <w:rPr>
          <w:rFonts w:ascii="宋体" w:hAnsi="宋体" w:cs="宋体"/>
          <w:color w:val="auto"/>
          <w:sz w:val="22"/>
          <w:szCs w:val="22"/>
          <w:highlight w:val="none"/>
        </w:rPr>
      </w:pPr>
    </w:p>
    <w:p w14:paraId="0019793D">
      <w:pPr>
        <w:tabs>
          <w:tab w:val="left" w:pos="4860"/>
        </w:tabs>
        <w:spacing w:line="588" w:lineRule="exact"/>
        <w:ind w:right="1560" w:firstLine="440" w:firstLineChars="200"/>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供应商名称（盖章）：</w:t>
      </w:r>
    </w:p>
    <w:p w14:paraId="02346B2E">
      <w:pPr>
        <w:widowControl/>
        <w:adjustRightInd w:val="0"/>
        <w:snapToGrid w:val="0"/>
        <w:spacing w:line="40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  期：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年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月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w:t>
      </w:r>
    </w:p>
    <w:p w14:paraId="1B18CFF0">
      <w:pPr>
        <w:pStyle w:val="18"/>
        <w:rPr>
          <w:color w:val="auto"/>
          <w:highlight w:val="none"/>
        </w:rPr>
      </w:pPr>
    </w:p>
    <w:p w14:paraId="675842EA">
      <w:pPr>
        <w:pStyle w:val="18"/>
        <w:rPr>
          <w:color w:val="auto"/>
          <w:highlight w:val="none"/>
        </w:rPr>
      </w:pPr>
    </w:p>
    <w:p w14:paraId="1AA882E1">
      <w:pPr>
        <w:spacing w:line="588" w:lineRule="exact"/>
        <w:rPr>
          <w:rFonts w:ascii="宋体" w:hAnsi="宋体" w:cs="宋体"/>
          <w:color w:val="auto"/>
          <w:sz w:val="22"/>
          <w:szCs w:val="22"/>
          <w:highlight w:val="none"/>
        </w:rPr>
      </w:pPr>
      <w:r>
        <w:rPr>
          <w:rFonts w:hint="eastAsia" w:ascii="宋体" w:hAnsi="宋体" w:cs="宋体"/>
          <w:color w:val="auto"/>
          <w:sz w:val="22"/>
          <w:szCs w:val="22"/>
          <w:highlight w:val="none"/>
        </w:rPr>
        <w:t>备注说明：</w:t>
      </w:r>
    </w:p>
    <w:p w14:paraId="592B1000">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1、如中标，将在中标公告中将此残疾人福利性单位声明函予以公示，接受社会监督；</w:t>
      </w:r>
    </w:p>
    <w:p w14:paraId="460B043D">
      <w:pPr>
        <w:spacing w:line="588" w:lineRule="exact"/>
        <w:ind w:firstLine="440" w:firstLineChars="200"/>
        <w:rPr>
          <w:rFonts w:ascii="宋体" w:hAns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、供应商提供的《残疾人福利性单位声明函》与事实不符的，依照《政府采购法》第七十七条第一款的规定追究法律责任。</w:t>
      </w:r>
    </w:p>
    <w:p w14:paraId="4118F6C0">
      <w:pPr>
        <w:rPr>
          <w:rFonts w:hint="eastAsia" w:ascii="黑体" w:hAnsi="黑体" w:eastAsia="黑体"/>
          <w:bCs/>
          <w:color w:val="auto"/>
          <w:sz w:val="36"/>
          <w:szCs w:val="36"/>
          <w:highlight w:val="none"/>
        </w:rPr>
      </w:pPr>
      <w:r>
        <w:rPr>
          <w:rFonts w:hint="eastAsia" w:ascii="宋体" w:hAnsi="宋体" w:cs="宋体"/>
          <w:b/>
          <w:color w:val="auto"/>
          <w:sz w:val="24"/>
          <w:highlight w:val="none"/>
        </w:rPr>
        <w:br w:type="page"/>
      </w:r>
      <w:bookmarkEnd w:id="80"/>
      <w:bookmarkEnd w:id="92"/>
      <w:bookmarkEnd w:id="98"/>
      <w:bookmarkEnd w:id="99"/>
      <w:bookmarkEnd w:id="100"/>
      <w:bookmarkEnd w:id="101"/>
      <w:bookmarkEnd w:id="102"/>
      <w:bookmarkStart w:id="110" w:name="_Toc230773793"/>
    </w:p>
    <w:p w14:paraId="3EFBD331">
      <w:pPr>
        <w:pStyle w:val="2"/>
        <w:spacing w:line="600" w:lineRule="exact"/>
        <w:jc w:val="center"/>
        <w:rPr>
          <w:rFonts w:ascii="黑体" w:hAnsi="黑体" w:eastAsia="黑体"/>
          <w:bCs/>
          <w:color w:val="auto"/>
          <w:sz w:val="36"/>
          <w:szCs w:val="36"/>
          <w:highlight w:val="none"/>
        </w:rPr>
      </w:pPr>
      <w:bookmarkStart w:id="111" w:name="_Toc26012"/>
      <w:r>
        <w:rPr>
          <w:rFonts w:hint="eastAsia" w:ascii="黑体" w:hAnsi="黑体" w:eastAsia="黑体"/>
          <w:bCs/>
          <w:color w:val="auto"/>
          <w:sz w:val="36"/>
          <w:szCs w:val="36"/>
          <w:highlight w:val="none"/>
        </w:rPr>
        <w:t>第五部分  招标内容及要求</w:t>
      </w:r>
      <w:bookmarkEnd w:id="110"/>
      <w:bookmarkEnd w:id="111"/>
    </w:p>
    <w:p w14:paraId="77B090DB">
      <w:pPr>
        <w:keepNext w:val="0"/>
        <w:keepLines w:val="0"/>
        <w:pageBreakBefore w:val="0"/>
        <w:kinsoku/>
        <w:wordWrap/>
        <w:topLinePunct w:val="0"/>
        <w:bidi w:val="0"/>
        <w:spacing w:line="440" w:lineRule="exact"/>
        <w:rPr>
          <w:rFonts w:hint="eastAsia" w:ascii="宋体" w:hAnsi="宋体" w:eastAsia="宋体" w:cs="宋体"/>
          <w:b/>
          <w:bCs/>
          <w:color w:val="auto"/>
          <w:sz w:val="22"/>
          <w:szCs w:val="22"/>
          <w:highlight w:val="none"/>
        </w:rPr>
      </w:pPr>
      <w:bookmarkStart w:id="112" w:name="_Toc9343395"/>
      <w:bookmarkStart w:id="113" w:name="_Toc230773795"/>
      <w:r>
        <w:rPr>
          <w:rFonts w:hint="eastAsia" w:ascii="宋体" w:hAnsi="宋体" w:eastAsia="宋体" w:cs="宋体"/>
          <w:b/>
          <w:bCs/>
          <w:color w:val="auto"/>
          <w:sz w:val="22"/>
          <w:szCs w:val="22"/>
          <w:highlight w:val="none"/>
        </w:rPr>
        <w:t>一、绿化养护工程概况</w:t>
      </w:r>
    </w:p>
    <w:p w14:paraId="1E84E7BC">
      <w:pPr>
        <w:pStyle w:val="26"/>
        <w:keepNext w:val="0"/>
        <w:keepLines w:val="0"/>
        <w:pageBreakBefore w:val="0"/>
        <w:kinsoku/>
        <w:wordWrap/>
        <w:topLinePunct w:val="0"/>
        <w:bidi w:val="0"/>
        <w:snapToGrid w:val="0"/>
        <w:spacing w:line="440" w:lineRule="exact"/>
        <w:ind w:left="221" w:leftChars="-52" w:hanging="330" w:hanging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1、养护内容：</w:t>
      </w:r>
      <w:r>
        <w:rPr>
          <w:rFonts w:hint="eastAsia" w:ascii="宋体" w:hAnsi="宋体" w:eastAsia="宋体" w:cs="宋体"/>
          <w:color w:val="auto"/>
          <w:sz w:val="22"/>
          <w:szCs w:val="22"/>
          <w:highlight w:val="none"/>
          <w:lang w:eastAsia="zh-CN"/>
        </w:rPr>
        <w:t>温州市第七人民医院</w:t>
      </w:r>
      <w:r>
        <w:rPr>
          <w:rFonts w:hint="eastAsia" w:ascii="宋体" w:hAnsi="宋体" w:eastAsia="宋体" w:cs="宋体"/>
          <w:color w:val="auto"/>
          <w:sz w:val="22"/>
          <w:szCs w:val="22"/>
          <w:highlight w:val="none"/>
          <w:lang w:val="en-US" w:eastAsia="zh-CN"/>
        </w:rPr>
        <w:t>（其中潘桥院区绿地养护（含一期和二期绿地养护）：15049.84</w:t>
      </w:r>
      <w:r>
        <w:rPr>
          <w:rFonts w:hint="eastAsia"/>
          <w:color w:val="auto"/>
          <w:highlight w:val="none"/>
        </w:rPr>
        <w:t>㎡</w:t>
      </w:r>
      <w:r>
        <w:rPr>
          <w:rFonts w:hint="eastAsia"/>
          <w:color w:val="auto"/>
          <w:highlight w:val="none"/>
          <w:lang w:eastAsia="zh-CN"/>
        </w:rPr>
        <w:t>；潘桥院区大门口时花种植：</w:t>
      </w:r>
      <w:r>
        <w:rPr>
          <w:rFonts w:hint="eastAsia"/>
          <w:color w:val="auto"/>
          <w:highlight w:val="none"/>
          <w:lang w:val="en-US" w:eastAsia="zh-CN"/>
        </w:rPr>
        <w:t>50</w:t>
      </w:r>
      <w:r>
        <w:rPr>
          <w:rFonts w:hint="eastAsia"/>
          <w:color w:val="auto"/>
          <w:highlight w:val="none"/>
        </w:rPr>
        <w:t>㎡</w:t>
      </w:r>
      <w:r>
        <w:rPr>
          <w:rFonts w:hint="eastAsia"/>
          <w:color w:val="auto"/>
          <w:highlight w:val="none"/>
          <w:lang w:eastAsia="zh-CN"/>
        </w:rPr>
        <w:t>；西山院区绿地养护：1900</w:t>
      </w:r>
      <w:r>
        <w:rPr>
          <w:rFonts w:hint="eastAsia"/>
          <w:color w:val="auto"/>
          <w:highlight w:val="none"/>
        </w:rPr>
        <w:t>㎡</w:t>
      </w:r>
      <w:r>
        <w:rPr>
          <w:rFonts w:hint="eastAsia"/>
          <w:color w:val="auto"/>
          <w:highlight w:val="none"/>
          <w:lang w:eastAsia="zh-CN"/>
        </w:rPr>
        <w:t>；白楼下港务院区绿地养护：3800</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潘桥院区边坡、后山道路旁打除草剂,清理藤蔓：不少于5次；潘桥院区果树浇水、除草、施肥，杀虫等养护及潘桥院区固定绿化工人</w:t>
      </w:r>
      <w:r>
        <w:rPr>
          <w:rFonts w:hint="eastAsia" w:ascii="宋体" w:hAnsi="宋体" w:eastAsia="宋体" w:cs="宋体"/>
          <w:color w:val="auto"/>
          <w:sz w:val="22"/>
          <w:szCs w:val="22"/>
          <w:highlight w:val="none"/>
          <w:lang w:val="en-US" w:eastAsia="zh-CN"/>
        </w:rPr>
        <w:t>），含草坪、灌木、乔木、垂直绿化的养护以及护栏、树牌、警示牌等附属设施的维护。</w:t>
      </w:r>
      <w:r>
        <w:rPr>
          <w:rFonts w:hint="eastAsia" w:ascii="宋体" w:hAnsi="宋体" w:eastAsia="宋体" w:cs="宋体"/>
          <w:color w:val="auto"/>
          <w:sz w:val="22"/>
          <w:szCs w:val="22"/>
          <w:highlight w:val="none"/>
        </w:rPr>
        <w:t>。</w:t>
      </w:r>
    </w:p>
    <w:p w14:paraId="1410A53C">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2、养护期限：2年，2026年  月  日--2028年  月  日。</w:t>
      </w:r>
    </w:p>
    <w:p w14:paraId="39D5B911">
      <w:pPr>
        <w:keepNext w:val="0"/>
        <w:keepLines w:val="0"/>
        <w:pageBreakBefore w:val="0"/>
        <w:kinsoku/>
        <w:wordWrap/>
        <w:topLinePunct w:val="0"/>
        <w:bidi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二、校园绿化养护要求</w:t>
      </w:r>
    </w:p>
    <w:p w14:paraId="7EE63C1C">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1、绿化养护管理质量要求：绿地植物根据相关绿地养护管理标准进行养护，所属设施设备的保养和清卫保洁按招标文件要求和监管条例相关要求。</w:t>
      </w:r>
    </w:p>
    <w:p w14:paraId="1A96E585">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2、人员要求</w:t>
      </w:r>
    </w:p>
    <w:p w14:paraId="471CB070">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本项目需配备项目经理（负责人）1名。要求身体健康，具有丰富绿化养护管理经验，全面负责医院绿化养护各项日常管理工作及事务、与采购人的沟通与协调，确保绿化养护服务到位。项目经理必须每周2次进行现场指导，不能按时到场的，需向采购人请假；无故不到场的每次处罚款500元。如项目经理变更需征得采购人同意。擅自变更项目经理的处罚款2万元。为本项目配备的项目经理不能有效配合采购人正常工作的，采购人有权要求更换项目经理。</w:t>
      </w:r>
    </w:p>
    <w:p w14:paraId="2800F225">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2.2中标人在养护期内须提供一名潘桥院区固定绿化工人。</w:t>
      </w:r>
    </w:p>
    <w:p w14:paraId="060579D2">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2.3中标人须为员工办理劳动保险等手续，提供工作服等劳保用品，工作人员工作时间须统一着装。</w:t>
      </w:r>
    </w:p>
    <w:p w14:paraId="29E87E72">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2.4中标人应承担其工作人员的住宿、工资、酬金、社保费以及员工教育培训等，如发生纠纷或人身安全、生产安全等事故，所有责任由中标人承担。</w:t>
      </w:r>
    </w:p>
    <w:p w14:paraId="7D023556">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2.5中标人须自觉服从医院的管理，遵守医院的各项规章制度及防控规定，合理安排绿化养护时间，不得干扰正常的医院管理秩序；</w:t>
      </w:r>
    </w:p>
    <w:p w14:paraId="77F94E66">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2.6中标人每月5号前向采购人书面上报养护计划及上月的养护总结。包括详细的时间段，养护内容、养护耗材、人员安排等；施肥、喷洒杀虫剂时须提前通知采购人，方便采购人现场核验数量、质量；</w:t>
      </w:r>
    </w:p>
    <w:p w14:paraId="22E96483">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3、设备要求</w:t>
      </w:r>
    </w:p>
    <w:p w14:paraId="5257111A">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u w:val="none"/>
          <w:lang w:val="en-US" w:eastAsia="zh-CN"/>
        </w:rPr>
        <w:t>中标人必须投入专业绿化养护设备</w:t>
      </w:r>
      <w:r>
        <w:rPr>
          <w:rFonts w:hint="eastAsia" w:ascii="宋体" w:hAnsi="宋体" w:eastAsia="宋体" w:cs="宋体"/>
          <w:color w:val="auto"/>
          <w:sz w:val="22"/>
          <w:szCs w:val="22"/>
          <w:highlight w:val="none"/>
          <w:lang w:val="en-US" w:eastAsia="zh-CN"/>
        </w:rPr>
        <w:t>。</w:t>
      </w:r>
    </w:p>
    <w:p w14:paraId="33AC9757">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3.2中标人必须确保投标文件中承诺的设备、工器具按时到位。</w:t>
      </w:r>
    </w:p>
    <w:p w14:paraId="57B8A67D">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4、移植、补植要求</w:t>
      </w:r>
    </w:p>
    <w:p w14:paraId="4A6508B3">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4.1如因采购人景观改造种植树木或苗木生长需要移植、挖除、栽种新品种的，费用按实结算；</w:t>
      </w:r>
    </w:p>
    <w:p w14:paraId="72B527B1">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4.2如遇采购人需要播种草籽、花籽，更换花箱、绿化景观内的草花等，人工费用不再另算，采购草籽、花籽、草花等费用按实结算；</w:t>
      </w:r>
    </w:p>
    <w:p w14:paraId="29BCA151">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4.3对于易被踩踏的绿地及绿篱，中标人应采取必要的保护措施，如因中标人保护不当，绿地及绿篱被踩死，中标人应负责免费补植同品种、同规格的草坪及绿篱；</w:t>
      </w:r>
    </w:p>
    <w:p w14:paraId="71B86E0D">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4.4中标人养护不力造成植物死亡的，负责适时补植同样品种和大小基本相符的植物。如造成贵重树木死亡，中标人应按同规格品种补植并保活或按当前市场价赔偿；</w:t>
      </w:r>
    </w:p>
    <w:p w14:paraId="79CD1989">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4.5补植应根据分类树种的最佳种植时间进行，且不迟于移交前一个月。因采购人要求必须马上补植的，在采购人通知2天内补植完成；</w:t>
      </w:r>
    </w:p>
    <w:p w14:paraId="1046BEF5">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4.6由于院内水电零星工程施工，涉及部分乔木、灌木移栽时，中标人须无条件配合移栽种植并养护。</w:t>
      </w:r>
    </w:p>
    <w:p w14:paraId="54897932">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5、中标人应爱护投标人的相关设施，如因中标人操作失误造成采购人水管、电路、消防栓等设备或其他设施损坏，需及时向采购人报告并尽快修复，产生费用及造成损失由中标人承担。</w:t>
      </w:r>
    </w:p>
    <w:p w14:paraId="550CD307">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6、采购人有重要活动、会议安排或者其他突发事件时，中标人必须无条件组织力量全面做好绿化养护工作，紧急情况随叫随到。如产生人工费用之外的运输、机械等较大费用，费用由采购人承担。</w:t>
      </w:r>
    </w:p>
    <w:p w14:paraId="613D7961">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遇到灾害性气候，中标人应及时组织人员进行抗旱浇水、抗台护树、抗雪保树、抗寒保暖工作。因中标人保护措施不当或者未及时采取保护措施，造成的损失由中标人承担，如中标人工作到位，则损失由采购人和中标人双方协商确定。</w:t>
      </w:r>
    </w:p>
    <w:p w14:paraId="780EC881">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8、中标人负责落实安全防火和安全生产措施，及时消除安全隐患，如因中标人原因造成火灾、爆炸、农药中毒等严重事件，中标人需承担所有责任并赔偿采购人因此而遭受的全部损失。</w:t>
      </w:r>
    </w:p>
    <w:p w14:paraId="57CF4B47">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9、院区管理标准</w:t>
      </w:r>
    </w:p>
    <w:p w14:paraId="07715550">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9.1及时清理绿化带、草坪内的石块、垃圾、杂草等，确保绿地内常年清洁；</w:t>
      </w:r>
    </w:p>
    <w:p w14:paraId="7FE29757">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9.2路边踩踏草地以及私自开垦绿化带，及时采取防护措施，如不采取措施由中标人补偿；</w:t>
      </w:r>
    </w:p>
    <w:p w14:paraId="2428964B">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9.3草坪边缘与路面应及时切边，及时清除路面、建筑物缝隙内杂草；</w:t>
      </w:r>
    </w:p>
    <w:p w14:paraId="6A4C3C90">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9.4应适时对树木的叶面、园林设施进行清洗，平时没有积尘；</w:t>
      </w:r>
    </w:p>
    <w:p w14:paraId="3231C46A">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9.5定期设置、维护树牌、草坪提示牌等附属设施。</w:t>
      </w:r>
    </w:p>
    <w:p w14:paraId="0DBFB948">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10、中标人不得将本承包项目进行转包；</w:t>
      </w:r>
    </w:p>
    <w:p w14:paraId="7CFB3D45">
      <w:pPr>
        <w:keepNext w:val="0"/>
        <w:keepLines w:val="0"/>
        <w:pageBreakBefore w:val="0"/>
        <w:kinsoku/>
        <w:wordWrap/>
        <w:topLinePunct w:val="0"/>
        <w:bidi w:val="0"/>
        <w:spacing w:line="440" w:lineRule="exact"/>
        <w:ind w:left="-420" w:leftChars="-20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、商务要求</w:t>
      </w:r>
    </w:p>
    <w:p w14:paraId="28F6EF28">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1、服务期：本项目服务期为2年，自2026年  月  日起至2028年  月  日止。</w:t>
      </w:r>
    </w:p>
    <w:p w14:paraId="032FAAFE">
      <w:pPr>
        <w:keepNext w:val="0"/>
        <w:keepLines w:val="0"/>
        <w:pageBreakBefore w:val="0"/>
        <w:kinsoku/>
        <w:wordWrap/>
        <w:topLinePunct w:val="0"/>
        <w:bidi w:val="0"/>
        <w:spacing w:line="440" w:lineRule="exact"/>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2、付款方式：采购人在合同签订并收到中标人开具的正式发票后</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个工作日内向中标人支付</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根据先提供服务后支付原则，按合同价定期与中标人分八次结算费用（结算前中标人需向采购人提供正式税务发票）。每三个月结算一次，付款时间为每三个月后</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个工作日内付款。</w:t>
      </w:r>
    </w:p>
    <w:p w14:paraId="7C00D2D0">
      <w:pPr>
        <w:rPr>
          <w:color w:val="auto"/>
          <w:highlight w:val="none"/>
        </w:rPr>
      </w:pPr>
    </w:p>
    <w:p w14:paraId="13335716">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3329DEB1">
      <w:pPr>
        <w:pStyle w:val="2"/>
        <w:spacing w:line="600" w:lineRule="exact"/>
        <w:jc w:val="center"/>
        <w:rPr>
          <w:rFonts w:ascii="黑体" w:hAnsi="黑体"/>
          <w:bCs/>
          <w:color w:val="auto"/>
          <w:sz w:val="36"/>
          <w:szCs w:val="36"/>
          <w:highlight w:val="none"/>
        </w:rPr>
      </w:pPr>
      <w:bookmarkStart w:id="114" w:name="_Toc29574"/>
      <w:r>
        <w:rPr>
          <w:rFonts w:hint="eastAsia" w:ascii="黑体" w:hAnsi="黑体" w:eastAsia="黑体"/>
          <w:bCs/>
          <w:color w:val="auto"/>
          <w:sz w:val="36"/>
          <w:szCs w:val="36"/>
          <w:highlight w:val="none"/>
        </w:rPr>
        <w:t>第六部分  评标原则及方法</w:t>
      </w:r>
      <w:bookmarkEnd w:id="112"/>
      <w:bookmarkEnd w:id="113"/>
      <w:bookmarkEnd w:id="114"/>
    </w:p>
    <w:p w14:paraId="22607B15">
      <w:pPr>
        <w:pStyle w:val="18"/>
        <w:adjustRightInd w:val="0"/>
        <w:snapToGrid w:val="0"/>
        <w:spacing w:line="440" w:lineRule="exact"/>
        <w:ind w:left="546" w:leftChars="260"/>
        <w:rPr>
          <w:rFonts w:ascii="宋体" w:hAnsi="宋体" w:cs="宋体"/>
          <w:b/>
          <w:bCs/>
          <w:color w:val="auto"/>
          <w:sz w:val="22"/>
          <w:szCs w:val="22"/>
          <w:highlight w:val="none"/>
        </w:rPr>
      </w:pPr>
      <w:r>
        <w:rPr>
          <w:rFonts w:hint="eastAsia" w:ascii="宋体" w:hAnsi="宋体" w:cs="宋体"/>
          <w:b/>
          <w:bCs/>
          <w:color w:val="auto"/>
          <w:sz w:val="22"/>
          <w:szCs w:val="22"/>
          <w:highlight w:val="none"/>
        </w:rPr>
        <w:t>参考《中华人民共和国政府采购法》、《政府采购货物和服务招标投标管理办法》（财政部第87号令）等相关法律、法规特制定以下评标办法。</w:t>
      </w:r>
    </w:p>
    <w:p w14:paraId="2A39B792">
      <w:pPr>
        <w:pStyle w:val="18"/>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一． 总  则</w:t>
      </w:r>
    </w:p>
    <w:p w14:paraId="72BE9B4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应遵循公平、公正、科学、择优原则，科学、严谨的态度，认真进行评标，推进技术进步，确保工程质量、交货期，节约投资，最大限度的保护当事人权益。严格按照招标文件的商务、技术要求，对投标文件进行综合评定，编写评标报告。对落标投标人，评标委员会不作任何解释。投标人不得以任何方式干扰招投标工作的进行，一经发现其投标文件将被拒绝。</w:t>
      </w:r>
    </w:p>
    <w:p w14:paraId="0BAD8638">
      <w:pPr>
        <w:pStyle w:val="18"/>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二． 评标组织</w:t>
      </w:r>
    </w:p>
    <w:p w14:paraId="40BF856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评标工作由采购人和采购代理机构依法组建的评标委员会负责，评标全过程由有关部门指导监督。</w:t>
      </w:r>
    </w:p>
    <w:p w14:paraId="4C4AB933">
      <w:pPr>
        <w:pStyle w:val="18"/>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三．电子招投标开标及评审程序</w:t>
      </w:r>
    </w:p>
    <w:p w14:paraId="0C6B385A">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采购代理机构签收、开始解密投标文件；</w:t>
      </w:r>
    </w:p>
    <w:p w14:paraId="5B759F16">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投标人解密投标文件；</w:t>
      </w:r>
    </w:p>
    <w:p w14:paraId="4E169DB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采购代理机构结束解密投标文件；</w:t>
      </w:r>
    </w:p>
    <w:p w14:paraId="2795A8A8">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采购代理机构或采购人在线资格性审查；</w:t>
      </w:r>
    </w:p>
    <w:p w14:paraId="336F363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评标委员会对投标文件进行评审；</w:t>
      </w:r>
    </w:p>
    <w:p w14:paraId="21AFCA4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6.   </w:t>
      </w:r>
      <w:r>
        <w:rPr>
          <w:rFonts w:hint="eastAsia" w:ascii="宋体" w:hAnsi="宋体" w:cs="宋体"/>
          <w:color w:val="auto"/>
          <w:sz w:val="22"/>
          <w:szCs w:val="22"/>
          <w:highlight w:val="none"/>
        </w:rPr>
        <w:t>在乐采云系统上公开资格和商务技术评审结果；</w:t>
      </w:r>
    </w:p>
    <w:p w14:paraId="27C6FB55">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7.   </w:t>
      </w:r>
      <w:r>
        <w:rPr>
          <w:rFonts w:hint="eastAsia" w:ascii="宋体" w:hAnsi="宋体" w:cs="宋体"/>
          <w:color w:val="auto"/>
          <w:sz w:val="22"/>
          <w:szCs w:val="22"/>
          <w:highlight w:val="none"/>
        </w:rPr>
        <w:t>在乐采云系统上公开报价情况；</w:t>
      </w:r>
    </w:p>
    <w:p w14:paraId="1EA2A470">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8.   </w:t>
      </w:r>
      <w:r>
        <w:rPr>
          <w:rFonts w:hint="eastAsia" w:ascii="宋体" w:hAnsi="宋体" w:cs="宋体"/>
          <w:color w:val="auto"/>
          <w:sz w:val="22"/>
          <w:szCs w:val="22"/>
          <w:highlight w:val="none"/>
        </w:rPr>
        <w:t>评标委员会对报价情况进行评审；</w:t>
      </w:r>
    </w:p>
    <w:p w14:paraId="05BC0CA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9. </w:t>
      </w:r>
      <w:r>
        <w:rPr>
          <w:rFonts w:hint="eastAsia" w:ascii="宋体" w:hAnsi="宋体" w:cs="宋体"/>
          <w:color w:val="auto"/>
          <w:sz w:val="22"/>
          <w:szCs w:val="22"/>
          <w:highlight w:val="none"/>
        </w:rPr>
        <w:t xml:space="preserve">  在系统上公布评审结果。</w:t>
      </w:r>
    </w:p>
    <w:p w14:paraId="22B5B5CD">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特别说明：乐采云公司如对电子化开标及评审程序有调整的，按调整后的程序操作。</w:t>
      </w:r>
    </w:p>
    <w:p w14:paraId="7F43F57D">
      <w:pPr>
        <w:pStyle w:val="18"/>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四． 评标办法</w:t>
      </w:r>
    </w:p>
    <w:p w14:paraId="7739768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   本次评标采用综合评分法，总分100分，其中商务技术70分（商务技术权值70%），价格30分（价格权值30%）。即最大限度地满足招标文件实质性要求前提下，按照招标文件中规定的各项评分内容评审后，以评标总得分最高的投标人，作为中标人。</w:t>
      </w:r>
    </w:p>
    <w:p w14:paraId="0E2DFBF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   投标截止时间止及评审期间，如出现有效投标人＜3家时，本项目废标，并重新组织招标。</w:t>
      </w:r>
    </w:p>
    <w:p w14:paraId="5E1E66A2">
      <w:pPr>
        <w:pStyle w:val="18"/>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五． 评分细则</w:t>
      </w:r>
    </w:p>
    <w:p w14:paraId="501CE21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商务技术分的评定（70分）</w:t>
      </w:r>
    </w:p>
    <w:p w14:paraId="1FC6D8CC">
      <w:pPr>
        <w:spacing w:line="440" w:lineRule="exact"/>
        <w:ind w:left="548" w:leftChars="261"/>
        <w:rPr>
          <w:color w:val="auto"/>
          <w:highlight w:val="none"/>
        </w:rPr>
      </w:pPr>
      <w:r>
        <w:rPr>
          <w:rFonts w:hint="eastAsia" w:ascii="宋体" w:hAnsi="宋体" w:cs="宋体"/>
          <w:color w:val="auto"/>
          <w:sz w:val="22"/>
          <w:szCs w:val="22"/>
          <w:highlight w:val="none"/>
        </w:rPr>
        <w:t>各评委成员按下列评分内容进行评定，每人一张评分计算表，由评标委员会成员各自评定独立打分并记实名。如某张表的一项评分内容分值超过规定的范围，则该张表无效。评标委员会成员对投标人的各项评分内容评分的合计分汇总后的算术平均值为该投标人商务技术的最终得分（四舍五入，保留小数点后二位）。</w:t>
      </w:r>
    </w:p>
    <w:p w14:paraId="218FEAFB">
      <w:pPr>
        <w:spacing w:line="440" w:lineRule="exact"/>
        <w:rPr>
          <w:rFonts w:ascii="宋体" w:hAnsi="宋体" w:cs="宋体"/>
          <w:b/>
          <w:color w:val="auto"/>
          <w:szCs w:val="22"/>
          <w:highlight w:val="none"/>
        </w:rPr>
      </w:pPr>
      <w:r>
        <w:rPr>
          <w:rFonts w:hint="eastAsia" w:ascii="宋体" w:hAnsi="宋体" w:cs="宋体"/>
          <w:b/>
          <w:color w:val="auto"/>
          <w:szCs w:val="22"/>
          <w:highlight w:val="none"/>
        </w:rPr>
        <w:t>商务技术70分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76"/>
        <w:gridCol w:w="638"/>
        <w:gridCol w:w="6799"/>
      </w:tblGrid>
      <w:tr w14:paraId="22E2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18" w:type="dxa"/>
            <w:noWrap w:val="0"/>
            <w:vAlign w:val="center"/>
          </w:tcPr>
          <w:p w14:paraId="2BC686B2">
            <w:pPr>
              <w:widowControl/>
              <w:spacing w:line="340" w:lineRule="exact"/>
              <w:ind w:right="3"/>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476" w:type="dxa"/>
            <w:noWrap w:val="0"/>
            <w:vAlign w:val="center"/>
          </w:tcPr>
          <w:p w14:paraId="17382D62">
            <w:pPr>
              <w:widowControl/>
              <w:spacing w:line="340" w:lineRule="exact"/>
              <w:ind w:right="3"/>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评分内容</w:t>
            </w:r>
          </w:p>
        </w:tc>
        <w:tc>
          <w:tcPr>
            <w:tcW w:w="638" w:type="dxa"/>
            <w:noWrap w:val="0"/>
            <w:vAlign w:val="center"/>
          </w:tcPr>
          <w:p w14:paraId="11176397">
            <w:pPr>
              <w:widowControl/>
              <w:spacing w:line="340" w:lineRule="exact"/>
              <w:ind w:right="3"/>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分值</w:t>
            </w:r>
          </w:p>
        </w:tc>
        <w:tc>
          <w:tcPr>
            <w:tcW w:w="6799" w:type="dxa"/>
            <w:noWrap w:val="0"/>
            <w:vAlign w:val="center"/>
          </w:tcPr>
          <w:p w14:paraId="0CAAB6AB">
            <w:pPr>
              <w:widowControl/>
              <w:spacing w:line="340" w:lineRule="exact"/>
              <w:ind w:right="6"/>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评审标准</w:t>
            </w:r>
          </w:p>
        </w:tc>
      </w:tr>
      <w:tr w14:paraId="0C9C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18" w:type="dxa"/>
            <w:noWrap w:val="0"/>
            <w:vAlign w:val="center"/>
          </w:tcPr>
          <w:p w14:paraId="655B6DC8">
            <w:pPr>
              <w:widowControl/>
              <w:spacing w:line="340" w:lineRule="exact"/>
              <w:ind w:right="3"/>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w:t>
            </w:r>
          </w:p>
        </w:tc>
        <w:tc>
          <w:tcPr>
            <w:tcW w:w="1476" w:type="dxa"/>
            <w:noWrap w:val="0"/>
            <w:vAlign w:val="center"/>
          </w:tcPr>
          <w:p w14:paraId="638F6D95">
            <w:pPr>
              <w:widowControl/>
              <w:spacing w:line="340" w:lineRule="exact"/>
              <w:ind w:right="3"/>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投标人同类项目业绩</w:t>
            </w:r>
          </w:p>
        </w:tc>
        <w:tc>
          <w:tcPr>
            <w:tcW w:w="638" w:type="dxa"/>
            <w:noWrap w:val="0"/>
            <w:vAlign w:val="center"/>
          </w:tcPr>
          <w:p w14:paraId="2FFD3F64">
            <w:pPr>
              <w:widowControl/>
              <w:spacing w:line="340" w:lineRule="exact"/>
              <w:ind w:right="3"/>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c>
          <w:tcPr>
            <w:tcW w:w="6799" w:type="dxa"/>
            <w:noWrap w:val="0"/>
            <w:vAlign w:val="center"/>
          </w:tcPr>
          <w:p w14:paraId="389E8F5D">
            <w:pPr>
              <w:widowControl/>
              <w:spacing w:line="340" w:lineRule="exact"/>
              <w:ind w:right="3"/>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投标人自202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年1月1日以来（以签订合同日期为准）独立承担过同类绿化养护项目业绩，每个得1分，本项最多得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分（须提供养护合同复印件加盖电子章，未提供不得分）。</w:t>
            </w:r>
          </w:p>
        </w:tc>
      </w:tr>
      <w:tr w14:paraId="1B2D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18" w:type="dxa"/>
            <w:noWrap w:val="0"/>
            <w:vAlign w:val="center"/>
          </w:tcPr>
          <w:p w14:paraId="1A90841B">
            <w:pPr>
              <w:widowControl/>
              <w:spacing w:line="340" w:lineRule="exact"/>
              <w:ind w:right="3"/>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c>
          <w:tcPr>
            <w:tcW w:w="1476" w:type="dxa"/>
            <w:noWrap w:val="0"/>
            <w:vAlign w:val="center"/>
          </w:tcPr>
          <w:p w14:paraId="442F3467">
            <w:pPr>
              <w:widowControl/>
              <w:spacing w:line="340" w:lineRule="exact"/>
              <w:ind w:right="3"/>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企业项目负责人、现场园林专业管理人员情况</w:t>
            </w:r>
          </w:p>
        </w:tc>
        <w:tc>
          <w:tcPr>
            <w:tcW w:w="638" w:type="dxa"/>
            <w:noWrap w:val="0"/>
            <w:vAlign w:val="center"/>
          </w:tcPr>
          <w:p w14:paraId="2E500F96">
            <w:pPr>
              <w:widowControl/>
              <w:spacing w:line="340" w:lineRule="exact"/>
              <w:ind w:right="3"/>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6799" w:type="dxa"/>
            <w:noWrap w:val="0"/>
            <w:vAlign w:val="center"/>
          </w:tcPr>
          <w:p w14:paraId="5F0D6408">
            <w:pPr>
              <w:keepNext w:val="0"/>
              <w:keepLines w:val="0"/>
              <w:pageBreakBefore w:val="0"/>
              <w:widowControl/>
              <w:numPr>
                <w:ilvl w:val="0"/>
                <w:numId w:val="0"/>
              </w:numPr>
              <w:kinsoku/>
              <w:wordWrap/>
              <w:overflowPunct/>
              <w:topLinePunct w:val="0"/>
              <w:autoSpaceDE/>
              <w:autoSpaceDN/>
              <w:bidi w:val="0"/>
              <w:snapToGrid/>
              <w:spacing w:line="360" w:lineRule="exact"/>
              <w:ind w:right="3" w:rightChars="0"/>
              <w:rPr>
                <w:rFonts w:hint="eastAsia"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lang w:val="en-US" w:eastAsia="zh-CN" w:bidi="ar-SA"/>
              </w:rPr>
              <w:t>（1）</w:t>
            </w:r>
            <w:r>
              <w:rPr>
                <w:rFonts w:hint="eastAsia" w:ascii="宋体" w:hAnsi="宋体" w:eastAsia="宋体" w:cs="宋体"/>
                <w:b w:val="0"/>
                <w:bCs w:val="0"/>
                <w:color w:val="auto"/>
                <w:sz w:val="22"/>
                <w:szCs w:val="22"/>
                <w:highlight w:val="none"/>
              </w:rPr>
              <w:t>项</w:t>
            </w:r>
            <w:r>
              <w:rPr>
                <w:rFonts w:hint="eastAsia" w:ascii="宋体" w:hAnsi="宋体" w:eastAsia="宋体" w:cs="宋体"/>
                <w:color w:val="auto"/>
                <w:sz w:val="22"/>
                <w:szCs w:val="22"/>
                <w:highlight w:val="none"/>
              </w:rPr>
              <w:t>目管理负责人具有中级以上园林及相关专业的职称证书【林业、园艺、花卉、植保、风景园林的得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提供</w:t>
            </w:r>
            <w:r>
              <w:rPr>
                <w:rFonts w:hint="eastAsia" w:ascii="宋体" w:hAnsi="宋体" w:eastAsia="宋体" w:cs="宋体"/>
                <w:b/>
                <w:bCs/>
                <w:color w:val="auto"/>
                <w:sz w:val="22"/>
                <w:szCs w:val="22"/>
                <w:highlight w:val="none"/>
              </w:rPr>
              <w:t>复印件加盖公章</w:t>
            </w:r>
            <w:r>
              <w:rPr>
                <w:rFonts w:hint="eastAsia" w:ascii="宋体" w:hAnsi="宋体" w:eastAsia="宋体" w:cs="宋体"/>
                <w:b/>
                <w:bCs/>
                <w:color w:val="auto"/>
                <w:sz w:val="22"/>
                <w:szCs w:val="22"/>
                <w:highlight w:val="none"/>
                <w:lang w:val="en-US" w:eastAsia="zh-CN"/>
              </w:rPr>
              <w:t>和</w:t>
            </w:r>
            <w:r>
              <w:rPr>
                <w:rFonts w:hint="eastAsia" w:ascii="宋体" w:hAnsi="宋体" w:eastAsia="宋体" w:cs="宋体"/>
                <w:b/>
                <w:bCs/>
                <w:color w:val="auto"/>
                <w:sz w:val="22"/>
                <w:szCs w:val="22"/>
                <w:highlight w:val="none"/>
              </w:rPr>
              <w:t>在本单位的在职证明材料，否则不得分。</w:t>
            </w:r>
          </w:p>
          <w:p w14:paraId="07248E90">
            <w:pPr>
              <w:widowControl/>
              <w:numPr>
                <w:ilvl w:val="0"/>
                <w:numId w:val="0"/>
              </w:numPr>
              <w:spacing w:line="340" w:lineRule="exact"/>
              <w:ind w:right="3" w:rightChars="0"/>
              <w:rPr>
                <w:rFonts w:hint="eastAsia" w:ascii="宋体" w:hAnsi="宋体"/>
                <w:color w:val="auto"/>
                <w:sz w:val="22"/>
                <w:szCs w:val="22"/>
                <w:highlight w:val="none"/>
              </w:rPr>
            </w:pPr>
            <w:r>
              <w:rPr>
                <w:rFonts w:hint="eastAsia" w:ascii="宋体" w:hAnsi="宋体" w:eastAsia="宋体" w:cs="宋体"/>
                <w:color w:val="auto"/>
                <w:sz w:val="22"/>
                <w:szCs w:val="22"/>
                <w:highlight w:val="none"/>
              </w:rPr>
              <w:t>（2）拟投入绿化管理人员（不含项目管理负责人）中</w:t>
            </w:r>
            <w:r>
              <w:rPr>
                <w:rFonts w:hint="eastAsia" w:ascii="宋体" w:hAnsi="宋体" w:eastAsia="宋体" w:cs="宋体"/>
                <w:color w:val="auto"/>
                <w:sz w:val="22"/>
                <w:szCs w:val="22"/>
                <w:highlight w:val="none"/>
                <w:lang w:val="en-US" w:eastAsia="zh-CN"/>
              </w:rPr>
              <w:t>具有</w:t>
            </w:r>
            <w:r>
              <w:rPr>
                <w:rFonts w:hint="eastAsia" w:ascii="宋体" w:hAnsi="宋体" w:eastAsia="宋体" w:cs="宋体"/>
                <w:color w:val="auto"/>
                <w:sz w:val="22"/>
                <w:szCs w:val="22"/>
                <w:highlight w:val="none"/>
              </w:rPr>
              <w:t>绿化工证或花卉工证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每人得1分</w:t>
            </w:r>
            <w:r>
              <w:rPr>
                <w:rFonts w:hint="eastAsia" w:ascii="宋体" w:hAnsi="宋体" w:eastAsia="宋体" w:cs="宋体"/>
                <w:color w:val="auto"/>
                <w:sz w:val="22"/>
                <w:szCs w:val="22"/>
                <w:highlight w:val="none"/>
              </w:rPr>
              <w:t>，最高得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b/>
                <w:bCs/>
                <w:color w:val="auto"/>
                <w:sz w:val="22"/>
                <w:szCs w:val="22"/>
                <w:highlight w:val="none"/>
              </w:rPr>
              <w:t>（须提供人员证书复印件加盖公章，不提供不得分。</w:t>
            </w:r>
          </w:p>
        </w:tc>
      </w:tr>
      <w:tr w14:paraId="6F1B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18" w:type="dxa"/>
            <w:vMerge w:val="restart"/>
            <w:noWrap w:val="0"/>
            <w:vAlign w:val="center"/>
          </w:tcPr>
          <w:p w14:paraId="5BD3DCC3">
            <w:pPr>
              <w:widowControl/>
              <w:spacing w:line="340" w:lineRule="exact"/>
              <w:ind w:right="3"/>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c>
          <w:tcPr>
            <w:tcW w:w="1476" w:type="dxa"/>
            <w:vMerge w:val="restart"/>
            <w:noWrap w:val="0"/>
            <w:vAlign w:val="center"/>
          </w:tcPr>
          <w:p w14:paraId="345BE406">
            <w:pPr>
              <w:widowControl/>
              <w:spacing w:line="340" w:lineRule="exact"/>
              <w:ind w:right="3"/>
              <w:rPr>
                <w:rFonts w:hint="eastAsia" w:ascii="宋体" w:hAnsi="宋体" w:cs="宋体"/>
                <w:color w:val="auto"/>
                <w:sz w:val="22"/>
                <w:szCs w:val="22"/>
                <w:highlight w:val="none"/>
              </w:rPr>
            </w:pPr>
            <w:r>
              <w:rPr>
                <w:rFonts w:hint="eastAsia" w:ascii="宋体" w:hAnsi="宋体" w:cs="宋体"/>
                <w:color w:val="auto"/>
                <w:sz w:val="22"/>
                <w:szCs w:val="22"/>
                <w:highlight w:val="none"/>
              </w:rPr>
              <w:t>拟投入小型设备配置情况</w:t>
            </w:r>
          </w:p>
        </w:tc>
        <w:tc>
          <w:tcPr>
            <w:tcW w:w="638" w:type="dxa"/>
            <w:noWrap w:val="0"/>
            <w:vAlign w:val="center"/>
          </w:tcPr>
          <w:p w14:paraId="21477593">
            <w:pPr>
              <w:widowControl/>
              <w:spacing w:line="340" w:lineRule="exact"/>
              <w:ind w:right="3"/>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6</w:t>
            </w:r>
          </w:p>
        </w:tc>
        <w:tc>
          <w:tcPr>
            <w:tcW w:w="6799" w:type="dxa"/>
            <w:noWrap w:val="0"/>
            <w:vAlign w:val="center"/>
          </w:tcPr>
          <w:p w14:paraId="02B38112">
            <w:pPr>
              <w:widowControl/>
              <w:spacing w:line="340" w:lineRule="exact"/>
              <w:ind w:right="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为</w:t>
            </w:r>
            <w:r>
              <w:rPr>
                <w:rFonts w:hint="eastAsia" w:ascii="宋体" w:hAnsi="宋体" w:eastAsia="宋体" w:cs="宋体"/>
                <w:color w:val="auto"/>
                <w:sz w:val="22"/>
                <w:szCs w:val="22"/>
                <w:highlight w:val="none"/>
              </w:rPr>
              <w:t>本项目配置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绿化垃圾运输车</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高压</w:t>
            </w:r>
            <w:r>
              <w:rPr>
                <w:rFonts w:hint="eastAsia" w:ascii="宋体" w:hAnsi="宋体" w:eastAsia="宋体" w:cs="宋体"/>
                <w:color w:val="auto"/>
                <w:sz w:val="22"/>
                <w:szCs w:val="22"/>
                <w:highlight w:val="none"/>
              </w:rPr>
              <w:t>打药机</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高枝油锯</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得1分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电动修剪机</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得1分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割灌机</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得1分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本项</w:t>
            </w:r>
            <w:r>
              <w:rPr>
                <w:rFonts w:hint="eastAsia" w:ascii="宋体" w:hAnsi="宋体" w:eastAsia="宋体" w:cs="宋体"/>
                <w:color w:val="auto"/>
                <w:sz w:val="22"/>
                <w:szCs w:val="22"/>
                <w:highlight w:val="none"/>
              </w:rPr>
              <w:t>最高</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5570AE86">
            <w:pPr>
              <w:widowControl/>
              <w:spacing w:line="340" w:lineRule="exact"/>
              <w:ind w:right="3"/>
              <w:rPr>
                <w:rFonts w:hint="default"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注：以上设备为投标人自有设备</w:t>
            </w:r>
            <w:r>
              <w:rPr>
                <w:rFonts w:hint="eastAsia" w:ascii="宋体" w:hAnsi="宋体" w:eastAsia="宋体" w:cs="宋体"/>
                <w:b/>
                <w:bCs/>
                <w:color w:val="auto"/>
                <w:sz w:val="22"/>
                <w:szCs w:val="22"/>
                <w:highlight w:val="none"/>
                <w:lang w:eastAsia="zh-CN"/>
              </w:rPr>
              <w:t>的</w:t>
            </w:r>
            <w:r>
              <w:rPr>
                <w:rFonts w:hint="eastAsia" w:ascii="宋体" w:hAnsi="宋体" w:eastAsia="宋体" w:cs="宋体"/>
                <w:b/>
                <w:bCs/>
                <w:color w:val="auto"/>
                <w:sz w:val="22"/>
                <w:szCs w:val="22"/>
                <w:highlight w:val="none"/>
              </w:rPr>
              <w:t>，提供发票</w:t>
            </w:r>
            <w:r>
              <w:rPr>
                <w:rFonts w:hint="eastAsia" w:ascii="宋体" w:hAnsi="宋体" w:eastAsia="宋体" w:cs="宋体"/>
                <w:b/>
                <w:bCs/>
                <w:color w:val="auto"/>
                <w:sz w:val="22"/>
                <w:szCs w:val="22"/>
                <w:highlight w:val="none"/>
                <w:lang w:val="en-US" w:eastAsia="zh-CN"/>
              </w:rPr>
              <w:t>加盖公章</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为租赁的，提供设备拥有人证明材料及租赁协议</w:t>
            </w:r>
            <w:r>
              <w:rPr>
                <w:rFonts w:hint="eastAsia" w:ascii="宋体" w:hAnsi="宋体" w:eastAsia="宋体" w:cs="宋体"/>
                <w:b/>
                <w:bCs/>
                <w:color w:val="auto"/>
                <w:sz w:val="22"/>
                <w:szCs w:val="22"/>
                <w:highlight w:val="none"/>
              </w:rPr>
              <w:t>加盖</w:t>
            </w:r>
            <w:r>
              <w:rPr>
                <w:rFonts w:hint="eastAsia" w:ascii="宋体" w:hAnsi="宋体" w:eastAsia="宋体" w:cs="宋体"/>
                <w:b/>
                <w:bCs/>
                <w:color w:val="auto"/>
                <w:sz w:val="22"/>
                <w:szCs w:val="22"/>
                <w:highlight w:val="none"/>
                <w:lang w:val="en-US" w:eastAsia="zh-CN"/>
              </w:rPr>
              <w:t>公章</w:t>
            </w:r>
            <w:r>
              <w:rPr>
                <w:rFonts w:hint="eastAsia" w:ascii="宋体" w:hAnsi="宋体" w:eastAsia="宋体" w:cs="宋体"/>
                <w:b/>
                <w:bCs/>
                <w:color w:val="auto"/>
                <w:sz w:val="22"/>
                <w:szCs w:val="22"/>
                <w:highlight w:val="none"/>
              </w:rPr>
              <w:t>。</w:t>
            </w:r>
          </w:p>
        </w:tc>
      </w:tr>
      <w:tr w14:paraId="56B0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18" w:type="dxa"/>
            <w:vMerge w:val="continue"/>
            <w:noWrap w:val="0"/>
            <w:vAlign w:val="center"/>
          </w:tcPr>
          <w:p w14:paraId="74881B67">
            <w:pPr>
              <w:widowControl/>
              <w:spacing w:line="340" w:lineRule="exact"/>
              <w:ind w:right="3"/>
              <w:jc w:val="center"/>
              <w:rPr>
                <w:rFonts w:hint="eastAsia" w:ascii="宋体" w:hAnsi="宋体" w:cs="宋体"/>
                <w:color w:val="auto"/>
                <w:sz w:val="22"/>
                <w:szCs w:val="22"/>
                <w:highlight w:val="none"/>
              </w:rPr>
            </w:pPr>
          </w:p>
        </w:tc>
        <w:tc>
          <w:tcPr>
            <w:tcW w:w="1476" w:type="dxa"/>
            <w:vMerge w:val="continue"/>
            <w:noWrap w:val="0"/>
            <w:vAlign w:val="center"/>
          </w:tcPr>
          <w:p w14:paraId="56CC5DFC">
            <w:pPr>
              <w:widowControl/>
              <w:spacing w:line="340" w:lineRule="exact"/>
              <w:ind w:right="3"/>
              <w:rPr>
                <w:rFonts w:hint="eastAsia" w:ascii="宋体" w:hAnsi="宋体" w:cs="宋体"/>
                <w:color w:val="auto"/>
                <w:sz w:val="22"/>
                <w:szCs w:val="22"/>
                <w:highlight w:val="none"/>
              </w:rPr>
            </w:pPr>
          </w:p>
        </w:tc>
        <w:tc>
          <w:tcPr>
            <w:tcW w:w="638" w:type="dxa"/>
            <w:noWrap w:val="0"/>
            <w:vAlign w:val="center"/>
          </w:tcPr>
          <w:p w14:paraId="69271D05">
            <w:pPr>
              <w:widowControl/>
              <w:spacing w:line="340" w:lineRule="exact"/>
              <w:ind w:right="3"/>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6799" w:type="dxa"/>
            <w:noWrap w:val="0"/>
            <w:vAlign w:val="center"/>
          </w:tcPr>
          <w:p w14:paraId="112362C7">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为</w:t>
            </w:r>
            <w:r>
              <w:rPr>
                <w:rFonts w:hint="eastAsia" w:ascii="宋体" w:hAnsi="宋体" w:cs="宋体"/>
                <w:color w:val="auto"/>
                <w:sz w:val="22"/>
                <w:szCs w:val="22"/>
                <w:highlight w:val="none"/>
              </w:rPr>
              <w:t>本项目所提供的其他相关设备、工具清单，针对其满足性、合理性、实用性、先进性、环保性进行综合评分（评分范围：</w:t>
            </w:r>
            <w:r>
              <w:rPr>
                <w:rFonts w:hint="eastAsia" w:ascii="宋体" w:hAnsi="宋体" w:cs="宋体"/>
                <w:color w:val="auto"/>
                <w:sz w:val="22"/>
                <w:szCs w:val="22"/>
                <w:highlight w:val="none"/>
                <w:lang w:val="en-US" w:eastAsia="zh-CN"/>
              </w:rPr>
              <w:t>5,3</w:t>
            </w:r>
            <w:r>
              <w:rPr>
                <w:rFonts w:hint="eastAsia" w:ascii="宋体" w:hAnsi="宋体" w:cs="宋体"/>
                <w:color w:val="auto"/>
                <w:sz w:val="22"/>
                <w:szCs w:val="22"/>
                <w:highlight w:val="none"/>
              </w:rPr>
              <w:t>,1,0）。</w:t>
            </w:r>
          </w:p>
        </w:tc>
      </w:tr>
      <w:tr w14:paraId="3EC6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vMerge w:val="restart"/>
            <w:noWrap w:val="0"/>
            <w:vAlign w:val="center"/>
          </w:tcPr>
          <w:p w14:paraId="52CF3DA5">
            <w:pPr>
              <w:widowControl/>
              <w:spacing w:line="340" w:lineRule="exact"/>
              <w:ind w:right="3"/>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1476" w:type="dxa"/>
            <w:vMerge w:val="restart"/>
            <w:noWrap w:val="0"/>
            <w:vAlign w:val="center"/>
          </w:tcPr>
          <w:p w14:paraId="1DA89FF5">
            <w:pPr>
              <w:widowControl/>
              <w:spacing w:line="340" w:lineRule="exact"/>
              <w:ind w:right="3"/>
              <w:jc w:val="center"/>
              <w:rPr>
                <w:rFonts w:hint="default" w:ascii="宋体" w:hAnsi="宋体" w:eastAsia="宋体" w:cs="宋体"/>
                <w:color w:val="auto"/>
                <w:sz w:val="22"/>
                <w:szCs w:val="22"/>
                <w:highlight w:val="none"/>
                <w:lang w:val="en-US" w:eastAsia="zh-CN"/>
              </w:rPr>
            </w:pPr>
            <w:r>
              <w:rPr>
                <w:rFonts w:hint="default" w:ascii="宋体" w:hAnsi="宋体" w:cs="宋体"/>
                <w:color w:val="auto"/>
                <w:sz w:val="22"/>
                <w:szCs w:val="22"/>
                <w:highlight w:val="none"/>
                <w:lang w:val="en-US"/>
              </w:rPr>
              <w:t>实地绿化养护方案及实施措施</w:t>
            </w:r>
          </w:p>
        </w:tc>
        <w:tc>
          <w:tcPr>
            <w:tcW w:w="638" w:type="dxa"/>
            <w:noWrap w:val="0"/>
            <w:vAlign w:val="center"/>
          </w:tcPr>
          <w:p w14:paraId="7E12057A">
            <w:pPr>
              <w:widowControl/>
              <w:spacing w:line="340" w:lineRule="exact"/>
              <w:jc w:val="center"/>
              <w:rPr>
                <w:rFonts w:hint="default"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rPr>
              <w:t>10</w:t>
            </w:r>
          </w:p>
        </w:tc>
        <w:tc>
          <w:tcPr>
            <w:tcW w:w="6799" w:type="dxa"/>
            <w:noWrap w:val="0"/>
            <w:vAlign w:val="center"/>
          </w:tcPr>
          <w:p w14:paraId="7B02CC67">
            <w:pPr>
              <w:widowControl/>
              <w:spacing w:line="460" w:lineRule="exact"/>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根据投标人提供完整的组织实施方案进行综合评分</w:t>
            </w:r>
          </w:p>
          <w:p w14:paraId="1333E65D">
            <w:pPr>
              <w:jc w:val="left"/>
              <w:rPr>
                <w:rFonts w:hint="eastAsia" w:ascii="宋体" w:hAnsi="宋体" w:cs="宋体"/>
                <w:color w:val="auto"/>
                <w:sz w:val="22"/>
                <w:szCs w:val="22"/>
                <w:highlight w:val="none"/>
                <w:lang w:val="en-US" w:eastAsia="zh-CN" w:bidi="ar-SA"/>
              </w:rPr>
            </w:pPr>
            <w:r>
              <w:rPr>
                <w:rFonts w:hint="eastAsia" w:ascii="宋体" w:hAnsi="宋体" w:cs="宋体"/>
                <w:color w:val="auto"/>
                <w:sz w:val="22"/>
                <w:szCs w:val="22"/>
                <w:highlight w:val="none"/>
              </w:rPr>
              <w:t>（评分范围：</w:t>
            </w:r>
            <w:r>
              <w:rPr>
                <w:rFonts w:hint="eastAsia" w:ascii="宋体" w:hAnsi="宋体" w:cs="宋体"/>
                <w:color w:val="auto"/>
                <w:sz w:val="22"/>
                <w:szCs w:val="22"/>
                <w:highlight w:val="none"/>
                <w:lang w:val="en-US" w:eastAsia="zh-CN"/>
              </w:rPr>
              <w:t>10,8,6,4,2,0</w:t>
            </w:r>
            <w:r>
              <w:rPr>
                <w:rFonts w:hint="eastAsia" w:ascii="宋体" w:hAnsi="宋体" w:cs="宋体"/>
                <w:color w:val="auto"/>
                <w:sz w:val="22"/>
                <w:szCs w:val="22"/>
                <w:highlight w:val="none"/>
              </w:rPr>
              <w:t>）。</w:t>
            </w:r>
          </w:p>
        </w:tc>
      </w:tr>
      <w:tr w14:paraId="6C15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vMerge w:val="continue"/>
            <w:noWrap w:val="0"/>
            <w:vAlign w:val="center"/>
          </w:tcPr>
          <w:p w14:paraId="7FEF539B">
            <w:pPr>
              <w:widowControl/>
              <w:spacing w:line="340" w:lineRule="exact"/>
              <w:ind w:right="3"/>
              <w:jc w:val="center"/>
              <w:rPr>
                <w:rFonts w:hint="eastAsia" w:ascii="宋体" w:hAnsi="宋体" w:cs="宋体"/>
                <w:color w:val="auto"/>
                <w:sz w:val="22"/>
                <w:szCs w:val="22"/>
                <w:highlight w:val="none"/>
                <w:lang w:val="en-US" w:eastAsia="zh-CN"/>
              </w:rPr>
            </w:pPr>
          </w:p>
        </w:tc>
        <w:tc>
          <w:tcPr>
            <w:tcW w:w="1476" w:type="dxa"/>
            <w:vMerge w:val="continue"/>
            <w:noWrap w:val="0"/>
            <w:vAlign w:val="center"/>
          </w:tcPr>
          <w:p w14:paraId="4512D915">
            <w:pPr>
              <w:widowControl/>
              <w:spacing w:line="340" w:lineRule="exact"/>
              <w:ind w:right="3"/>
              <w:jc w:val="center"/>
              <w:rPr>
                <w:rFonts w:hint="default" w:ascii="宋体" w:hAnsi="宋体" w:cs="宋体"/>
                <w:color w:val="auto"/>
                <w:sz w:val="22"/>
                <w:szCs w:val="22"/>
                <w:highlight w:val="none"/>
                <w:lang w:val="en-US"/>
              </w:rPr>
            </w:pPr>
          </w:p>
        </w:tc>
        <w:tc>
          <w:tcPr>
            <w:tcW w:w="638" w:type="dxa"/>
            <w:noWrap w:val="0"/>
            <w:vAlign w:val="center"/>
          </w:tcPr>
          <w:p w14:paraId="117ED1BA">
            <w:pPr>
              <w:widowControl/>
              <w:spacing w:line="34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6799" w:type="dxa"/>
            <w:noWrap w:val="0"/>
            <w:vAlign w:val="center"/>
          </w:tcPr>
          <w:p w14:paraId="47653044">
            <w:pPr>
              <w:widowControl/>
              <w:spacing w:line="460" w:lineRule="exact"/>
              <w:jc w:val="left"/>
              <w:rPr>
                <w:rFonts w:hint="eastAsia" w:ascii="宋体" w:hAnsi="宋体" w:cs="宋体"/>
                <w:color w:val="auto"/>
                <w:sz w:val="22"/>
                <w:szCs w:val="22"/>
                <w:highlight w:val="none"/>
              </w:rPr>
            </w:pPr>
            <w:r>
              <w:rPr>
                <w:rFonts w:hint="eastAsia" w:ascii="新宋体" w:hAnsi="新宋体" w:eastAsia="新宋体" w:cs="新宋体"/>
                <w:color w:val="auto"/>
                <w:kern w:val="0"/>
                <w:sz w:val="22"/>
                <w:szCs w:val="22"/>
                <w:highlight w:val="none"/>
              </w:rPr>
              <w:t>人员数量的配备及结构是否合理（指管理人员、花卉工、绿化工、植保工等）</w:t>
            </w:r>
            <w:r>
              <w:rPr>
                <w:rFonts w:hint="eastAsia" w:ascii="宋体" w:hAnsi="宋体" w:cs="宋体"/>
                <w:color w:val="auto"/>
                <w:sz w:val="22"/>
                <w:szCs w:val="22"/>
                <w:highlight w:val="none"/>
              </w:rPr>
              <w:t>（评分范围：</w:t>
            </w:r>
            <w:r>
              <w:rPr>
                <w:rFonts w:hint="eastAsia" w:ascii="宋体" w:hAnsi="宋体" w:cs="宋体"/>
                <w:color w:val="auto"/>
                <w:sz w:val="22"/>
                <w:szCs w:val="22"/>
                <w:highlight w:val="none"/>
                <w:lang w:val="en-US" w:eastAsia="zh-CN"/>
              </w:rPr>
              <w:t>10,8,6,4,2,0</w:t>
            </w:r>
            <w:r>
              <w:rPr>
                <w:rFonts w:hint="eastAsia" w:ascii="宋体" w:hAnsi="宋体" w:cs="宋体"/>
                <w:color w:val="auto"/>
                <w:sz w:val="22"/>
                <w:szCs w:val="22"/>
                <w:highlight w:val="none"/>
              </w:rPr>
              <w:t>）。</w:t>
            </w:r>
          </w:p>
        </w:tc>
      </w:tr>
      <w:tr w14:paraId="042E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18" w:type="dxa"/>
            <w:vMerge w:val="continue"/>
            <w:noWrap w:val="0"/>
            <w:vAlign w:val="center"/>
          </w:tcPr>
          <w:p w14:paraId="177207DF">
            <w:pPr>
              <w:widowControl/>
              <w:spacing w:line="340" w:lineRule="exact"/>
              <w:ind w:right="3"/>
              <w:jc w:val="center"/>
              <w:rPr>
                <w:rFonts w:hint="default" w:ascii="宋体" w:hAnsi="宋体" w:eastAsia="宋体" w:cs="宋体"/>
                <w:color w:val="auto"/>
                <w:sz w:val="22"/>
                <w:szCs w:val="22"/>
                <w:highlight w:val="none"/>
                <w:lang w:val="en-US" w:eastAsia="zh-CN"/>
              </w:rPr>
            </w:pPr>
          </w:p>
        </w:tc>
        <w:tc>
          <w:tcPr>
            <w:tcW w:w="1476" w:type="dxa"/>
            <w:vMerge w:val="continue"/>
            <w:noWrap w:val="0"/>
            <w:vAlign w:val="center"/>
          </w:tcPr>
          <w:p w14:paraId="2D625147">
            <w:pPr>
              <w:widowControl/>
              <w:spacing w:line="340" w:lineRule="exact"/>
              <w:ind w:right="3"/>
              <w:jc w:val="center"/>
              <w:rPr>
                <w:rFonts w:hint="default" w:ascii="宋体" w:hAnsi="宋体" w:eastAsia="宋体" w:cs="宋体"/>
                <w:color w:val="auto"/>
                <w:sz w:val="22"/>
                <w:szCs w:val="22"/>
                <w:highlight w:val="none"/>
                <w:lang w:val="en-US" w:eastAsia="zh-CN"/>
              </w:rPr>
            </w:pPr>
          </w:p>
        </w:tc>
        <w:tc>
          <w:tcPr>
            <w:tcW w:w="638" w:type="dxa"/>
            <w:noWrap w:val="0"/>
            <w:vAlign w:val="center"/>
          </w:tcPr>
          <w:p w14:paraId="34102C87">
            <w:pPr>
              <w:widowControl/>
              <w:spacing w:line="3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6799" w:type="dxa"/>
            <w:noWrap w:val="0"/>
            <w:vAlign w:val="center"/>
          </w:tcPr>
          <w:p w14:paraId="612DC48A">
            <w:pPr>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果园养护提升产量</w:t>
            </w:r>
            <w:r>
              <w:rPr>
                <w:rFonts w:hint="eastAsia" w:ascii="宋体" w:hAnsi="宋体" w:cs="宋体"/>
                <w:color w:val="auto"/>
                <w:sz w:val="22"/>
                <w:szCs w:val="22"/>
                <w:highlight w:val="none"/>
              </w:rPr>
              <w:t>实施</w:t>
            </w:r>
            <w:r>
              <w:rPr>
                <w:rFonts w:hint="eastAsia" w:ascii="宋体" w:hAnsi="宋体" w:cs="宋体"/>
                <w:color w:val="auto"/>
                <w:sz w:val="22"/>
                <w:szCs w:val="22"/>
                <w:highlight w:val="none"/>
                <w:lang w:eastAsia="zh-CN"/>
              </w:rPr>
              <w:t>方案</w:t>
            </w:r>
            <w:r>
              <w:rPr>
                <w:rFonts w:hint="eastAsia" w:ascii="宋体" w:hAnsi="宋体" w:cs="宋体"/>
                <w:color w:val="auto"/>
                <w:sz w:val="22"/>
                <w:szCs w:val="22"/>
                <w:highlight w:val="none"/>
              </w:rPr>
              <w:t>（评分范围：</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w:t>
            </w:r>
          </w:p>
        </w:tc>
      </w:tr>
      <w:tr w14:paraId="05F5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8" w:type="dxa"/>
            <w:vMerge w:val="restart"/>
            <w:noWrap w:val="0"/>
            <w:vAlign w:val="center"/>
          </w:tcPr>
          <w:p w14:paraId="2C700997">
            <w:pPr>
              <w:widowControl/>
              <w:spacing w:line="340" w:lineRule="exact"/>
              <w:ind w:right="3"/>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476" w:type="dxa"/>
            <w:vMerge w:val="restart"/>
            <w:noWrap w:val="0"/>
            <w:vAlign w:val="center"/>
          </w:tcPr>
          <w:p w14:paraId="2EF3D64B">
            <w:pPr>
              <w:widowControl/>
              <w:spacing w:line="340" w:lineRule="exact"/>
              <w:ind w:right="3"/>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应急预案及措施</w:t>
            </w:r>
          </w:p>
        </w:tc>
        <w:tc>
          <w:tcPr>
            <w:tcW w:w="638" w:type="dxa"/>
            <w:noWrap w:val="0"/>
            <w:vAlign w:val="center"/>
          </w:tcPr>
          <w:p w14:paraId="0C5B2E74">
            <w:pPr>
              <w:widowControl/>
              <w:spacing w:line="3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799" w:type="dxa"/>
            <w:noWrap w:val="0"/>
            <w:vAlign w:val="center"/>
          </w:tcPr>
          <w:p w14:paraId="6F5EDF5B">
            <w:pPr>
              <w:widowControl/>
              <w:spacing w:line="360" w:lineRule="exact"/>
              <w:ind w:right="3" w:rightChars="0"/>
              <w:rPr>
                <w:rFonts w:hint="eastAsia" w:ascii="宋体" w:hAnsi="宋体" w:cs="宋体"/>
                <w:color w:val="auto"/>
                <w:sz w:val="22"/>
                <w:szCs w:val="22"/>
                <w:highlight w:val="none"/>
              </w:rPr>
            </w:pPr>
            <w:r>
              <w:rPr>
                <w:rFonts w:hint="eastAsia" w:ascii="宋体" w:hAnsi="宋体" w:cs="宋体"/>
                <w:color w:val="auto"/>
                <w:sz w:val="22"/>
                <w:szCs w:val="22"/>
                <w:highlight w:val="none"/>
              </w:rPr>
              <w:t>根据台风、暴雨、干旱、冻害等灾害事件的应急预案及相应的措施进行综合评分（评分范围：5,3,1,0）。</w:t>
            </w:r>
          </w:p>
        </w:tc>
      </w:tr>
      <w:tr w14:paraId="2B66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8" w:type="dxa"/>
            <w:vMerge w:val="continue"/>
            <w:noWrap w:val="0"/>
            <w:vAlign w:val="center"/>
          </w:tcPr>
          <w:p w14:paraId="7716CB07">
            <w:pPr>
              <w:widowControl/>
              <w:spacing w:line="340" w:lineRule="exact"/>
              <w:ind w:right="3"/>
              <w:jc w:val="center"/>
              <w:rPr>
                <w:rFonts w:hint="eastAsia" w:ascii="宋体" w:hAnsi="宋体" w:eastAsia="宋体" w:cs="宋体"/>
                <w:color w:val="auto"/>
                <w:sz w:val="22"/>
                <w:szCs w:val="22"/>
                <w:highlight w:val="none"/>
                <w:lang w:val="en-US" w:eastAsia="zh-CN"/>
              </w:rPr>
            </w:pPr>
          </w:p>
        </w:tc>
        <w:tc>
          <w:tcPr>
            <w:tcW w:w="1476" w:type="dxa"/>
            <w:vMerge w:val="continue"/>
            <w:noWrap w:val="0"/>
            <w:vAlign w:val="center"/>
          </w:tcPr>
          <w:p w14:paraId="389230CB">
            <w:pPr>
              <w:widowControl/>
              <w:spacing w:line="340" w:lineRule="exact"/>
              <w:ind w:right="3"/>
              <w:jc w:val="center"/>
              <w:rPr>
                <w:rFonts w:hint="eastAsia" w:ascii="宋体" w:hAnsi="宋体" w:cs="宋体"/>
                <w:color w:val="auto"/>
                <w:sz w:val="22"/>
                <w:szCs w:val="22"/>
                <w:highlight w:val="none"/>
              </w:rPr>
            </w:pPr>
          </w:p>
        </w:tc>
        <w:tc>
          <w:tcPr>
            <w:tcW w:w="638" w:type="dxa"/>
            <w:noWrap w:val="0"/>
            <w:vAlign w:val="center"/>
          </w:tcPr>
          <w:p w14:paraId="5D7A2E4A">
            <w:pPr>
              <w:widowControl/>
              <w:spacing w:line="3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799" w:type="dxa"/>
            <w:noWrap w:val="0"/>
            <w:vAlign w:val="center"/>
          </w:tcPr>
          <w:p w14:paraId="05DC2DD8">
            <w:pPr>
              <w:widowControl/>
              <w:spacing w:line="360" w:lineRule="exact"/>
              <w:ind w:right="3" w:rightChars="0"/>
              <w:rPr>
                <w:rFonts w:hint="eastAsia" w:ascii="宋体" w:hAnsi="宋体" w:cs="宋体"/>
                <w:color w:val="auto"/>
                <w:sz w:val="22"/>
                <w:szCs w:val="22"/>
                <w:highlight w:val="none"/>
              </w:rPr>
            </w:pPr>
            <w:r>
              <w:rPr>
                <w:rFonts w:hint="eastAsia" w:ascii="宋体" w:hAnsi="宋体" w:cs="宋体"/>
                <w:color w:val="auto"/>
                <w:sz w:val="22"/>
                <w:szCs w:val="22"/>
                <w:highlight w:val="none"/>
              </w:rPr>
              <w:t>根据重大活动、突击检查等突发事件的应急预案及相应的措施进行综合评分（评分范围：5,3,1,0）。</w:t>
            </w:r>
          </w:p>
        </w:tc>
      </w:tr>
      <w:tr w14:paraId="2574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18" w:type="dxa"/>
            <w:vMerge w:val="restart"/>
            <w:noWrap w:val="0"/>
            <w:vAlign w:val="center"/>
          </w:tcPr>
          <w:p w14:paraId="445845F9">
            <w:pPr>
              <w:widowControl/>
              <w:spacing w:line="340" w:lineRule="exact"/>
              <w:ind w:right="3"/>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1476" w:type="dxa"/>
            <w:vMerge w:val="restart"/>
            <w:noWrap w:val="0"/>
            <w:vAlign w:val="center"/>
          </w:tcPr>
          <w:p w14:paraId="1F4B3AFB">
            <w:pPr>
              <w:spacing w:line="340" w:lineRule="exact"/>
              <w:jc w:val="center"/>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建设性意见及解决措施</w:t>
            </w:r>
          </w:p>
        </w:tc>
        <w:tc>
          <w:tcPr>
            <w:tcW w:w="638" w:type="dxa"/>
            <w:noWrap w:val="0"/>
            <w:vAlign w:val="center"/>
          </w:tcPr>
          <w:p w14:paraId="36A2220D">
            <w:pPr>
              <w:widowControl/>
              <w:spacing w:line="340" w:lineRule="exact"/>
              <w:ind w:right="3"/>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799" w:type="dxa"/>
            <w:noWrap w:val="0"/>
            <w:vAlign w:val="center"/>
          </w:tcPr>
          <w:p w14:paraId="12C2B759">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根据投标人给采购人提供的与本项目有关的</w:t>
            </w:r>
            <w:r>
              <w:rPr>
                <w:rFonts w:hint="eastAsia" w:ascii="宋体" w:hAnsi="宋体" w:cs="宋体"/>
                <w:color w:val="auto"/>
                <w:sz w:val="22"/>
                <w:szCs w:val="22"/>
                <w:highlight w:val="none"/>
                <w:lang w:eastAsia="zh-CN"/>
              </w:rPr>
              <w:t>提升景观措施进行综合打分。</w:t>
            </w:r>
          </w:p>
          <w:p w14:paraId="121730DC">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（评分范围：5,3,1,0）。</w:t>
            </w:r>
          </w:p>
        </w:tc>
      </w:tr>
      <w:tr w14:paraId="407E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18" w:type="dxa"/>
            <w:vMerge w:val="continue"/>
            <w:noWrap w:val="0"/>
            <w:vAlign w:val="center"/>
          </w:tcPr>
          <w:p w14:paraId="507BFBA2">
            <w:pPr>
              <w:widowControl/>
              <w:spacing w:line="340" w:lineRule="exact"/>
              <w:ind w:right="3"/>
              <w:jc w:val="center"/>
              <w:rPr>
                <w:rFonts w:hint="default" w:ascii="宋体" w:hAnsi="宋体" w:cs="宋体"/>
                <w:color w:val="auto"/>
                <w:sz w:val="22"/>
                <w:szCs w:val="22"/>
                <w:highlight w:val="none"/>
                <w:lang w:val="en-US" w:eastAsia="zh-CN"/>
              </w:rPr>
            </w:pPr>
          </w:p>
        </w:tc>
        <w:tc>
          <w:tcPr>
            <w:tcW w:w="1476" w:type="dxa"/>
            <w:vMerge w:val="continue"/>
            <w:noWrap w:val="0"/>
            <w:vAlign w:val="center"/>
          </w:tcPr>
          <w:p w14:paraId="5E5B952F">
            <w:pPr>
              <w:spacing w:line="340" w:lineRule="exact"/>
              <w:jc w:val="center"/>
              <w:rPr>
                <w:rFonts w:hint="eastAsia" w:ascii="宋体" w:hAnsi="宋体" w:cs="宋体"/>
                <w:color w:val="auto"/>
                <w:sz w:val="22"/>
                <w:szCs w:val="22"/>
                <w:highlight w:val="none"/>
                <w:lang w:eastAsia="zh-CN"/>
              </w:rPr>
            </w:pPr>
          </w:p>
        </w:tc>
        <w:tc>
          <w:tcPr>
            <w:tcW w:w="638" w:type="dxa"/>
            <w:noWrap w:val="0"/>
            <w:vAlign w:val="center"/>
          </w:tcPr>
          <w:p w14:paraId="0513F201">
            <w:pPr>
              <w:widowControl/>
              <w:spacing w:line="340" w:lineRule="exact"/>
              <w:ind w:right="3"/>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799" w:type="dxa"/>
            <w:noWrap w:val="0"/>
            <w:vAlign w:val="center"/>
          </w:tcPr>
          <w:p w14:paraId="5507150D">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针对本项目养护存在的问题及解决措施（评分范围：5,3,1,0）。</w:t>
            </w:r>
          </w:p>
        </w:tc>
      </w:tr>
      <w:tr w14:paraId="0EE0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18" w:type="dxa"/>
            <w:noWrap w:val="0"/>
            <w:vAlign w:val="center"/>
          </w:tcPr>
          <w:p w14:paraId="739BD905">
            <w:pPr>
              <w:widowControl/>
              <w:spacing w:line="340" w:lineRule="exact"/>
              <w:ind w:right="3"/>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476" w:type="dxa"/>
            <w:noWrap w:val="0"/>
            <w:vAlign w:val="center"/>
          </w:tcPr>
          <w:p w14:paraId="26D0D68E">
            <w:pPr>
              <w:spacing w:line="340" w:lineRule="exact"/>
              <w:jc w:val="center"/>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售后和服务保障</w:t>
            </w:r>
          </w:p>
        </w:tc>
        <w:tc>
          <w:tcPr>
            <w:tcW w:w="638" w:type="dxa"/>
            <w:noWrap w:val="0"/>
            <w:vAlign w:val="center"/>
          </w:tcPr>
          <w:p w14:paraId="75F09F81">
            <w:pPr>
              <w:widowControl/>
              <w:spacing w:line="340" w:lineRule="exact"/>
              <w:ind w:right="3"/>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6799" w:type="dxa"/>
            <w:noWrap w:val="0"/>
            <w:vAlign w:val="center"/>
          </w:tcPr>
          <w:p w14:paraId="7C478694">
            <w:pPr>
              <w:widowControl/>
              <w:spacing w:line="460" w:lineRule="exact"/>
              <w:jc w:val="left"/>
              <w:rPr>
                <w:rFonts w:hint="eastAsia" w:ascii="新宋体" w:hAnsi="新宋体" w:eastAsia="新宋体" w:cs="新宋体"/>
                <w:color w:val="auto"/>
                <w:sz w:val="22"/>
                <w:szCs w:val="22"/>
                <w:highlight w:val="none"/>
                <w:lang w:eastAsia="zh-CN"/>
              </w:rPr>
            </w:pPr>
            <w:bookmarkStart w:id="115" w:name="_GoBack"/>
            <w:r>
              <w:rPr>
                <w:rFonts w:hint="eastAsia" w:ascii="新宋体" w:hAnsi="新宋体" w:eastAsia="新宋体" w:cs="新宋体"/>
                <w:color w:val="auto"/>
                <w:sz w:val="22"/>
                <w:szCs w:val="22"/>
                <w:highlight w:val="none"/>
                <w:lang w:eastAsia="zh-CN"/>
              </w:rPr>
              <w:t>根据</w:t>
            </w:r>
            <w:r>
              <w:rPr>
                <w:rFonts w:hint="eastAsia" w:ascii="新宋体" w:hAnsi="新宋体" w:eastAsia="新宋体" w:cs="新宋体"/>
                <w:color w:val="auto"/>
                <w:sz w:val="22"/>
                <w:szCs w:val="22"/>
                <w:highlight w:val="none"/>
              </w:rPr>
              <w:t>本项目服务期服务承诺和完善程度，服务响应时间、保障措施及服务期后为用户提供优质服务的措施等进行综合打分</w:t>
            </w:r>
            <w:r>
              <w:rPr>
                <w:rFonts w:hint="eastAsia" w:ascii="新宋体" w:hAnsi="新宋体" w:eastAsia="新宋体" w:cs="新宋体"/>
                <w:color w:val="auto"/>
                <w:sz w:val="22"/>
                <w:szCs w:val="22"/>
                <w:highlight w:val="none"/>
                <w:lang w:eastAsia="zh-CN"/>
              </w:rPr>
              <w:t>。</w:t>
            </w:r>
          </w:p>
          <w:p w14:paraId="2203DDC5">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评分范围：</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w:t>
            </w:r>
            <w:bookmarkEnd w:id="115"/>
          </w:p>
        </w:tc>
      </w:tr>
    </w:tbl>
    <w:p w14:paraId="03FDB27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2.   </w:t>
      </w:r>
      <w:r>
        <w:rPr>
          <w:rFonts w:hint="eastAsia" w:ascii="宋体" w:hAnsi="宋体" w:cs="宋体"/>
          <w:b/>
          <w:color w:val="auto"/>
          <w:sz w:val="22"/>
          <w:szCs w:val="22"/>
          <w:highlight w:val="none"/>
        </w:rPr>
        <w:t>价格评分（30分）</w:t>
      </w:r>
      <w:r>
        <w:rPr>
          <w:rFonts w:hint="eastAsia" w:ascii="宋体" w:hAnsi="宋体" w:cs="宋体"/>
          <w:color w:val="auto"/>
          <w:sz w:val="22"/>
          <w:szCs w:val="22"/>
          <w:highlight w:val="none"/>
        </w:rPr>
        <w:t>：</w:t>
      </w:r>
    </w:p>
    <w:p w14:paraId="46C78E71">
      <w:pPr>
        <w:spacing w:line="440" w:lineRule="exact"/>
        <w:ind w:left="328" w:leftChars="156"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满足招标文件要求且投标价格最低的投标报价为评标基准价。</w:t>
      </w:r>
    </w:p>
    <w:p w14:paraId="788D292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（1）有效投标人的投标报价等于评标基准价时其价格分为满分30分；</w:t>
      </w:r>
    </w:p>
    <w:p w14:paraId="6BDFA284">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（2）其他投标人的价格分按以下公式计算：</w:t>
      </w:r>
    </w:p>
    <w:p w14:paraId="140742C4">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投标报价得分=（评标基准价/投标人投标价）× 价格权值 ×100（四舍五入，保留小数点后2位）</w:t>
      </w:r>
    </w:p>
    <w:p w14:paraId="07C14841">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（3）如投标人报价超过最高限价，按无效标处理。</w:t>
      </w:r>
    </w:p>
    <w:p w14:paraId="76A6602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  有效投标人的综合得分为商务技术分和价格分的总和。</w:t>
      </w:r>
    </w:p>
    <w:p w14:paraId="5ECBD4C9">
      <w:pPr>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六． 推荐中标候选人</w:t>
      </w:r>
    </w:p>
    <w:p w14:paraId="6A985AC6">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33D03A18">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七． 确定中标人</w:t>
      </w:r>
    </w:p>
    <w:p w14:paraId="6F11F862">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采购人根据评标委员会推荐的中标候选人确定中标人。中标人确定后，中标结果在财政部门指定的信息发布媒体上公告，在发布中标公告的同时，采购人和采购代理机构将向中标人发出中标通知书。中标通知书对采购人和中标人具有同等法律效力。</w:t>
      </w:r>
    </w:p>
    <w:p w14:paraId="2FDDA1B0">
      <w:pPr>
        <w:pStyle w:val="18"/>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八． 投标人义务</w:t>
      </w:r>
    </w:p>
    <w:p w14:paraId="43172E8A">
      <w:pPr>
        <w:spacing w:line="440" w:lineRule="exact"/>
        <w:ind w:left="548" w:leftChars="261"/>
        <w:rPr>
          <w:rFonts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投标人应随时接受评标委员会的询标，解答包括有关的商务、技术等问题。评标结束，所有评标资料归档备查。</w:t>
      </w:r>
    </w:p>
    <w:p w14:paraId="13D5739B">
      <w:pPr>
        <w:rPr>
          <w:color w:val="auto"/>
          <w:highlight w:val="none"/>
        </w:rPr>
      </w:pPr>
    </w:p>
    <w:p w14:paraId="650B5A70">
      <w:pPr>
        <w:pStyle w:val="24"/>
        <w:ind w:left="1260"/>
        <w:rPr>
          <w:color w:val="auto"/>
          <w:highlight w:val="none"/>
        </w:rPr>
      </w:pPr>
    </w:p>
    <w:sectPr>
      <w:headerReference r:id="rId9" w:type="default"/>
      <w:footerReference r:id="rId10"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00" w:usb3="00000000" w:csb0="003E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Sylfaen"/>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DaxPro-CondRegular">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292C">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6330">
    <w:pPr>
      <w:pStyle w:val="30"/>
      <w:framePr w:wrap="around" w:vAnchor="text" w:hAnchor="margin" w:xAlign="center" w:y="1"/>
      <w:rPr>
        <w:rStyle w:val="44"/>
      </w:rPr>
    </w:pPr>
    <w:r>
      <w:fldChar w:fldCharType="begin"/>
    </w:r>
    <w:r>
      <w:rPr>
        <w:rStyle w:val="44"/>
      </w:rPr>
      <w:instrText xml:space="preserve">PAGE  </w:instrText>
    </w:r>
    <w:r>
      <w:fldChar w:fldCharType="separate"/>
    </w:r>
    <w:r>
      <w:rPr>
        <w:rStyle w:val="44"/>
      </w:rPr>
      <w:t>23</w:t>
    </w:r>
    <w:r>
      <w:fldChar w:fldCharType="end"/>
    </w:r>
  </w:p>
  <w:p w14:paraId="3E64D1B7">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3E28">
    <w:pPr>
      <w:pStyle w:val="30"/>
      <w:jc w:val="center"/>
    </w:pPr>
    <w:r>
      <w:fldChar w:fldCharType="begin"/>
    </w:r>
    <w:r>
      <w:instrText xml:space="preserve">PAGE   \* MERGEFORMAT</w:instrText>
    </w:r>
    <w:r>
      <w:fldChar w:fldCharType="separate"/>
    </w:r>
    <w:r>
      <w:rPr>
        <w:lang w:val="zh-CN"/>
      </w:rPr>
      <w:t>28</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2D74">
    <w:pPr>
      <w:pStyle w:val="30"/>
      <w:jc w:val="center"/>
    </w:pPr>
    <w:r>
      <w:fldChar w:fldCharType="begin"/>
    </w:r>
    <w:r>
      <w:instrText xml:space="preserve">PAGE   \* MERGEFORMAT</w:instrText>
    </w:r>
    <w:r>
      <w:fldChar w:fldCharType="separate"/>
    </w:r>
    <w:r>
      <w:rPr>
        <w:lang w:val="zh-CN"/>
      </w:rPr>
      <w:t>42</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22C6">
    <w:pPr>
      <w:pStyle w:val="30"/>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40</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B5E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457C">
    <w:pPr>
      <w:rPr>
        <w:rFonts w:hint="eastAsia"/>
      </w:rP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6BC2">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5F82A"/>
    <w:multiLevelType w:val="singleLevel"/>
    <w:tmpl w:val="A415F82A"/>
    <w:lvl w:ilvl="0" w:tentative="0">
      <w:start w:val="1"/>
      <w:numFmt w:val="decimal"/>
      <w:suff w:val="nothing"/>
      <w:lvlText w:val="%1、"/>
      <w:lvlJc w:val="left"/>
    </w:lvl>
  </w:abstractNum>
  <w:abstractNum w:abstractNumId="1">
    <w:nsid w:val="0A11B973"/>
    <w:multiLevelType w:val="singleLevel"/>
    <w:tmpl w:val="0A11B973"/>
    <w:lvl w:ilvl="0" w:tentative="0">
      <w:start w:val="1"/>
      <w:numFmt w:val="decimal"/>
      <w:suff w:val="nothing"/>
      <w:lvlText w:val="(%1)"/>
      <w:lvlJc w:val="left"/>
      <w:pPr>
        <w:ind w:left="420" w:hanging="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yYjFjMjlkZGEyZTg0Y2RmNDE2MjA4ZWY3MWM3ODQifQ=="/>
  </w:docVars>
  <w:rsids>
    <w:rsidRoot w:val="00172A27"/>
    <w:rsid w:val="00001165"/>
    <w:rsid w:val="00001E40"/>
    <w:rsid w:val="00002389"/>
    <w:rsid w:val="0000268F"/>
    <w:rsid w:val="00002BA3"/>
    <w:rsid w:val="00003159"/>
    <w:rsid w:val="000036E5"/>
    <w:rsid w:val="00003A5F"/>
    <w:rsid w:val="00004ADA"/>
    <w:rsid w:val="000051B1"/>
    <w:rsid w:val="00005A7A"/>
    <w:rsid w:val="000060CC"/>
    <w:rsid w:val="00006B27"/>
    <w:rsid w:val="00006E79"/>
    <w:rsid w:val="00006F21"/>
    <w:rsid w:val="00006F92"/>
    <w:rsid w:val="0000753A"/>
    <w:rsid w:val="000079E4"/>
    <w:rsid w:val="00007E4C"/>
    <w:rsid w:val="00007FBC"/>
    <w:rsid w:val="000107FE"/>
    <w:rsid w:val="00010DC1"/>
    <w:rsid w:val="00011854"/>
    <w:rsid w:val="0001207E"/>
    <w:rsid w:val="00012314"/>
    <w:rsid w:val="00013EA0"/>
    <w:rsid w:val="000142B3"/>
    <w:rsid w:val="00014596"/>
    <w:rsid w:val="00014742"/>
    <w:rsid w:val="000147A7"/>
    <w:rsid w:val="00015107"/>
    <w:rsid w:val="000152CF"/>
    <w:rsid w:val="00015923"/>
    <w:rsid w:val="0001651B"/>
    <w:rsid w:val="00017151"/>
    <w:rsid w:val="00017BA4"/>
    <w:rsid w:val="00020372"/>
    <w:rsid w:val="00020FE9"/>
    <w:rsid w:val="00021563"/>
    <w:rsid w:val="0002165E"/>
    <w:rsid w:val="0002168B"/>
    <w:rsid w:val="00021C20"/>
    <w:rsid w:val="000221E5"/>
    <w:rsid w:val="00022538"/>
    <w:rsid w:val="00022B42"/>
    <w:rsid w:val="00023D2B"/>
    <w:rsid w:val="00023F9D"/>
    <w:rsid w:val="000240E3"/>
    <w:rsid w:val="000245E9"/>
    <w:rsid w:val="00024E13"/>
    <w:rsid w:val="00025712"/>
    <w:rsid w:val="00025C90"/>
    <w:rsid w:val="00025DAC"/>
    <w:rsid w:val="000262A0"/>
    <w:rsid w:val="0002692B"/>
    <w:rsid w:val="00026D0F"/>
    <w:rsid w:val="00026EEE"/>
    <w:rsid w:val="000270F3"/>
    <w:rsid w:val="000272E6"/>
    <w:rsid w:val="00027467"/>
    <w:rsid w:val="00030130"/>
    <w:rsid w:val="00031782"/>
    <w:rsid w:val="00031FD8"/>
    <w:rsid w:val="00032042"/>
    <w:rsid w:val="000326AC"/>
    <w:rsid w:val="000327DC"/>
    <w:rsid w:val="00032819"/>
    <w:rsid w:val="000330F7"/>
    <w:rsid w:val="0003377F"/>
    <w:rsid w:val="0003425B"/>
    <w:rsid w:val="000343DF"/>
    <w:rsid w:val="000346A1"/>
    <w:rsid w:val="00034B1D"/>
    <w:rsid w:val="00034D91"/>
    <w:rsid w:val="00035454"/>
    <w:rsid w:val="00036008"/>
    <w:rsid w:val="00036219"/>
    <w:rsid w:val="000366F1"/>
    <w:rsid w:val="00036C10"/>
    <w:rsid w:val="00037E5F"/>
    <w:rsid w:val="00040C1C"/>
    <w:rsid w:val="00040E51"/>
    <w:rsid w:val="00041119"/>
    <w:rsid w:val="00042345"/>
    <w:rsid w:val="00042389"/>
    <w:rsid w:val="000428E3"/>
    <w:rsid w:val="00042E50"/>
    <w:rsid w:val="00042E80"/>
    <w:rsid w:val="000431B8"/>
    <w:rsid w:val="00043771"/>
    <w:rsid w:val="000453D7"/>
    <w:rsid w:val="00045869"/>
    <w:rsid w:val="000464EC"/>
    <w:rsid w:val="00046F83"/>
    <w:rsid w:val="0004727E"/>
    <w:rsid w:val="00047653"/>
    <w:rsid w:val="00050109"/>
    <w:rsid w:val="00051083"/>
    <w:rsid w:val="00051B24"/>
    <w:rsid w:val="0005219B"/>
    <w:rsid w:val="00052869"/>
    <w:rsid w:val="00052CE2"/>
    <w:rsid w:val="000536EA"/>
    <w:rsid w:val="00053C0F"/>
    <w:rsid w:val="00054949"/>
    <w:rsid w:val="00054CCC"/>
    <w:rsid w:val="0005503C"/>
    <w:rsid w:val="00055186"/>
    <w:rsid w:val="0005557C"/>
    <w:rsid w:val="0005630D"/>
    <w:rsid w:val="0005674F"/>
    <w:rsid w:val="00056768"/>
    <w:rsid w:val="00056948"/>
    <w:rsid w:val="00057465"/>
    <w:rsid w:val="0005747E"/>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183"/>
    <w:rsid w:val="000643A5"/>
    <w:rsid w:val="00064DD8"/>
    <w:rsid w:val="000650FA"/>
    <w:rsid w:val="000657EA"/>
    <w:rsid w:val="0007050A"/>
    <w:rsid w:val="000714AC"/>
    <w:rsid w:val="00071832"/>
    <w:rsid w:val="00071A4F"/>
    <w:rsid w:val="00071EBC"/>
    <w:rsid w:val="00072105"/>
    <w:rsid w:val="000722DA"/>
    <w:rsid w:val="00073CF3"/>
    <w:rsid w:val="00073D5C"/>
    <w:rsid w:val="00073D60"/>
    <w:rsid w:val="0007428B"/>
    <w:rsid w:val="00075284"/>
    <w:rsid w:val="00077999"/>
    <w:rsid w:val="00081091"/>
    <w:rsid w:val="0008182E"/>
    <w:rsid w:val="0008194D"/>
    <w:rsid w:val="00081CC1"/>
    <w:rsid w:val="00082BF8"/>
    <w:rsid w:val="00083060"/>
    <w:rsid w:val="00083B1B"/>
    <w:rsid w:val="00084539"/>
    <w:rsid w:val="00085514"/>
    <w:rsid w:val="000871D4"/>
    <w:rsid w:val="0008775E"/>
    <w:rsid w:val="00092434"/>
    <w:rsid w:val="000929B3"/>
    <w:rsid w:val="000934F6"/>
    <w:rsid w:val="00093976"/>
    <w:rsid w:val="000939F1"/>
    <w:rsid w:val="00093A38"/>
    <w:rsid w:val="000941BD"/>
    <w:rsid w:val="00094486"/>
    <w:rsid w:val="000954C1"/>
    <w:rsid w:val="00095E04"/>
    <w:rsid w:val="00096F17"/>
    <w:rsid w:val="00097FC2"/>
    <w:rsid w:val="00097FF5"/>
    <w:rsid w:val="000A0578"/>
    <w:rsid w:val="000A0D54"/>
    <w:rsid w:val="000A1233"/>
    <w:rsid w:val="000A1862"/>
    <w:rsid w:val="000A18B1"/>
    <w:rsid w:val="000A1C5A"/>
    <w:rsid w:val="000A2C31"/>
    <w:rsid w:val="000A2CF3"/>
    <w:rsid w:val="000A3574"/>
    <w:rsid w:val="000A40E0"/>
    <w:rsid w:val="000A42E7"/>
    <w:rsid w:val="000A456E"/>
    <w:rsid w:val="000A45A1"/>
    <w:rsid w:val="000A4634"/>
    <w:rsid w:val="000A51FC"/>
    <w:rsid w:val="000A54A1"/>
    <w:rsid w:val="000A5B6D"/>
    <w:rsid w:val="000A651A"/>
    <w:rsid w:val="000A749B"/>
    <w:rsid w:val="000A77AA"/>
    <w:rsid w:val="000A7880"/>
    <w:rsid w:val="000A7971"/>
    <w:rsid w:val="000A7E8A"/>
    <w:rsid w:val="000B037B"/>
    <w:rsid w:val="000B0465"/>
    <w:rsid w:val="000B0D00"/>
    <w:rsid w:val="000B1492"/>
    <w:rsid w:val="000B154C"/>
    <w:rsid w:val="000B26B7"/>
    <w:rsid w:val="000B28F6"/>
    <w:rsid w:val="000B2A50"/>
    <w:rsid w:val="000B2BA3"/>
    <w:rsid w:val="000B42F1"/>
    <w:rsid w:val="000B4414"/>
    <w:rsid w:val="000B512D"/>
    <w:rsid w:val="000B517D"/>
    <w:rsid w:val="000B55D7"/>
    <w:rsid w:val="000B598D"/>
    <w:rsid w:val="000B66AF"/>
    <w:rsid w:val="000B73C5"/>
    <w:rsid w:val="000B7C66"/>
    <w:rsid w:val="000C01C5"/>
    <w:rsid w:val="000C16CF"/>
    <w:rsid w:val="000C2735"/>
    <w:rsid w:val="000C2AF2"/>
    <w:rsid w:val="000C2C51"/>
    <w:rsid w:val="000C2C6F"/>
    <w:rsid w:val="000C3986"/>
    <w:rsid w:val="000C3EEC"/>
    <w:rsid w:val="000C425F"/>
    <w:rsid w:val="000C4408"/>
    <w:rsid w:val="000C5A19"/>
    <w:rsid w:val="000C5F95"/>
    <w:rsid w:val="000C613C"/>
    <w:rsid w:val="000C68A2"/>
    <w:rsid w:val="000C6B42"/>
    <w:rsid w:val="000C6D06"/>
    <w:rsid w:val="000C7201"/>
    <w:rsid w:val="000C771F"/>
    <w:rsid w:val="000C7777"/>
    <w:rsid w:val="000C7A38"/>
    <w:rsid w:val="000C7C00"/>
    <w:rsid w:val="000C7C3A"/>
    <w:rsid w:val="000D05E6"/>
    <w:rsid w:val="000D0869"/>
    <w:rsid w:val="000D0BA1"/>
    <w:rsid w:val="000D18DD"/>
    <w:rsid w:val="000D1975"/>
    <w:rsid w:val="000D1AE1"/>
    <w:rsid w:val="000D24C5"/>
    <w:rsid w:val="000D26D8"/>
    <w:rsid w:val="000D2B26"/>
    <w:rsid w:val="000D3CE1"/>
    <w:rsid w:val="000D4801"/>
    <w:rsid w:val="000D5A14"/>
    <w:rsid w:val="000D6659"/>
    <w:rsid w:val="000D735C"/>
    <w:rsid w:val="000D7B83"/>
    <w:rsid w:val="000E0729"/>
    <w:rsid w:val="000E0E4F"/>
    <w:rsid w:val="000E1732"/>
    <w:rsid w:val="000E1739"/>
    <w:rsid w:val="000E1D03"/>
    <w:rsid w:val="000E2DF9"/>
    <w:rsid w:val="000E35AA"/>
    <w:rsid w:val="000E35E5"/>
    <w:rsid w:val="000E4271"/>
    <w:rsid w:val="000E4DA7"/>
    <w:rsid w:val="000E4E87"/>
    <w:rsid w:val="000E5198"/>
    <w:rsid w:val="000E62AF"/>
    <w:rsid w:val="000E66C8"/>
    <w:rsid w:val="000E6A41"/>
    <w:rsid w:val="000E7A07"/>
    <w:rsid w:val="000E7F5B"/>
    <w:rsid w:val="000F0031"/>
    <w:rsid w:val="000F050E"/>
    <w:rsid w:val="000F0C81"/>
    <w:rsid w:val="000F15AA"/>
    <w:rsid w:val="000F1F36"/>
    <w:rsid w:val="000F2B07"/>
    <w:rsid w:val="000F2F3F"/>
    <w:rsid w:val="000F307A"/>
    <w:rsid w:val="000F378A"/>
    <w:rsid w:val="000F3E0D"/>
    <w:rsid w:val="000F3FF5"/>
    <w:rsid w:val="000F4153"/>
    <w:rsid w:val="000F4E1E"/>
    <w:rsid w:val="000F4E6E"/>
    <w:rsid w:val="000F504E"/>
    <w:rsid w:val="000F56E0"/>
    <w:rsid w:val="000F5719"/>
    <w:rsid w:val="000F57F8"/>
    <w:rsid w:val="000F74BD"/>
    <w:rsid w:val="001004FF"/>
    <w:rsid w:val="00100DEB"/>
    <w:rsid w:val="00101CDB"/>
    <w:rsid w:val="0010216A"/>
    <w:rsid w:val="001022A9"/>
    <w:rsid w:val="00102C55"/>
    <w:rsid w:val="001032D0"/>
    <w:rsid w:val="001047D2"/>
    <w:rsid w:val="00104EC6"/>
    <w:rsid w:val="00105F69"/>
    <w:rsid w:val="00105FC5"/>
    <w:rsid w:val="001063F3"/>
    <w:rsid w:val="00107D2F"/>
    <w:rsid w:val="00110686"/>
    <w:rsid w:val="001108F6"/>
    <w:rsid w:val="00110B5B"/>
    <w:rsid w:val="00110D39"/>
    <w:rsid w:val="00110D43"/>
    <w:rsid w:val="00110E67"/>
    <w:rsid w:val="00112097"/>
    <w:rsid w:val="001120B1"/>
    <w:rsid w:val="0011219E"/>
    <w:rsid w:val="00112333"/>
    <w:rsid w:val="00112873"/>
    <w:rsid w:val="00112993"/>
    <w:rsid w:val="001133B8"/>
    <w:rsid w:val="001136C8"/>
    <w:rsid w:val="00113881"/>
    <w:rsid w:val="001138AC"/>
    <w:rsid w:val="00113B10"/>
    <w:rsid w:val="00113E81"/>
    <w:rsid w:val="0011400E"/>
    <w:rsid w:val="001142E3"/>
    <w:rsid w:val="00114472"/>
    <w:rsid w:val="00114CF1"/>
    <w:rsid w:val="00114DE5"/>
    <w:rsid w:val="00114DFC"/>
    <w:rsid w:val="001150D9"/>
    <w:rsid w:val="00115450"/>
    <w:rsid w:val="00116A19"/>
    <w:rsid w:val="00116EC7"/>
    <w:rsid w:val="00117802"/>
    <w:rsid w:val="0011790E"/>
    <w:rsid w:val="001202A1"/>
    <w:rsid w:val="001205F7"/>
    <w:rsid w:val="00120845"/>
    <w:rsid w:val="00121290"/>
    <w:rsid w:val="00121C86"/>
    <w:rsid w:val="00121ED9"/>
    <w:rsid w:val="001221F2"/>
    <w:rsid w:val="00122B56"/>
    <w:rsid w:val="00123891"/>
    <w:rsid w:val="00123979"/>
    <w:rsid w:val="00123DC7"/>
    <w:rsid w:val="00125A48"/>
    <w:rsid w:val="00125D8D"/>
    <w:rsid w:val="001261DC"/>
    <w:rsid w:val="001267D2"/>
    <w:rsid w:val="00126AFA"/>
    <w:rsid w:val="00126F2B"/>
    <w:rsid w:val="00126F64"/>
    <w:rsid w:val="00127EA6"/>
    <w:rsid w:val="00130006"/>
    <w:rsid w:val="001309CB"/>
    <w:rsid w:val="00131471"/>
    <w:rsid w:val="001314EF"/>
    <w:rsid w:val="00131712"/>
    <w:rsid w:val="001317F0"/>
    <w:rsid w:val="00131FC9"/>
    <w:rsid w:val="0013257E"/>
    <w:rsid w:val="0013263C"/>
    <w:rsid w:val="001327CF"/>
    <w:rsid w:val="00132930"/>
    <w:rsid w:val="00132F72"/>
    <w:rsid w:val="00133A53"/>
    <w:rsid w:val="00134F9F"/>
    <w:rsid w:val="00135366"/>
    <w:rsid w:val="001354FB"/>
    <w:rsid w:val="0013639D"/>
    <w:rsid w:val="001366A1"/>
    <w:rsid w:val="001374E7"/>
    <w:rsid w:val="00137E43"/>
    <w:rsid w:val="00140410"/>
    <w:rsid w:val="00142030"/>
    <w:rsid w:val="0014215E"/>
    <w:rsid w:val="001421E5"/>
    <w:rsid w:val="00142D98"/>
    <w:rsid w:val="001430F6"/>
    <w:rsid w:val="001439D7"/>
    <w:rsid w:val="00145885"/>
    <w:rsid w:val="00146014"/>
    <w:rsid w:val="0014730B"/>
    <w:rsid w:val="001515CD"/>
    <w:rsid w:val="00151EE0"/>
    <w:rsid w:val="00152989"/>
    <w:rsid w:val="00153645"/>
    <w:rsid w:val="00154922"/>
    <w:rsid w:val="00154BD7"/>
    <w:rsid w:val="00154D82"/>
    <w:rsid w:val="00155600"/>
    <w:rsid w:val="00155A4F"/>
    <w:rsid w:val="001560D5"/>
    <w:rsid w:val="00156719"/>
    <w:rsid w:val="0015706A"/>
    <w:rsid w:val="00157B83"/>
    <w:rsid w:val="00160ABF"/>
    <w:rsid w:val="00160FAF"/>
    <w:rsid w:val="001614D6"/>
    <w:rsid w:val="001616EA"/>
    <w:rsid w:val="00161B88"/>
    <w:rsid w:val="00161D24"/>
    <w:rsid w:val="0016225B"/>
    <w:rsid w:val="00162287"/>
    <w:rsid w:val="00162850"/>
    <w:rsid w:val="00163663"/>
    <w:rsid w:val="00163C6A"/>
    <w:rsid w:val="00163D5A"/>
    <w:rsid w:val="00163E41"/>
    <w:rsid w:val="00164375"/>
    <w:rsid w:val="001649C8"/>
    <w:rsid w:val="00164C30"/>
    <w:rsid w:val="00164C3B"/>
    <w:rsid w:val="00164FE5"/>
    <w:rsid w:val="00165ACB"/>
    <w:rsid w:val="00165FA6"/>
    <w:rsid w:val="0016641D"/>
    <w:rsid w:val="00166D82"/>
    <w:rsid w:val="00166DC6"/>
    <w:rsid w:val="0016743A"/>
    <w:rsid w:val="00170979"/>
    <w:rsid w:val="00170B10"/>
    <w:rsid w:val="00170C06"/>
    <w:rsid w:val="00170CCF"/>
    <w:rsid w:val="00170EB8"/>
    <w:rsid w:val="00172208"/>
    <w:rsid w:val="00172998"/>
    <w:rsid w:val="001729FD"/>
    <w:rsid w:val="00172A27"/>
    <w:rsid w:val="00172B18"/>
    <w:rsid w:val="0017400D"/>
    <w:rsid w:val="0017425D"/>
    <w:rsid w:val="00174A51"/>
    <w:rsid w:val="00175D76"/>
    <w:rsid w:val="00175FFC"/>
    <w:rsid w:val="001766C6"/>
    <w:rsid w:val="00176FC2"/>
    <w:rsid w:val="00181DF8"/>
    <w:rsid w:val="00183850"/>
    <w:rsid w:val="00183CAA"/>
    <w:rsid w:val="001840CB"/>
    <w:rsid w:val="0018413D"/>
    <w:rsid w:val="0018478A"/>
    <w:rsid w:val="001848C1"/>
    <w:rsid w:val="00185539"/>
    <w:rsid w:val="00185BC8"/>
    <w:rsid w:val="00187129"/>
    <w:rsid w:val="00187342"/>
    <w:rsid w:val="00187D72"/>
    <w:rsid w:val="00187EDB"/>
    <w:rsid w:val="00187F98"/>
    <w:rsid w:val="001908E7"/>
    <w:rsid w:val="00190A92"/>
    <w:rsid w:val="00191021"/>
    <w:rsid w:val="00191476"/>
    <w:rsid w:val="00192B3F"/>
    <w:rsid w:val="0019389D"/>
    <w:rsid w:val="0019478A"/>
    <w:rsid w:val="00194A37"/>
    <w:rsid w:val="001952C2"/>
    <w:rsid w:val="00195F04"/>
    <w:rsid w:val="00196262"/>
    <w:rsid w:val="001963B1"/>
    <w:rsid w:val="0019670B"/>
    <w:rsid w:val="00196B76"/>
    <w:rsid w:val="0019704E"/>
    <w:rsid w:val="00197316"/>
    <w:rsid w:val="001A03DD"/>
    <w:rsid w:val="001A11B2"/>
    <w:rsid w:val="001A12E1"/>
    <w:rsid w:val="001A14BE"/>
    <w:rsid w:val="001A1582"/>
    <w:rsid w:val="001A17B0"/>
    <w:rsid w:val="001A25A2"/>
    <w:rsid w:val="001A3895"/>
    <w:rsid w:val="001A3BDD"/>
    <w:rsid w:val="001A48FC"/>
    <w:rsid w:val="001A4BCC"/>
    <w:rsid w:val="001A4BDA"/>
    <w:rsid w:val="001A5333"/>
    <w:rsid w:val="001A5D07"/>
    <w:rsid w:val="001A60CF"/>
    <w:rsid w:val="001A647A"/>
    <w:rsid w:val="001A7084"/>
    <w:rsid w:val="001A786A"/>
    <w:rsid w:val="001A7FA4"/>
    <w:rsid w:val="001B069A"/>
    <w:rsid w:val="001B09F7"/>
    <w:rsid w:val="001B1392"/>
    <w:rsid w:val="001B31FC"/>
    <w:rsid w:val="001B3CC8"/>
    <w:rsid w:val="001B3DB1"/>
    <w:rsid w:val="001B40EC"/>
    <w:rsid w:val="001B4145"/>
    <w:rsid w:val="001B4A6A"/>
    <w:rsid w:val="001B4F8A"/>
    <w:rsid w:val="001B5D48"/>
    <w:rsid w:val="001B5FB3"/>
    <w:rsid w:val="001B6389"/>
    <w:rsid w:val="001B6AD9"/>
    <w:rsid w:val="001B6D62"/>
    <w:rsid w:val="001C1846"/>
    <w:rsid w:val="001C1CFE"/>
    <w:rsid w:val="001C1E6E"/>
    <w:rsid w:val="001C24E5"/>
    <w:rsid w:val="001C2751"/>
    <w:rsid w:val="001C32C9"/>
    <w:rsid w:val="001C42AD"/>
    <w:rsid w:val="001C44B8"/>
    <w:rsid w:val="001C473C"/>
    <w:rsid w:val="001C4C62"/>
    <w:rsid w:val="001C51C1"/>
    <w:rsid w:val="001C5481"/>
    <w:rsid w:val="001C5518"/>
    <w:rsid w:val="001C5E68"/>
    <w:rsid w:val="001C6DAC"/>
    <w:rsid w:val="001C7D87"/>
    <w:rsid w:val="001D0EB1"/>
    <w:rsid w:val="001D1277"/>
    <w:rsid w:val="001D160F"/>
    <w:rsid w:val="001D1B19"/>
    <w:rsid w:val="001D268A"/>
    <w:rsid w:val="001D29DD"/>
    <w:rsid w:val="001D2BD2"/>
    <w:rsid w:val="001D2DAF"/>
    <w:rsid w:val="001D3156"/>
    <w:rsid w:val="001D3278"/>
    <w:rsid w:val="001D3C45"/>
    <w:rsid w:val="001D416B"/>
    <w:rsid w:val="001D5E21"/>
    <w:rsid w:val="001D5FBE"/>
    <w:rsid w:val="001D67E2"/>
    <w:rsid w:val="001D6B5C"/>
    <w:rsid w:val="001D6C82"/>
    <w:rsid w:val="001D751F"/>
    <w:rsid w:val="001E0616"/>
    <w:rsid w:val="001E0942"/>
    <w:rsid w:val="001E09BB"/>
    <w:rsid w:val="001E0AF8"/>
    <w:rsid w:val="001E0FB0"/>
    <w:rsid w:val="001E1B49"/>
    <w:rsid w:val="001E2A06"/>
    <w:rsid w:val="001E3222"/>
    <w:rsid w:val="001E41CF"/>
    <w:rsid w:val="001E4551"/>
    <w:rsid w:val="001E493C"/>
    <w:rsid w:val="001E5B00"/>
    <w:rsid w:val="001E5B81"/>
    <w:rsid w:val="001E647E"/>
    <w:rsid w:val="001E74DD"/>
    <w:rsid w:val="001F0218"/>
    <w:rsid w:val="001F0FA1"/>
    <w:rsid w:val="001F100F"/>
    <w:rsid w:val="001F11D1"/>
    <w:rsid w:val="001F19E6"/>
    <w:rsid w:val="001F1A66"/>
    <w:rsid w:val="001F1F4E"/>
    <w:rsid w:val="001F2C4E"/>
    <w:rsid w:val="001F36B6"/>
    <w:rsid w:val="001F41C1"/>
    <w:rsid w:val="001F4884"/>
    <w:rsid w:val="001F5456"/>
    <w:rsid w:val="001F5D59"/>
    <w:rsid w:val="001F63E1"/>
    <w:rsid w:val="001F6E65"/>
    <w:rsid w:val="001F7B90"/>
    <w:rsid w:val="00200B30"/>
    <w:rsid w:val="00200BCB"/>
    <w:rsid w:val="00200DC4"/>
    <w:rsid w:val="00200E3B"/>
    <w:rsid w:val="002028D1"/>
    <w:rsid w:val="002030B4"/>
    <w:rsid w:val="002034C1"/>
    <w:rsid w:val="002038A2"/>
    <w:rsid w:val="00203ADD"/>
    <w:rsid w:val="00203FEE"/>
    <w:rsid w:val="002045BE"/>
    <w:rsid w:val="00204699"/>
    <w:rsid w:val="002047E5"/>
    <w:rsid w:val="00205C5E"/>
    <w:rsid w:val="00205DD2"/>
    <w:rsid w:val="0020678D"/>
    <w:rsid w:val="00207916"/>
    <w:rsid w:val="0021000F"/>
    <w:rsid w:val="00210303"/>
    <w:rsid w:val="002103A6"/>
    <w:rsid w:val="002107A8"/>
    <w:rsid w:val="00210C6F"/>
    <w:rsid w:val="00211592"/>
    <w:rsid w:val="002115A0"/>
    <w:rsid w:val="00211E6E"/>
    <w:rsid w:val="00211EDA"/>
    <w:rsid w:val="00212C77"/>
    <w:rsid w:val="002131EC"/>
    <w:rsid w:val="00213223"/>
    <w:rsid w:val="002136A2"/>
    <w:rsid w:val="0021397F"/>
    <w:rsid w:val="00213A0A"/>
    <w:rsid w:val="00214F32"/>
    <w:rsid w:val="0021526D"/>
    <w:rsid w:val="00215D26"/>
    <w:rsid w:val="00216D91"/>
    <w:rsid w:val="00216EB4"/>
    <w:rsid w:val="00217027"/>
    <w:rsid w:val="00217243"/>
    <w:rsid w:val="002173B0"/>
    <w:rsid w:val="002174B1"/>
    <w:rsid w:val="00217A74"/>
    <w:rsid w:val="00217F59"/>
    <w:rsid w:val="00221951"/>
    <w:rsid w:val="00221987"/>
    <w:rsid w:val="00221B13"/>
    <w:rsid w:val="00221CBC"/>
    <w:rsid w:val="00222619"/>
    <w:rsid w:val="00222FD6"/>
    <w:rsid w:val="00223345"/>
    <w:rsid w:val="002239CB"/>
    <w:rsid w:val="00223FAB"/>
    <w:rsid w:val="0022481E"/>
    <w:rsid w:val="002248D2"/>
    <w:rsid w:val="00224BFE"/>
    <w:rsid w:val="0022585E"/>
    <w:rsid w:val="002259C0"/>
    <w:rsid w:val="00225D80"/>
    <w:rsid w:val="0022639F"/>
    <w:rsid w:val="00226C05"/>
    <w:rsid w:val="0023038F"/>
    <w:rsid w:val="0023079C"/>
    <w:rsid w:val="002309C1"/>
    <w:rsid w:val="002315E9"/>
    <w:rsid w:val="00231769"/>
    <w:rsid w:val="00231D7B"/>
    <w:rsid w:val="00232BB2"/>
    <w:rsid w:val="00232E11"/>
    <w:rsid w:val="00233D2A"/>
    <w:rsid w:val="00234021"/>
    <w:rsid w:val="002343E4"/>
    <w:rsid w:val="002346E7"/>
    <w:rsid w:val="00235A58"/>
    <w:rsid w:val="00235B36"/>
    <w:rsid w:val="00235BAD"/>
    <w:rsid w:val="002363DF"/>
    <w:rsid w:val="002372E7"/>
    <w:rsid w:val="00237A2E"/>
    <w:rsid w:val="00240F51"/>
    <w:rsid w:val="00241034"/>
    <w:rsid w:val="002414F2"/>
    <w:rsid w:val="00241756"/>
    <w:rsid w:val="00242D45"/>
    <w:rsid w:val="002433F3"/>
    <w:rsid w:val="00243C23"/>
    <w:rsid w:val="00244112"/>
    <w:rsid w:val="00244810"/>
    <w:rsid w:val="0024487A"/>
    <w:rsid w:val="00244B5B"/>
    <w:rsid w:val="00244EC3"/>
    <w:rsid w:val="0024597B"/>
    <w:rsid w:val="00245AE1"/>
    <w:rsid w:val="00245E50"/>
    <w:rsid w:val="0024604C"/>
    <w:rsid w:val="00246689"/>
    <w:rsid w:val="0024679C"/>
    <w:rsid w:val="00250294"/>
    <w:rsid w:val="002508D1"/>
    <w:rsid w:val="00250A00"/>
    <w:rsid w:val="00250DD5"/>
    <w:rsid w:val="00251506"/>
    <w:rsid w:val="00251E82"/>
    <w:rsid w:val="00251ECF"/>
    <w:rsid w:val="00254859"/>
    <w:rsid w:val="00254BE6"/>
    <w:rsid w:val="00255609"/>
    <w:rsid w:val="0025578D"/>
    <w:rsid w:val="00255D50"/>
    <w:rsid w:val="002561B3"/>
    <w:rsid w:val="00257BAB"/>
    <w:rsid w:val="00257BD5"/>
    <w:rsid w:val="002601D4"/>
    <w:rsid w:val="00261139"/>
    <w:rsid w:val="00262656"/>
    <w:rsid w:val="002629D4"/>
    <w:rsid w:val="00262EB9"/>
    <w:rsid w:val="00263283"/>
    <w:rsid w:val="00263771"/>
    <w:rsid w:val="00263C0B"/>
    <w:rsid w:val="002642F0"/>
    <w:rsid w:val="002647C2"/>
    <w:rsid w:val="00264950"/>
    <w:rsid w:val="00264B27"/>
    <w:rsid w:val="00266388"/>
    <w:rsid w:val="00266631"/>
    <w:rsid w:val="0026669A"/>
    <w:rsid w:val="00266A3C"/>
    <w:rsid w:val="00266C22"/>
    <w:rsid w:val="00266DE7"/>
    <w:rsid w:val="002670FE"/>
    <w:rsid w:val="00267B03"/>
    <w:rsid w:val="00270493"/>
    <w:rsid w:val="0027082C"/>
    <w:rsid w:val="00271109"/>
    <w:rsid w:val="002711C8"/>
    <w:rsid w:val="00271A24"/>
    <w:rsid w:val="00271CF3"/>
    <w:rsid w:val="00272478"/>
    <w:rsid w:val="00272F1B"/>
    <w:rsid w:val="0027358F"/>
    <w:rsid w:val="0027367B"/>
    <w:rsid w:val="002737AB"/>
    <w:rsid w:val="0027413E"/>
    <w:rsid w:val="00274945"/>
    <w:rsid w:val="00275459"/>
    <w:rsid w:val="00275798"/>
    <w:rsid w:val="00275B27"/>
    <w:rsid w:val="00275CFF"/>
    <w:rsid w:val="002763F8"/>
    <w:rsid w:val="002768C0"/>
    <w:rsid w:val="00276983"/>
    <w:rsid w:val="00276E7B"/>
    <w:rsid w:val="00277BC4"/>
    <w:rsid w:val="00277DAC"/>
    <w:rsid w:val="0028004F"/>
    <w:rsid w:val="002800DF"/>
    <w:rsid w:val="0028085C"/>
    <w:rsid w:val="00280BE3"/>
    <w:rsid w:val="00280FB7"/>
    <w:rsid w:val="002821BE"/>
    <w:rsid w:val="00283A35"/>
    <w:rsid w:val="00283CBF"/>
    <w:rsid w:val="002843C2"/>
    <w:rsid w:val="0028497C"/>
    <w:rsid w:val="00286517"/>
    <w:rsid w:val="00286AC3"/>
    <w:rsid w:val="00286D39"/>
    <w:rsid w:val="002907BA"/>
    <w:rsid w:val="00290D43"/>
    <w:rsid w:val="00290D77"/>
    <w:rsid w:val="002911DE"/>
    <w:rsid w:val="00291357"/>
    <w:rsid w:val="002913F8"/>
    <w:rsid w:val="002917EF"/>
    <w:rsid w:val="002921A1"/>
    <w:rsid w:val="002922AE"/>
    <w:rsid w:val="00292CD2"/>
    <w:rsid w:val="00293CEC"/>
    <w:rsid w:val="002947AD"/>
    <w:rsid w:val="00294BD0"/>
    <w:rsid w:val="00294DBC"/>
    <w:rsid w:val="0029578E"/>
    <w:rsid w:val="00295F04"/>
    <w:rsid w:val="002960E5"/>
    <w:rsid w:val="00296422"/>
    <w:rsid w:val="00297970"/>
    <w:rsid w:val="002979A8"/>
    <w:rsid w:val="002A00FA"/>
    <w:rsid w:val="002A19B1"/>
    <w:rsid w:val="002A1D83"/>
    <w:rsid w:val="002A2330"/>
    <w:rsid w:val="002A2D53"/>
    <w:rsid w:val="002A3060"/>
    <w:rsid w:val="002A32FD"/>
    <w:rsid w:val="002A36EE"/>
    <w:rsid w:val="002A3A37"/>
    <w:rsid w:val="002A3B69"/>
    <w:rsid w:val="002A3E24"/>
    <w:rsid w:val="002A4068"/>
    <w:rsid w:val="002A4113"/>
    <w:rsid w:val="002A48F6"/>
    <w:rsid w:val="002A4EBB"/>
    <w:rsid w:val="002A53FA"/>
    <w:rsid w:val="002A5E21"/>
    <w:rsid w:val="002A611C"/>
    <w:rsid w:val="002A6540"/>
    <w:rsid w:val="002A7273"/>
    <w:rsid w:val="002A794F"/>
    <w:rsid w:val="002B025A"/>
    <w:rsid w:val="002B0543"/>
    <w:rsid w:val="002B06DE"/>
    <w:rsid w:val="002B0844"/>
    <w:rsid w:val="002B0B64"/>
    <w:rsid w:val="002B1219"/>
    <w:rsid w:val="002B1580"/>
    <w:rsid w:val="002B17F0"/>
    <w:rsid w:val="002B1DEB"/>
    <w:rsid w:val="002B245E"/>
    <w:rsid w:val="002B28FF"/>
    <w:rsid w:val="002B33B9"/>
    <w:rsid w:val="002B4028"/>
    <w:rsid w:val="002B40F6"/>
    <w:rsid w:val="002B4713"/>
    <w:rsid w:val="002B522A"/>
    <w:rsid w:val="002B5330"/>
    <w:rsid w:val="002B5A48"/>
    <w:rsid w:val="002B5A7D"/>
    <w:rsid w:val="002B6333"/>
    <w:rsid w:val="002B68CE"/>
    <w:rsid w:val="002B6CE9"/>
    <w:rsid w:val="002B6FBA"/>
    <w:rsid w:val="002B796A"/>
    <w:rsid w:val="002B7F5D"/>
    <w:rsid w:val="002C00CC"/>
    <w:rsid w:val="002C06C6"/>
    <w:rsid w:val="002C109C"/>
    <w:rsid w:val="002C13FD"/>
    <w:rsid w:val="002C1B47"/>
    <w:rsid w:val="002C22AF"/>
    <w:rsid w:val="002C2353"/>
    <w:rsid w:val="002C2D2B"/>
    <w:rsid w:val="002C2DB8"/>
    <w:rsid w:val="002C33C6"/>
    <w:rsid w:val="002C376F"/>
    <w:rsid w:val="002C3966"/>
    <w:rsid w:val="002C40C7"/>
    <w:rsid w:val="002C4806"/>
    <w:rsid w:val="002C49D1"/>
    <w:rsid w:val="002C4F67"/>
    <w:rsid w:val="002C5182"/>
    <w:rsid w:val="002C5DE8"/>
    <w:rsid w:val="002C77EA"/>
    <w:rsid w:val="002C796F"/>
    <w:rsid w:val="002D0042"/>
    <w:rsid w:val="002D00B9"/>
    <w:rsid w:val="002D13F1"/>
    <w:rsid w:val="002D1E01"/>
    <w:rsid w:val="002D1E3C"/>
    <w:rsid w:val="002D21C5"/>
    <w:rsid w:val="002D287B"/>
    <w:rsid w:val="002D2F7C"/>
    <w:rsid w:val="002D34D1"/>
    <w:rsid w:val="002D37F1"/>
    <w:rsid w:val="002D39AF"/>
    <w:rsid w:val="002D4DF7"/>
    <w:rsid w:val="002D6623"/>
    <w:rsid w:val="002D676D"/>
    <w:rsid w:val="002D6B3A"/>
    <w:rsid w:val="002D7072"/>
    <w:rsid w:val="002D7CA4"/>
    <w:rsid w:val="002D7F97"/>
    <w:rsid w:val="002E03B8"/>
    <w:rsid w:val="002E06A8"/>
    <w:rsid w:val="002E0CA9"/>
    <w:rsid w:val="002E0EA3"/>
    <w:rsid w:val="002E134D"/>
    <w:rsid w:val="002E13BE"/>
    <w:rsid w:val="002E20CD"/>
    <w:rsid w:val="002E2496"/>
    <w:rsid w:val="002E2BDB"/>
    <w:rsid w:val="002E4475"/>
    <w:rsid w:val="002E4865"/>
    <w:rsid w:val="002E4943"/>
    <w:rsid w:val="002E4B40"/>
    <w:rsid w:val="002E5394"/>
    <w:rsid w:val="002F166A"/>
    <w:rsid w:val="002F1DBD"/>
    <w:rsid w:val="002F20FA"/>
    <w:rsid w:val="002F2243"/>
    <w:rsid w:val="002F2404"/>
    <w:rsid w:val="002F24F5"/>
    <w:rsid w:val="002F2575"/>
    <w:rsid w:val="002F28DB"/>
    <w:rsid w:val="002F2C07"/>
    <w:rsid w:val="002F325C"/>
    <w:rsid w:val="002F4C45"/>
    <w:rsid w:val="002F553A"/>
    <w:rsid w:val="002F5A22"/>
    <w:rsid w:val="002F7207"/>
    <w:rsid w:val="002F7C5D"/>
    <w:rsid w:val="002F7DCC"/>
    <w:rsid w:val="00300233"/>
    <w:rsid w:val="003003FF"/>
    <w:rsid w:val="00300831"/>
    <w:rsid w:val="00300D5B"/>
    <w:rsid w:val="00301CA2"/>
    <w:rsid w:val="00301D7D"/>
    <w:rsid w:val="003028D8"/>
    <w:rsid w:val="00302D1F"/>
    <w:rsid w:val="00302DD9"/>
    <w:rsid w:val="00302F2D"/>
    <w:rsid w:val="003034C0"/>
    <w:rsid w:val="00303A2D"/>
    <w:rsid w:val="00304080"/>
    <w:rsid w:val="003050B6"/>
    <w:rsid w:val="00305277"/>
    <w:rsid w:val="00305567"/>
    <w:rsid w:val="003060A7"/>
    <w:rsid w:val="003073F5"/>
    <w:rsid w:val="003101D3"/>
    <w:rsid w:val="003104E4"/>
    <w:rsid w:val="003107BD"/>
    <w:rsid w:val="00311365"/>
    <w:rsid w:val="00311AB3"/>
    <w:rsid w:val="00311D5D"/>
    <w:rsid w:val="003121EA"/>
    <w:rsid w:val="0031263E"/>
    <w:rsid w:val="00312AC3"/>
    <w:rsid w:val="00312DE0"/>
    <w:rsid w:val="00313231"/>
    <w:rsid w:val="00315BB7"/>
    <w:rsid w:val="00317F64"/>
    <w:rsid w:val="00320184"/>
    <w:rsid w:val="00320B64"/>
    <w:rsid w:val="00320D28"/>
    <w:rsid w:val="00321361"/>
    <w:rsid w:val="00321622"/>
    <w:rsid w:val="00321881"/>
    <w:rsid w:val="00321D3C"/>
    <w:rsid w:val="00321E6E"/>
    <w:rsid w:val="00322044"/>
    <w:rsid w:val="003225FA"/>
    <w:rsid w:val="0032283D"/>
    <w:rsid w:val="00322C95"/>
    <w:rsid w:val="0032384A"/>
    <w:rsid w:val="00323A98"/>
    <w:rsid w:val="00323C84"/>
    <w:rsid w:val="00323F15"/>
    <w:rsid w:val="00324212"/>
    <w:rsid w:val="003247AB"/>
    <w:rsid w:val="003248F6"/>
    <w:rsid w:val="0032513D"/>
    <w:rsid w:val="003253A3"/>
    <w:rsid w:val="00325C96"/>
    <w:rsid w:val="00326160"/>
    <w:rsid w:val="0032642C"/>
    <w:rsid w:val="003268EF"/>
    <w:rsid w:val="00326B0F"/>
    <w:rsid w:val="00327362"/>
    <w:rsid w:val="0032780B"/>
    <w:rsid w:val="0033041E"/>
    <w:rsid w:val="00330612"/>
    <w:rsid w:val="003319AD"/>
    <w:rsid w:val="00334032"/>
    <w:rsid w:val="00334558"/>
    <w:rsid w:val="00334889"/>
    <w:rsid w:val="00335E37"/>
    <w:rsid w:val="00336044"/>
    <w:rsid w:val="00336333"/>
    <w:rsid w:val="003363F0"/>
    <w:rsid w:val="003368A0"/>
    <w:rsid w:val="003372F0"/>
    <w:rsid w:val="00340422"/>
    <w:rsid w:val="0034058A"/>
    <w:rsid w:val="003408AE"/>
    <w:rsid w:val="0034393B"/>
    <w:rsid w:val="00343E99"/>
    <w:rsid w:val="0034407D"/>
    <w:rsid w:val="0034479F"/>
    <w:rsid w:val="003447FE"/>
    <w:rsid w:val="00344A60"/>
    <w:rsid w:val="00344A9A"/>
    <w:rsid w:val="00344C98"/>
    <w:rsid w:val="003450E8"/>
    <w:rsid w:val="00345A9A"/>
    <w:rsid w:val="0034646D"/>
    <w:rsid w:val="0034732C"/>
    <w:rsid w:val="00347AC2"/>
    <w:rsid w:val="00347DD8"/>
    <w:rsid w:val="00350086"/>
    <w:rsid w:val="00350120"/>
    <w:rsid w:val="0035018C"/>
    <w:rsid w:val="00350821"/>
    <w:rsid w:val="00350977"/>
    <w:rsid w:val="00350C47"/>
    <w:rsid w:val="003514A9"/>
    <w:rsid w:val="00351D2D"/>
    <w:rsid w:val="00351E72"/>
    <w:rsid w:val="0035222B"/>
    <w:rsid w:val="003523D1"/>
    <w:rsid w:val="00352E67"/>
    <w:rsid w:val="003535E6"/>
    <w:rsid w:val="00353FB5"/>
    <w:rsid w:val="003544A1"/>
    <w:rsid w:val="00355339"/>
    <w:rsid w:val="00355B6E"/>
    <w:rsid w:val="00355BB0"/>
    <w:rsid w:val="00355C69"/>
    <w:rsid w:val="00355CCB"/>
    <w:rsid w:val="00355DDB"/>
    <w:rsid w:val="003561D7"/>
    <w:rsid w:val="00356242"/>
    <w:rsid w:val="00356924"/>
    <w:rsid w:val="0035696F"/>
    <w:rsid w:val="0035758D"/>
    <w:rsid w:val="003577EE"/>
    <w:rsid w:val="00357C05"/>
    <w:rsid w:val="00357F43"/>
    <w:rsid w:val="00360608"/>
    <w:rsid w:val="00360715"/>
    <w:rsid w:val="003614B2"/>
    <w:rsid w:val="003618C3"/>
    <w:rsid w:val="00361979"/>
    <w:rsid w:val="00361EB8"/>
    <w:rsid w:val="00362303"/>
    <w:rsid w:val="0036379E"/>
    <w:rsid w:val="003639F5"/>
    <w:rsid w:val="00363C36"/>
    <w:rsid w:val="00364B98"/>
    <w:rsid w:val="00364CEE"/>
    <w:rsid w:val="00364DDE"/>
    <w:rsid w:val="00365879"/>
    <w:rsid w:val="003659F6"/>
    <w:rsid w:val="003661F9"/>
    <w:rsid w:val="00366CEE"/>
    <w:rsid w:val="00366F13"/>
    <w:rsid w:val="00367BFC"/>
    <w:rsid w:val="00367C04"/>
    <w:rsid w:val="003716A6"/>
    <w:rsid w:val="00371CB7"/>
    <w:rsid w:val="0037217E"/>
    <w:rsid w:val="00372E62"/>
    <w:rsid w:val="00373980"/>
    <w:rsid w:val="003739C0"/>
    <w:rsid w:val="00374A4A"/>
    <w:rsid w:val="00374A4C"/>
    <w:rsid w:val="00374CBA"/>
    <w:rsid w:val="003752F9"/>
    <w:rsid w:val="00375DF7"/>
    <w:rsid w:val="00376249"/>
    <w:rsid w:val="00376462"/>
    <w:rsid w:val="00376BDD"/>
    <w:rsid w:val="00376E8B"/>
    <w:rsid w:val="0037711B"/>
    <w:rsid w:val="0037732B"/>
    <w:rsid w:val="00380CD9"/>
    <w:rsid w:val="00380E86"/>
    <w:rsid w:val="003818C7"/>
    <w:rsid w:val="00381E33"/>
    <w:rsid w:val="00381F7B"/>
    <w:rsid w:val="003823BB"/>
    <w:rsid w:val="003823EA"/>
    <w:rsid w:val="00382449"/>
    <w:rsid w:val="00382D85"/>
    <w:rsid w:val="00383646"/>
    <w:rsid w:val="00383A5C"/>
    <w:rsid w:val="00383A6F"/>
    <w:rsid w:val="0038456A"/>
    <w:rsid w:val="00384947"/>
    <w:rsid w:val="00384BAB"/>
    <w:rsid w:val="00384FAE"/>
    <w:rsid w:val="003856E5"/>
    <w:rsid w:val="00385718"/>
    <w:rsid w:val="00385973"/>
    <w:rsid w:val="00386035"/>
    <w:rsid w:val="0038725C"/>
    <w:rsid w:val="0038787F"/>
    <w:rsid w:val="003912BD"/>
    <w:rsid w:val="003918FA"/>
    <w:rsid w:val="00391D6A"/>
    <w:rsid w:val="00392548"/>
    <w:rsid w:val="0039330E"/>
    <w:rsid w:val="0039356C"/>
    <w:rsid w:val="00393743"/>
    <w:rsid w:val="00393AF8"/>
    <w:rsid w:val="00395659"/>
    <w:rsid w:val="00397457"/>
    <w:rsid w:val="00397EE3"/>
    <w:rsid w:val="003A0710"/>
    <w:rsid w:val="003A1203"/>
    <w:rsid w:val="003A184E"/>
    <w:rsid w:val="003A1982"/>
    <w:rsid w:val="003A217B"/>
    <w:rsid w:val="003A218C"/>
    <w:rsid w:val="003A2592"/>
    <w:rsid w:val="003A2720"/>
    <w:rsid w:val="003A3937"/>
    <w:rsid w:val="003A3FA2"/>
    <w:rsid w:val="003A4B2A"/>
    <w:rsid w:val="003A4ECA"/>
    <w:rsid w:val="003A4FE3"/>
    <w:rsid w:val="003A54D8"/>
    <w:rsid w:val="003A5592"/>
    <w:rsid w:val="003A5AE4"/>
    <w:rsid w:val="003A6438"/>
    <w:rsid w:val="003A672A"/>
    <w:rsid w:val="003A6985"/>
    <w:rsid w:val="003A6A86"/>
    <w:rsid w:val="003A6B3C"/>
    <w:rsid w:val="003A6B89"/>
    <w:rsid w:val="003A6C46"/>
    <w:rsid w:val="003A6D04"/>
    <w:rsid w:val="003A76C2"/>
    <w:rsid w:val="003A7ADB"/>
    <w:rsid w:val="003B0783"/>
    <w:rsid w:val="003B0B35"/>
    <w:rsid w:val="003B0EFE"/>
    <w:rsid w:val="003B110C"/>
    <w:rsid w:val="003B17A7"/>
    <w:rsid w:val="003B1E41"/>
    <w:rsid w:val="003B259F"/>
    <w:rsid w:val="003B2758"/>
    <w:rsid w:val="003B2F72"/>
    <w:rsid w:val="003B40AD"/>
    <w:rsid w:val="003B4D3C"/>
    <w:rsid w:val="003B63B3"/>
    <w:rsid w:val="003B6631"/>
    <w:rsid w:val="003B70F8"/>
    <w:rsid w:val="003C021C"/>
    <w:rsid w:val="003C07FE"/>
    <w:rsid w:val="003C1135"/>
    <w:rsid w:val="003C19B2"/>
    <w:rsid w:val="003C2541"/>
    <w:rsid w:val="003C2EDF"/>
    <w:rsid w:val="003C32B5"/>
    <w:rsid w:val="003C3B31"/>
    <w:rsid w:val="003C40AB"/>
    <w:rsid w:val="003C4286"/>
    <w:rsid w:val="003C46DE"/>
    <w:rsid w:val="003C4AC5"/>
    <w:rsid w:val="003C4F2C"/>
    <w:rsid w:val="003C589A"/>
    <w:rsid w:val="003C593E"/>
    <w:rsid w:val="003C7338"/>
    <w:rsid w:val="003C7B1A"/>
    <w:rsid w:val="003D041D"/>
    <w:rsid w:val="003D04F7"/>
    <w:rsid w:val="003D0511"/>
    <w:rsid w:val="003D0B31"/>
    <w:rsid w:val="003D0E71"/>
    <w:rsid w:val="003D0F96"/>
    <w:rsid w:val="003D1BF6"/>
    <w:rsid w:val="003D1DB0"/>
    <w:rsid w:val="003D20EE"/>
    <w:rsid w:val="003D2720"/>
    <w:rsid w:val="003D2743"/>
    <w:rsid w:val="003D2B56"/>
    <w:rsid w:val="003D2DA3"/>
    <w:rsid w:val="003D351C"/>
    <w:rsid w:val="003D4CFB"/>
    <w:rsid w:val="003D4DF2"/>
    <w:rsid w:val="003D4FA6"/>
    <w:rsid w:val="003D516F"/>
    <w:rsid w:val="003D62D0"/>
    <w:rsid w:val="003D6551"/>
    <w:rsid w:val="003D68F7"/>
    <w:rsid w:val="003D6D38"/>
    <w:rsid w:val="003D6EA6"/>
    <w:rsid w:val="003D7634"/>
    <w:rsid w:val="003D781D"/>
    <w:rsid w:val="003D7DFB"/>
    <w:rsid w:val="003D7F7D"/>
    <w:rsid w:val="003E178B"/>
    <w:rsid w:val="003E19C8"/>
    <w:rsid w:val="003E26B8"/>
    <w:rsid w:val="003E4826"/>
    <w:rsid w:val="003E5A8C"/>
    <w:rsid w:val="003E5D43"/>
    <w:rsid w:val="003E5EA5"/>
    <w:rsid w:val="003E5FA1"/>
    <w:rsid w:val="003E6B15"/>
    <w:rsid w:val="003E6F5D"/>
    <w:rsid w:val="003E772D"/>
    <w:rsid w:val="003F0209"/>
    <w:rsid w:val="003F0AB3"/>
    <w:rsid w:val="003F0CAE"/>
    <w:rsid w:val="003F12EA"/>
    <w:rsid w:val="003F16E8"/>
    <w:rsid w:val="003F1902"/>
    <w:rsid w:val="003F2055"/>
    <w:rsid w:val="003F223A"/>
    <w:rsid w:val="003F2DDB"/>
    <w:rsid w:val="003F3225"/>
    <w:rsid w:val="003F4909"/>
    <w:rsid w:val="003F540D"/>
    <w:rsid w:val="003F6E0C"/>
    <w:rsid w:val="003F75CE"/>
    <w:rsid w:val="003F75F5"/>
    <w:rsid w:val="003F77CD"/>
    <w:rsid w:val="003F789B"/>
    <w:rsid w:val="003F7E58"/>
    <w:rsid w:val="00400324"/>
    <w:rsid w:val="00400492"/>
    <w:rsid w:val="00400876"/>
    <w:rsid w:val="004008C5"/>
    <w:rsid w:val="004008FD"/>
    <w:rsid w:val="0040225C"/>
    <w:rsid w:val="0040306D"/>
    <w:rsid w:val="00403C4E"/>
    <w:rsid w:val="004041FA"/>
    <w:rsid w:val="004046C6"/>
    <w:rsid w:val="00404764"/>
    <w:rsid w:val="004068A8"/>
    <w:rsid w:val="00410DD4"/>
    <w:rsid w:val="00411991"/>
    <w:rsid w:val="00412DE7"/>
    <w:rsid w:val="00413B99"/>
    <w:rsid w:val="0041403A"/>
    <w:rsid w:val="004144DC"/>
    <w:rsid w:val="00414886"/>
    <w:rsid w:val="00414B47"/>
    <w:rsid w:val="00414D6C"/>
    <w:rsid w:val="00415CA2"/>
    <w:rsid w:val="0041653F"/>
    <w:rsid w:val="00416BE2"/>
    <w:rsid w:val="00416E89"/>
    <w:rsid w:val="00416FEF"/>
    <w:rsid w:val="004171AD"/>
    <w:rsid w:val="00417F04"/>
    <w:rsid w:val="00420509"/>
    <w:rsid w:val="0042070E"/>
    <w:rsid w:val="00421179"/>
    <w:rsid w:val="00421539"/>
    <w:rsid w:val="004221B0"/>
    <w:rsid w:val="00422C68"/>
    <w:rsid w:val="00422F51"/>
    <w:rsid w:val="00423C35"/>
    <w:rsid w:val="0042420F"/>
    <w:rsid w:val="00424330"/>
    <w:rsid w:val="004243C0"/>
    <w:rsid w:val="004246EA"/>
    <w:rsid w:val="00424AA2"/>
    <w:rsid w:val="00424B2F"/>
    <w:rsid w:val="00424B58"/>
    <w:rsid w:val="00425148"/>
    <w:rsid w:val="004262BE"/>
    <w:rsid w:val="00426349"/>
    <w:rsid w:val="0042708D"/>
    <w:rsid w:val="004314AC"/>
    <w:rsid w:val="004319D9"/>
    <w:rsid w:val="00431A76"/>
    <w:rsid w:val="004325D5"/>
    <w:rsid w:val="00432752"/>
    <w:rsid w:val="00432918"/>
    <w:rsid w:val="00432994"/>
    <w:rsid w:val="00432AD6"/>
    <w:rsid w:val="0043380A"/>
    <w:rsid w:val="00434070"/>
    <w:rsid w:val="00434A17"/>
    <w:rsid w:val="00434FA5"/>
    <w:rsid w:val="004350DC"/>
    <w:rsid w:val="00435335"/>
    <w:rsid w:val="00435505"/>
    <w:rsid w:val="00435E0E"/>
    <w:rsid w:val="004362C2"/>
    <w:rsid w:val="00436D4C"/>
    <w:rsid w:val="00436FFE"/>
    <w:rsid w:val="00437609"/>
    <w:rsid w:val="00440F03"/>
    <w:rsid w:val="0044138A"/>
    <w:rsid w:val="00441D2D"/>
    <w:rsid w:val="0044212C"/>
    <w:rsid w:val="004427E8"/>
    <w:rsid w:val="004442F0"/>
    <w:rsid w:val="004451E5"/>
    <w:rsid w:val="00445BDA"/>
    <w:rsid w:val="00447258"/>
    <w:rsid w:val="00447786"/>
    <w:rsid w:val="00447D99"/>
    <w:rsid w:val="0045089D"/>
    <w:rsid w:val="00450DBE"/>
    <w:rsid w:val="00450E13"/>
    <w:rsid w:val="0045100E"/>
    <w:rsid w:val="00451B0A"/>
    <w:rsid w:val="00452551"/>
    <w:rsid w:val="00452B34"/>
    <w:rsid w:val="00453353"/>
    <w:rsid w:val="00453B10"/>
    <w:rsid w:val="004544C8"/>
    <w:rsid w:val="0045453F"/>
    <w:rsid w:val="00454711"/>
    <w:rsid w:val="00454AF7"/>
    <w:rsid w:val="0045508B"/>
    <w:rsid w:val="0045686B"/>
    <w:rsid w:val="0045749E"/>
    <w:rsid w:val="00457667"/>
    <w:rsid w:val="004601D5"/>
    <w:rsid w:val="004620D2"/>
    <w:rsid w:val="00462714"/>
    <w:rsid w:val="00462E44"/>
    <w:rsid w:val="00463834"/>
    <w:rsid w:val="00463FB0"/>
    <w:rsid w:val="00464B98"/>
    <w:rsid w:val="00464F17"/>
    <w:rsid w:val="00465727"/>
    <w:rsid w:val="00465F8E"/>
    <w:rsid w:val="004673C2"/>
    <w:rsid w:val="004677D7"/>
    <w:rsid w:val="004710B5"/>
    <w:rsid w:val="00472278"/>
    <w:rsid w:val="00474764"/>
    <w:rsid w:val="00475129"/>
    <w:rsid w:val="004757BA"/>
    <w:rsid w:val="00475C9E"/>
    <w:rsid w:val="004763A6"/>
    <w:rsid w:val="004767BF"/>
    <w:rsid w:val="00477605"/>
    <w:rsid w:val="004776B7"/>
    <w:rsid w:val="004776C1"/>
    <w:rsid w:val="0048091C"/>
    <w:rsid w:val="00481BF2"/>
    <w:rsid w:val="00481DB1"/>
    <w:rsid w:val="00482028"/>
    <w:rsid w:val="00482B54"/>
    <w:rsid w:val="004830DF"/>
    <w:rsid w:val="0048379B"/>
    <w:rsid w:val="004837C0"/>
    <w:rsid w:val="00483A0C"/>
    <w:rsid w:val="00483C55"/>
    <w:rsid w:val="00484787"/>
    <w:rsid w:val="0048485C"/>
    <w:rsid w:val="00484902"/>
    <w:rsid w:val="00484B44"/>
    <w:rsid w:val="00484BC0"/>
    <w:rsid w:val="004853FB"/>
    <w:rsid w:val="0048595A"/>
    <w:rsid w:val="004859D2"/>
    <w:rsid w:val="0048645F"/>
    <w:rsid w:val="00486C88"/>
    <w:rsid w:val="00487020"/>
    <w:rsid w:val="00487869"/>
    <w:rsid w:val="00487E7E"/>
    <w:rsid w:val="00490007"/>
    <w:rsid w:val="00490A74"/>
    <w:rsid w:val="0049114C"/>
    <w:rsid w:val="004924C8"/>
    <w:rsid w:val="004926D5"/>
    <w:rsid w:val="00492A15"/>
    <w:rsid w:val="004932E0"/>
    <w:rsid w:val="00493B30"/>
    <w:rsid w:val="00493BAD"/>
    <w:rsid w:val="00494930"/>
    <w:rsid w:val="00495357"/>
    <w:rsid w:val="0049652F"/>
    <w:rsid w:val="004967F7"/>
    <w:rsid w:val="00497799"/>
    <w:rsid w:val="00497C2D"/>
    <w:rsid w:val="00497F50"/>
    <w:rsid w:val="004A078C"/>
    <w:rsid w:val="004A1474"/>
    <w:rsid w:val="004A1A2D"/>
    <w:rsid w:val="004A21F7"/>
    <w:rsid w:val="004A313B"/>
    <w:rsid w:val="004A385B"/>
    <w:rsid w:val="004A3CB2"/>
    <w:rsid w:val="004A490A"/>
    <w:rsid w:val="004A521C"/>
    <w:rsid w:val="004A55C3"/>
    <w:rsid w:val="004A5E15"/>
    <w:rsid w:val="004A6161"/>
    <w:rsid w:val="004A6A35"/>
    <w:rsid w:val="004A7E56"/>
    <w:rsid w:val="004B01D2"/>
    <w:rsid w:val="004B0605"/>
    <w:rsid w:val="004B0C9C"/>
    <w:rsid w:val="004B0DA2"/>
    <w:rsid w:val="004B1D12"/>
    <w:rsid w:val="004B1FE6"/>
    <w:rsid w:val="004B2128"/>
    <w:rsid w:val="004B2400"/>
    <w:rsid w:val="004B4B8A"/>
    <w:rsid w:val="004B4D01"/>
    <w:rsid w:val="004B4D7F"/>
    <w:rsid w:val="004B65DA"/>
    <w:rsid w:val="004B696A"/>
    <w:rsid w:val="004B7315"/>
    <w:rsid w:val="004B7D36"/>
    <w:rsid w:val="004C0826"/>
    <w:rsid w:val="004C0B37"/>
    <w:rsid w:val="004C1105"/>
    <w:rsid w:val="004C13A4"/>
    <w:rsid w:val="004C1EE2"/>
    <w:rsid w:val="004C26D3"/>
    <w:rsid w:val="004C2803"/>
    <w:rsid w:val="004C2D0D"/>
    <w:rsid w:val="004C4F1D"/>
    <w:rsid w:val="004C55B0"/>
    <w:rsid w:val="004C5C44"/>
    <w:rsid w:val="004C693B"/>
    <w:rsid w:val="004C6A5B"/>
    <w:rsid w:val="004C6DB2"/>
    <w:rsid w:val="004C74CE"/>
    <w:rsid w:val="004D0BF1"/>
    <w:rsid w:val="004D0EA1"/>
    <w:rsid w:val="004D213A"/>
    <w:rsid w:val="004D2FBA"/>
    <w:rsid w:val="004D33B2"/>
    <w:rsid w:val="004D4770"/>
    <w:rsid w:val="004D48E7"/>
    <w:rsid w:val="004D4CB0"/>
    <w:rsid w:val="004D4D70"/>
    <w:rsid w:val="004D5219"/>
    <w:rsid w:val="004D5444"/>
    <w:rsid w:val="004D572D"/>
    <w:rsid w:val="004D58B9"/>
    <w:rsid w:val="004D61D4"/>
    <w:rsid w:val="004D62BB"/>
    <w:rsid w:val="004D6A65"/>
    <w:rsid w:val="004D6A93"/>
    <w:rsid w:val="004D7C60"/>
    <w:rsid w:val="004E1438"/>
    <w:rsid w:val="004E15F8"/>
    <w:rsid w:val="004E2477"/>
    <w:rsid w:val="004E579F"/>
    <w:rsid w:val="004E58DF"/>
    <w:rsid w:val="004E6A04"/>
    <w:rsid w:val="004E70C4"/>
    <w:rsid w:val="004E78CF"/>
    <w:rsid w:val="004F01E2"/>
    <w:rsid w:val="004F1503"/>
    <w:rsid w:val="004F187B"/>
    <w:rsid w:val="004F33D7"/>
    <w:rsid w:val="004F36CA"/>
    <w:rsid w:val="004F399D"/>
    <w:rsid w:val="004F3E39"/>
    <w:rsid w:val="004F4769"/>
    <w:rsid w:val="004F5641"/>
    <w:rsid w:val="004F5FCC"/>
    <w:rsid w:val="004F68CC"/>
    <w:rsid w:val="004F7295"/>
    <w:rsid w:val="004F754F"/>
    <w:rsid w:val="004F77F7"/>
    <w:rsid w:val="00500473"/>
    <w:rsid w:val="00501B3C"/>
    <w:rsid w:val="00501E3E"/>
    <w:rsid w:val="00502443"/>
    <w:rsid w:val="005026B9"/>
    <w:rsid w:val="00502891"/>
    <w:rsid w:val="005030F9"/>
    <w:rsid w:val="0050366F"/>
    <w:rsid w:val="0050375D"/>
    <w:rsid w:val="00503C01"/>
    <w:rsid w:val="00505237"/>
    <w:rsid w:val="0050543A"/>
    <w:rsid w:val="0050569B"/>
    <w:rsid w:val="00505708"/>
    <w:rsid w:val="0050580A"/>
    <w:rsid w:val="00505AAD"/>
    <w:rsid w:val="00505FA8"/>
    <w:rsid w:val="00506192"/>
    <w:rsid w:val="00506EDC"/>
    <w:rsid w:val="00507636"/>
    <w:rsid w:val="00507B1D"/>
    <w:rsid w:val="00510990"/>
    <w:rsid w:val="0051201B"/>
    <w:rsid w:val="005126F5"/>
    <w:rsid w:val="00513D1A"/>
    <w:rsid w:val="00513DB0"/>
    <w:rsid w:val="00513F52"/>
    <w:rsid w:val="005141A6"/>
    <w:rsid w:val="00514ACC"/>
    <w:rsid w:val="00517209"/>
    <w:rsid w:val="00521222"/>
    <w:rsid w:val="00521E2A"/>
    <w:rsid w:val="00523488"/>
    <w:rsid w:val="00525D29"/>
    <w:rsid w:val="00525D2D"/>
    <w:rsid w:val="00525E9F"/>
    <w:rsid w:val="005262DB"/>
    <w:rsid w:val="00527956"/>
    <w:rsid w:val="00527ED9"/>
    <w:rsid w:val="00527F6B"/>
    <w:rsid w:val="00530236"/>
    <w:rsid w:val="005306ED"/>
    <w:rsid w:val="00530937"/>
    <w:rsid w:val="00530964"/>
    <w:rsid w:val="005310B7"/>
    <w:rsid w:val="005321DD"/>
    <w:rsid w:val="00532970"/>
    <w:rsid w:val="00532E00"/>
    <w:rsid w:val="00533715"/>
    <w:rsid w:val="00533828"/>
    <w:rsid w:val="00533F99"/>
    <w:rsid w:val="005345C3"/>
    <w:rsid w:val="005359D2"/>
    <w:rsid w:val="00535B73"/>
    <w:rsid w:val="00535F15"/>
    <w:rsid w:val="0053707F"/>
    <w:rsid w:val="00537164"/>
    <w:rsid w:val="00537420"/>
    <w:rsid w:val="0053754E"/>
    <w:rsid w:val="005375DF"/>
    <w:rsid w:val="0053790E"/>
    <w:rsid w:val="00537BF7"/>
    <w:rsid w:val="00537D59"/>
    <w:rsid w:val="00540174"/>
    <w:rsid w:val="0054131D"/>
    <w:rsid w:val="0054255C"/>
    <w:rsid w:val="005426B8"/>
    <w:rsid w:val="00542975"/>
    <w:rsid w:val="005438EF"/>
    <w:rsid w:val="00543F60"/>
    <w:rsid w:val="00544B51"/>
    <w:rsid w:val="00544F22"/>
    <w:rsid w:val="00544F8B"/>
    <w:rsid w:val="0054509C"/>
    <w:rsid w:val="0054559D"/>
    <w:rsid w:val="00546594"/>
    <w:rsid w:val="00546DAD"/>
    <w:rsid w:val="00546F91"/>
    <w:rsid w:val="00547A9C"/>
    <w:rsid w:val="00547D9A"/>
    <w:rsid w:val="00550D2F"/>
    <w:rsid w:val="00552D91"/>
    <w:rsid w:val="00552F0F"/>
    <w:rsid w:val="00553CAE"/>
    <w:rsid w:val="00553F6F"/>
    <w:rsid w:val="005550FE"/>
    <w:rsid w:val="0055551B"/>
    <w:rsid w:val="00555A81"/>
    <w:rsid w:val="00555DA7"/>
    <w:rsid w:val="005568CF"/>
    <w:rsid w:val="00557E40"/>
    <w:rsid w:val="005606C4"/>
    <w:rsid w:val="00561981"/>
    <w:rsid w:val="00561D44"/>
    <w:rsid w:val="00561E61"/>
    <w:rsid w:val="00561F56"/>
    <w:rsid w:val="00562A6D"/>
    <w:rsid w:val="00562C0B"/>
    <w:rsid w:val="00562D11"/>
    <w:rsid w:val="00563466"/>
    <w:rsid w:val="00564B36"/>
    <w:rsid w:val="005651DC"/>
    <w:rsid w:val="00565486"/>
    <w:rsid w:val="005655D0"/>
    <w:rsid w:val="00565786"/>
    <w:rsid w:val="00565DF5"/>
    <w:rsid w:val="00567FF5"/>
    <w:rsid w:val="00570724"/>
    <w:rsid w:val="00571360"/>
    <w:rsid w:val="005718E2"/>
    <w:rsid w:val="00571DB1"/>
    <w:rsid w:val="00572145"/>
    <w:rsid w:val="00572BD9"/>
    <w:rsid w:val="00573ED3"/>
    <w:rsid w:val="00574161"/>
    <w:rsid w:val="0057555E"/>
    <w:rsid w:val="00575FB6"/>
    <w:rsid w:val="0057786A"/>
    <w:rsid w:val="005778B9"/>
    <w:rsid w:val="0058042F"/>
    <w:rsid w:val="005820C3"/>
    <w:rsid w:val="00582662"/>
    <w:rsid w:val="00582844"/>
    <w:rsid w:val="00582923"/>
    <w:rsid w:val="005830A7"/>
    <w:rsid w:val="00583354"/>
    <w:rsid w:val="00583ACF"/>
    <w:rsid w:val="00583DFA"/>
    <w:rsid w:val="00583FC6"/>
    <w:rsid w:val="005849AF"/>
    <w:rsid w:val="00584FC6"/>
    <w:rsid w:val="00585DEB"/>
    <w:rsid w:val="005860F6"/>
    <w:rsid w:val="005866BB"/>
    <w:rsid w:val="0058674B"/>
    <w:rsid w:val="00586D00"/>
    <w:rsid w:val="005870C5"/>
    <w:rsid w:val="005904A9"/>
    <w:rsid w:val="0059075B"/>
    <w:rsid w:val="00590BD9"/>
    <w:rsid w:val="005914CD"/>
    <w:rsid w:val="00591E0A"/>
    <w:rsid w:val="00591ED0"/>
    <w:rsid w:val="0059259F"/>
    <w:rsid w:val="00593CCA"/>
    <w:rsid w:val="00594067"/>
    <w:rsid w:val="005944F3"/>
    <w:rsid w:val="005945FA"/>
    <w:rsid w:val="0059476D"/>
    <w:rsid w:val="0059488E"/>
    <w:rsid w:val="00594988"/>
    <w:rsid w:val="00594B41"/>
    <w:rsid w:val="00595450"/>
    <w:rsid w:val="00595CA6"/>
    <w:rsid w:val="00595E94"/>
    <w:rsid w:val="00596049"/>
    <w:rsid w:val="00597643"/>
    <w:rsid w:val="00597BFB"/>
    <w:rsid w:val="00597D06"/>
    <w:rsid w:val="005A06E0"/>
    <w:rsid w:val="005A0FB7"/>
    <w:rsid w:val="005A1D88"/>
    <w:rsid w:val="005A1FE0"/>
    <w:rsid w:val="005A20E9"/>
    <w:rsid w:val="005A2167"/>
    <w:rsid w:val="005A35D9"/>
    <w:rsid w:val="005A3604"/>
    <w:rsid w:val="005A3E76"/>
    <w:rsid w:val="005A40A2"/>
    <w:rsid w:val="005A40CB"/>
    <w:rsid w:val="005A51EB"/>
    <w:rsid w:val="005A5445"/>
    <w:rsid w:val="005A59FA"/>
    <w:rsid w:val="005A5CC2"/>
    <w:rsid w:val="005A6182"/>
    <w:rsid w:val="005A61EA"/>
    <w:rsid w:val="005A68C3"/>
    <w:rsid w:val="005B0A51"/>
    <w:rsid w:val="005B1646"/>
    <w:rsid w:val="005B16F7"/>
    <w:rsid w:val="005B1A6E"/>
    <w:rsid w:val="005B1D04"/>
    <w:rsid w:val="005B1F9C"/>
    <w:rsid w:val="005B28BF"/>
    <w:rsid w:val="005B3C45"/>
    <w:rsid w:val="005B4824"/>
    <w:rsid w:val="005B4830"/>
    <w:rsid w:val="005B5E26"/>
    <w:rsid w:val="005B5FF5"/>
    <w:rsid w:val="005B6537"/>
    <w:rsid w:val="005B6637"/>
    <w:rsid w:val="005B7398"/>
    <w:rsid w:val="005B74F6"/>
    <w:rsid w:val="005B7A58"/>
    <w:rsid w:val="005B7EC8"/>
    <w:rsid w:val="005C005F"/>
    <w:rsid w:val="005C084C"/>
    <w:rsid w:val="005C0DAD"/>
    <w:rsid w:val="005C128B"/>
    <w:rsid w:val="005C12FF"/>
    <w:rsid w:val="005C148F"/>
    <w:rsid w:val="005C15C5"/>
    <w:rsid w:val="005C1710"/>
    <w:rsid w:val="005C2217"/>
    <w:rsid w:val="005C2711"/>
    <w:rsid w:val="005C2C34"/>
    <w:rsid w:val="005C2E37"/>
    <w:rsid w:val="005C344B"/>
    <w:rsid w:val="005C34C1"/>
    <w:rsid w:val="005C3A64"/>
    <w:rsid w:val="005C3DDB"/>
    <w:rsid w:val="005C4409"/>
    <w:rsid w:val="005C445B"/>
    <w:rsid w:val="005C4D4E"/>
    <w:rsid w:val="005C5AAD"/>
    <w:rsid w:val="005C773B"/>
    <w:rsid w:val="005C7C4B"/>
    <w:rsid w:val="005D00E5"/>
    <w:rsid w:val="005D029E"/>
    <w:rsid w:val="005D0B7E"/>
    <w:rsid w:val="005D0E49"/>
    <w:rsid w:val="005D1584"/>
    <w:rsid w:val="005D31E0"/>
    <w:rsid w:val="005D32B8"/>
    <w:rsid w:val="005D32DB"/>
    <w:rsid w:val="005D38A7"/>
    <w:rsid w:val="005D480F"/>
    <w:rsid w:val="005D77F1"/>
    <w:rsid w:val="005E00ED"/>
    <w:rsid w:val="005E030F"/>
    <w:rsid w:val="005E07B7"/>
    <w:rsid w:val="005E1BD7"/>
    <w:rsid w:val="005E2073"/>
    <w:rsid w:val="005E2280"/>
    <w:rsid w:val="005E237F"/>
    <w:rsid w:val="005E3039"/>
    <w:rsid w:val="005E3D5A"/>
    <w:rsid w:val="005E3F73"/>
    <w:rsid w:val="005E4784"/>
    <w:rsid w:val="005E4E69"/>
    <w:rsid w:val="005E4F1A"/>
    <w:rsid w:val="005E577E"/>
    <w:rsid w:val="005E581D"/>
    <w:rsid w:val="005E5FA0"/>
    <w:rsid w:val="005E7096"/>
    <w:rsid w:val="005E759A"/>
    <w:rsid w:val="005E7F86"/>
    <w:rsid w:val="005F04F1"/>
    <w:rsid w:val="005F1476"/>
    <w:rsid w:val="005F1642"/>
    <w:rsid w:val="005F397E"/>
    <w:rsid w:val="005F39D4"/>
    <w:rsid w:val="005F521E"/>
    <w:rsid w:val="005F6009"/>
    <w:rsid w:val="005F6272"/>
    <w:rsid w:val="005F648E"/>
    <w:rsid w:val="005F68FC"/>
    <w:rsid w:val="005F7261"/>
    <w:rsid w:val="005F7344"/>
    <w:rsid w:val="005F7E4E"/>
    <w:rsid w:val="00600319"/>
    <w:rsid w:val="00600D65"/>
    <w:rsid w:val="00600E9F"/>
    <w:rsid w:val="00601C7A"/>
    <w:rsid w:val="00601F9C"/>
    <w:rsid w:val="00602F27"/>
    <w:rsid w:val="0060335A"/>
    <w:rsid w:val="0060389F"/>
    <w:rsid w:val="00603BDE"/>
    <w:rsid w:val="006042F4"/>
    <w:rsid w:val="006049B8"/>
    <w:rsid w:val="00604E3B"/>
    <w:rsid w:val="00605088"/>
    <w:rsid w:val="00605404"/>
    <w:rsid w:val="006054C6"/>
    <w:rsid w:val="00605D3A"/>
    <w:rsid w:val="00606214"/>
    <w:rsid w:val="0060674F"/>
    <w:rsid w:val="00606DCF"/>
    <w:rsid w:val="0060754F"/>
    <w:rsid w:val="00607AE1"/>
    <w:rsid w:val="00607ECB"/>
    <w:rsid w:val="0061098F"/>
    <w:rsid w:val="00610E75"/>
    <w:rsid w:val="00611533"/>
    <w:rsid w:val="0061185E"/>
    <w:rsid w:val="006120D7"/>
    <w:rsid w:val="006126FB"/>
    <w:rsid w:val="00613036"/>
    <w:rsid w:val="006138F3"/>
    <w:rsid w:val="00613D10"/>
    <w:rsid w:val="006142A2"/>
    <w:rsid w:val="00614356"/>
    <w:rsid w:val="0061436B"/>
    <w:rsid w:val="006150EF"/>
    <w:rsid w:val="00615A09"/>
    <w:rsid w:val="00615D9C"/>
    <w:rsid w:val="00616B65"/>
    <w:rsid w:val="006201C4"/>
    <w:rsid w:val="00620C05"/>
    <w:rsid w:val="00620E66"/>
    <w:rsid w:val="006211B0"/>
    <w:rsid w:val="00622827"/>
    <w:rsid w:val="006228A3"/>
    <w:rsid w:val="00623DA7"/>
    <w:rsid w:val="00623E4D"/>
    <w:rsid w:val="0062431D"/>
    <w:rsid w:val="00624AC1"/>
    <w:rsid w:val="00625108"/>
    <w:rsid w:val="00625687"/>
    <w:rsid w:val="00625D0C"/>
    <w:rsid w:val="00626446"/>
    <w:rsid w:val="00626578"/>
    <w:rsid w:val="006265CA"/>
    <w:rsid w:val="006265F0"/>
    <w:rsid w:val="006266DF"/>
    <w:rsid w:val="006271BB"/>
    <w:rsid w:val="0063031F"/>
    <w:rsid w:val="006303A4"/>
    <w:rsid w:val="006304AC"/>
    <w:rsid w:val="006308D0"/>
    <w:rsid w:val="006311BB"/>
    <w:rsid w:val="00631283"/>
    <w:rsid w:val="00631346"/>
    <w:rsid w:val="00631ADE"/>
    <w:rsid w:val="006321D2"/>
    <w:rsid w:val="006328FF"/>
    <w:rsid w:val="00632C20"/>
    <w:rsid w:val="00632DCA"/>
    <w:rsid w:val="00633284"/>
    <w:rsid w:val="006332E6"/>
    <w:rsid w:val="006336BB"/>
    <w:rsid w:val="00634EDF"/>
    <w:rsid w:val="0063522C"/>
    <w:rsid w:val="00635244"/>
    <w:rsid w:val="0063553D"/>
    <w:rsid w:val="0063570A"/>
    <w:rsid w:val="006358BC"/>
    <w:rsid w:val="00636113"/>
    <w:rsid w:val="00637406"/>
    <w:rsid w:val="00637647"/>
    <w:rsid w:val="00640010"/>
    <w:rsid w:val="00640190"/>
    <w:rsid w:val="0064038E"/>
    <w:rsid w:val="0064044F"/>
    <w:rsid w:val="006407CD"/>
    <w:rsid w:val="00640BD1"/>
    <w:rsid w:val="00640D9B"/>
    <w:rsid w:val="0064168F"/>
    <w:rsid w:val="00641BA6"/>
    <w:rsid w:val="00642018"/>
    <w:rsid w:val="0064463E"/>
    <w:rsid w:val="00644FD3"/>
    <w:rsid w:val="0064512B"/>
    <w:rsid w:val="006454E5"/>
    <w:rsid w:val="006455E1"/>
    <w:rsid w:val="00645EB6"/>
    <w:rsid w:val="00646422"/>
    <w:rsid w:val="006466A0"/>
    <w:rsid w:val="00646DA4"/>
    <w:rsid w:val="006473CC"/>
    <w:rsid w:val="0064779F"/>
    <w:rsid w:val="006509DC"/>
    <w:rsid w:val="00650B6E"/>
    <w:rsid w:val="00650F28"/>
    <w:rsid w:val="00651405"/>
    <w:rsid w:val="006517CC"/>
    <w:rsid w:val="0065316B"/>
    <w:rsid w:val="0065406B"/>
    <w:rsid w:val="0065497A"/>
    <w:rsid w:val="00654A50"/>
    <w:rsid w:val="00655BC2"/>
    <w:rsid w:val="00655F0C"/>
    <w:rsid w:val="00656673"/>
    <w:rsid w:val="0065711D"/>
    <w:rsid w:val="0065718F"/>
    <w:rsid w:val="00657492"/>
    <w:rsid w:val="006577D9"/>
    <w:rsid w:val="00657B63"/>
    <w:rsid w:val="0066020A"/>
    <w:rsid w:val="00660504"/>
    <w:rsid w:val="00661BFF"/>
    <w:rsid w:val="00662B00"/>
    <w:rsid w:val="0066330F"/>
    <w:rsid w:val="00663352"/>
    <w:rsid w:val="006636A3"/>
    <w:rsid w:val="00663C5A"/>
    <w:rsid w:val="006643A5"/>
    <w:rsid w:val="006650AC"/>
    <w:rsid w:val="006653CA"/>
    <w:rsid w:val="006653D4"/>
    <w:rsid w:val="00665477"/>
    <w:rsid w:val="00665526"/>
    <w:rsid w:val="00665760"/>
    <w:rsid w:val="00665924"/>
    <w:rsid w:val="006659D8"/>
    <w:rsid w:val="0066650E"/>
    <w:rsid w:val="00666994"/>
    <w:rsid w:val="00667678"/>
    <w:rsid w:val="006704AF"/>
    <w:rsid w:val="0067160C"/>
    <w:rsid w:val="00671F42"/>
    <w:rsid w:val="006720C3"/>
    <w:rsid w:val="006722FE"/>
    <w:rsid w:val="006723E2"/>
    <w:rsid w:val="00672423"/>
    <w:rsid w:val="006728CD"/>
    <w:rsid w:val="0067291B"/>
    <w:rsid w:val="00672F9A"/>
    <w:rsid w:val="00673CE2"/>
    <w:rsid w:val="006747F9"/>
    <w:rsid w:val="00674A52"/>
    <w:rsid w:val="00674DC9"/>
    <w:rsid w:val="00674F17"/>
    <w:rsid w:val="006751A8"/>
    <w:rsid w:val="00676935"/>
    <w:rsid w:val="006779F9"/>
    <w:rsid w:val="00677AA0"/>
    <w:rsid w:val="006809FE"/>
    <w:rsid w:val="00681158"/>
    <w:rsid w:val="00681DF7"/>
    <w:rsid w:val="0068254D"/>
    <w:rsid w:val="00682C01"/>
    <w:rsid w:val="00683080"/>
    <w:rsid w:val="0068350D"/>
    <w:rsid w:val="0068375B"/>
    <w:rsid w:val="006851F3"/>
    <w:rsid w:val="00685EA4"/>
    <w:rsid w:val="00687083"/>
    <w:rsid w:val="00687977"/>
    <w:rsid w:val="00687F0B"/>
    <w:rsid w:val="00691000"/>
    <w:rsid w:val="0069101F"/>
    <w:rsid w:val="006911BD"/>
    <w:rsid w:val="006928E5"/>
    <w:rsid w:val="00692FEA"/>
    <w:rsid w:val="006931A3"/>
    <w:rsid w:val="006932C7"/>
    <w:rsid w:val="0069363B"/>
    <w:rsid w:val="00693B5E"/>
    <w:rsid w:val="00693BE2"/>
    <w:rsid w:val="00694B3E"/>
    <w:rsid w:val="0069538E"/>
    <w:rsid w:val="006954F4"/>
    <w:rsid w:val="00695946"/>
    <w:rsid w:val="006970B5"/>
    <w:rsid w:val="00697D2B"/>
    <w:rsid w:val="00697FB8"/>
    <w:rsid w:val="006A1764"/>
    <w:rsid w:val="006A207A"/>
    <w:rsid w:val="006A240A"/>
    <w:rsid w:val="006A25F7"/>
    <w:rsid w:val="006A2C4C"/>
    <w:rsid w:val="006A392D"/>
    <w:rsid w:val="006A3D0F"/>
    <w:rsid w:val="006A3D60"/>
    <w:rsid w:val="006A40FA"/>
    <w:rsid w:val="006A44BC"/>
    <w:rsid w:val="006A45D4"/>
    <w:rsid w:val="006A51C6"/>
    <w:rsid w:val="006A51F8"/>
    <w:rsid w:val="006A584A"/>
    <w:rsid w:val="006A58D0"/>
    <w:rsid w:val="006A5FAE"/>
    <w:rsid w:val="006A5FD9"/>
    <w:rsid w:val="006A6270"/>
    <w:rsid w:val="006A64DE"/>
    <w:rsid w:val="006A672E"/>
    <w:rsid w:val="006A676E"/>
    <w:rsid w:val="006A6BD0"/>
    <w:rsid w:val="006A6D1C"/>
    <w:rsid w:val="006A6EAD"/>
    <w:rsid w:val="006A7231"/>
    <w:rsid w:val="006A731A"/>
    <w:rsid w:val="006A7FC8"/>
    <w:rsid w:val="006B133F"/>
    <w:rsid w:val="006B1A5B"/>
    <w:rsid w:val="006B1E6D"/>
    <w:rsid w:val="006B2D73"/>
    <w:rsid w:val="006B43DF"/>
    <w:rsid w:val="006B4B84"/>
    <w:rsid w:val="006B532C"/>
    <w:rsid w:val="006B573E"/>
    <w:rsid w:val="006B5924"/>
    <w:rsid w:val="006B5FDD"/>
    <w:rsid w:val="006B6117"/>
    <w:rsid w:val="006B61B3"/>
    <w:rsid w:val="006B71E2"/>
    <w:rsid w:val="006B7385"/>
    <w:rsid w:val="006B7625"/>
    <w:rsid w:val="006B7683"/>
    <w:rsid w:val="006C0A73"/>
    <w:rsid w:val="006C1622"/>
    <w:rsid w:val="006C1DA8"/>
    <w:rsid w:val="006C1DB1"/>
    <w:rsid w:val="006C22E5"/>
    <w:rsid w:val="006C2633"/>
    <w:rsid w:val="006C27DB"/>
    <w:rsid w:val="006C2848"/>
    <w:rsid w:val="006C377D"/>
    <w:rsid w:val="006C39FD"/>
    <w:rsid w:val="006C4910"/>
    <w:rsid w:val="006C574A"/>
    <w:rsid w:val="006C59F8"/>
    <w:rsid w:val="006C5F2B"/>
    <w:rsid w:val="006C69A6"/>
    <w:rsid w:val="006C6B02"/>
    <w:rsid w:val="006C6C3B"/>
    <w:rsid w:val="006C6C48"/>
    <w:rsid w:val="006C743C"/>
    <w:rsid w:val="006D01ED"/>
    <w:rsid w:val="006D059E"/>
    <w:rsid w:val="006D098B"/>
    <w:rsid w:val="006D1386"/>
    <w:rsid w:val="006D233E"/>
    <w:rsid w:val="006D27E4"/>
    <w:rsid w:val="006D3044"/>
    <w:rsid w:val="006D3490"/>
    <w:rsid w:val="006D398E"/>
    <w:rsid w:val="006D40D3"/>
    <w:rsid w:val="006D4569"/>
    <w:rsid w:val="006D4645"/>
    <w:rsid w:val="006D4982"/>
    <w:rsid w:val="006D4B58"/>
    <w:rsid w:val="006D4D5F"/>
    <w:rsid w:val="006D4F96"/>
    <w:rsid w:val="006D571D"/>
    <w:rsid w:val="006D6FB1"/>
    <w:rsid w:val="006E0123"/>
    <w:rsid w:val="006E0B94"/>
    <w:rsid w:val="006E10F5"/>
    <w:rsid w:val="006E148F"/>
    <w:rsid w:val="006E1714"/>
    <w:rsid w:val="006E196D"/>
    <w:rsid w:val="006E2323"/>
    <w:rsid w:val="006E271D"/>
    <w:rsid w:val="006E37FB"/>
    <w:rsid w:val="006E43EC"/>
    <w:rsid w:val="006E497B"/>
    <w:rsid w:val="006E5300"/>
    <w:rsid w:val="006E5EFE"/>
    <w:rsid w:val="006E5FAB"/>
    <w:rsid w:val="006E6004"/>
    <w:rsid w:val="006E64E9"/>
    <w:rsid w:val="006E6615"/>
    <w:rsid w:val="006E6DF6"/>
    <w:rsid w:val="006F0131"/>
    <w:rsid w:val="006F04D9"/>
    <w:rsid w:val="006F088D"/>
    <w:rsid w:val="006F0ABA"/>
    <w:rsid w:val="006F10C2"/>
    <w:rsid w:val="006F1406"/>
    <w:rsid w:val="006F1824"/>
    <w:rsid w:val="006F1D2B"/>
    <w:rsid w:val="006F25A5"/>
    <w:rsid w:val="006F3A19"/>
    <w:rsid w:val="006F3CDD"/>
    <w:rsid w:val="006F42EB"/>
    <w:rsid w:val="006F47BD"/>
    <w:rsid w:val="006F4D09"/>
    <w:rsid w:val="006F6306"/>
    <w:rsid w:val="006F66B7"/>
    <w:rsid w:val="006F68AC"/>
    <w:rsid w:val="006F6B37"/>
    <w:rsid w:val="006F6C7E"/>
    <w:rsid w:val="006F79C0"/>
    <w:rsid w:val="006F7B26"/>
    <w:rsid w:val="006F7E2B"/>
    <w:rsid w:val="00700217"/>
    <w:rsid w:val="00700906"/>
    <w:rsid w:val="00700A61"/>
    <w:rsid w:val="00700C4B"/>
    <w:rsid w:val="00701651"/>
    <w:rsid w:val="00702012"/>
    <w:rsid w:val="0070254C"/>
    <w:rsid w:val="00702713"/>
    <w:rsid w:val="00702BDF"/>
    <w:rsid w:val="00703BF0"/>
    <w:rsid w:val="00703E1D"/>
    <w:rsid w:val="00704624"/>
    <w:rsid w:val="007047E8"/>
    <w:rsid w:val="007054CF"/>
    <w:rsid w:val="00705513"/>
    <w:rsid w:val="00705D40"/>
    <w:rsid w:val="0070701D"/>
    <w:rsid w:val="007070C0"/>
    <w:rsid w:val="00707CB7"/>
    <w:rsid w:val="00707E80"/>
    <w:rsid w:val="00710BF4"/>
    <w:rsid w:val="00711183"/>
    <w:rsid w:val="0071139A"/>
    <w:rsid w:val="00712388"/>
    <w:rsid w:val="00712CE4"/>
    <w:rsid w:val="00713972"/>
    <w:rsid w:val="0071416E"/>
    <w:rsid w:val="007143CA"/>
    <w:rsid w:val="00714A9B"/>
    <w:rsid w:val="00714B78"/>
    <w:rsid w:val="00715398"/>
    <w:rsid w:val="00715717"/>
    <w:rsid w:val="00716272"/>
    <w:rsid w:val="00716B6B"/>
    <w:rsid w:val="007171D9"/>
    <w:rsid w:val="00717285"/>
    <w:rsid w:val="00717364"/>
    <w:rsid w:val="007178FB"/>
    <w:rsid w:val="00717980"/>
    <w:rsid w:val="00717C87"/>
    <w:rsid w:val="007208BC"/>
    <w:rsid w:val="0072090C"/>
    <w:rsid w:val="00721161"/>
    <w:rsid w:val="007218FD"/>
    <w:rsid w:val="00721A0C"/>
    <w:rsid w:val="00721E70"/>
    <w:rsid w:val="00722574"/>
    <w:rsid w:val="0072275D"/>
    <w:rsid w:val="007227F0"/>
    <w:rsid w:val="00722BAF"/>
    <w:rsid w:val="00722C41"/>
    <w:rsid w:val="00722D13"/>
    <w:rsid w:val="00723012"/>
    <w:rsid w:val="007237D9"/>
    <w:rsid w:val="00723C91"/>
    <w:rsid w:val="007243D4"/>
    <w:rsid w:val="0072561E"/>
    <w:rsid w:val="00725B40"/>
    <w:rsid w:val="0072618E"/>
    <w:rsid w:val="007262CF"/>
    <w:rsid w:val="00726568"/>
    <w:rsid w:val="00726C93"/>
    <w:rsid w:val="00727532"/>
    <w:rsid w:val="00727535"/>
    <w:rsid w:val="00727582"/>
    <w:rsid w:val="00727883"/>
    <w:rsid w:val="0073026C"/>
    <w:rsid w:val="007315EA"/>
    <w:rsid w:val="00731C5D"/>
    <w:rsid w:val="00732582"/>
    <w:rsid w:val="00732E28"/>
    <w:rsid w:val="0073382C"/>
    <w:rsid w:val="00733D0F"/>
    <w:rsid w:val="0073481B"/>
    <w:rsid w:val="00734A31"/>
    <w:rsid w:val="00735525"/>
    <w:rsid w:val="007355CD"/>
    <w:rsid w:val="00736346"/>
    <w:rsid w:val="0073657C"/>
    <w:rsid w:val="00736612"/>
    <w:rsid w:val="00736B7B"/>
    <w:rsid w:val="00737193"/>
    <w:rsid w:val="007375C6"/>
    <w:rsid w:val="0074076F"/>
    <w:rsid w:val="007421AE"/>
    <w:rsid w:val="00742E3E"/>
    <w:rsid w:val="00742FA0"/>
    <w:rsid w:val="00743129"/>
    <w:rsid w:val="00743A03"/>
    <w:rsid w:val="00743D3B"/>
    <w:rsid w:val="00744B5E"/>
    <w:rsid w:val="00744C91"/>
    <w:rsid w:val="0074555A"/>
    <w:rsid w:val="00745DE2"/>
    <w:rsid w:val="00746000"/>
    <w:rsid w:val="00746032"/>
    <w:rsid w:val="00746CD5"/>
    <w:rsid w:val="00746CFF"/>
    <w:rsid w:val="0075010E"/>
    <w:rsid w:val="007502EF"/>
    <w:rsid w:val="00750E1F"/>
    <w:rsid w:val="00751484"/>
    <w:rsid w:val="007520EE"/>
    <w:rsid w:val="0075280B"/>
    <w:rsid w:val="007536CC"/>
    <w:rsid w:val="0075414E"/>
    <w:rsid w:val="007545FB"/>
    <w:rsid w:val="00754CA8"/>
    <w:rsid w:val="00755B4E"/>
    <w:rsid w:val="00756032"/>
    <w:rsid w:val="0075609E"/>
    <w:rsid w:val="00756E33"/>
    <w:rsid w:val="00757B9A"/>
    <w:rsid w:val="00757D7B"/>
    <w:rsid w:val="007617ED"/>
    <w:rsid w:val="00761B28"/>
    <w:rsid w:val="0076222F"/>
    <w:rsid w:val="00762511"/>
    <w:rsid w:val="00763262"/>
    <w:rsid w:val="00763B13"/>
    <w:rsid w:val="0076429A"/>
    <w:rsid w:val="007642D2"/>
    <w:rsid w:val="007648E2"/>
    <w:rsid w:val="00764ED4"/>
    <w:rsid w:val="00765356"/>
    <w:rsid w:val="00765BBC"/>
    <w:rsid w:val="0076605C"/>
    <w:rsid w:val="007666AA"/>
    <w:rsid w:val="007707E3"/>
    <w:rsid w:val="00770DE0"/>
    <w:rsid w:val="00770E10"/>
    <w:rsid w:val="00771076"/>
    <w:rsid w:val="00771B89"/>
    <w:rsid w:val="00771C88"/>
    <w:rsid w:val="00772745"/>
    <w:rsid w:val="00772A01"/>
    <w:rsid w:val="00773F9C"/>
    <w:rsid w:val="00774213"/>
    <w:rsid w:val="0077439F"/>
    <w:rsid w:val="00774E77"/>
    <w:rsid w:val="00774F6B"/>
    <w:rsid w:val="00775014"/>
    <w:rsid w:val="007773C5"/>
    <w:rsid w:val="00777B5D"/>
    <w:rsid w:val="00777BFA"/>
    <w:rsid w:val="00777D48"/>
    <w:rsid w:val="00780482"/>
    <w:rsid w:val="00780972"/>
    <w:rsid w:val="00780E7B"/>
    <w:rsid w:val="00780FA6"/>
    <w:rsid w:val="00781017"/>
    <w:rsid w:val="00781596"/>
    <w:rsid w:val="0078189C"/>
    <w:rsid w:val="007819CA"/>
    <w:rsid w:val="00781A98"/>
    <w:rsid w:val="00781C7F"/>
    <w:rsid w:val="00781E84"/>
    <w:rsid w:val="00782F46"/>
    <w:rsid w:val="007832E2"/>
    <w:rsid w:val="00785B14"/>
    <w:rsid w:val="00785B7B"/>
    <w:rsid w:val="00786325"/>
    <w:rsid w:val="0078632D"/>
    <w:rsid w:val="007864B2"/>
    <w:rsid w:val="007865A0"/>
    <w:rsid w:val="00786812"/>
    <w:rsid w:val="007869D8"/>
    <w:rsid w:val="00786B73"/>
    <w:rsid w:val="00787819"/>
    <w:rsid w:val="00787906"/>
    <w:rsid w:val="00787CC6"/>
    <w:rsid w:val="00790893"/>
    <w:rsid w:val="00790C45"/>
    <w:rsid w:val="00791A86"/>
    <w:rsid w:val="00791B77"/>
    <w:rsid w:val="00791BB7"/>
    <w:rsid w:val="0079214F"/>
    <w:rsid w:val="00792277"/>
    <w:rsid w:val="00792BD8"/>
    <w:rsid w:val="00793EA4"/>
    <w:rsid w:val="00794812"/>
    <w:rsid w:val="00794C82"/>
    <w:rsid w:val="00794D86"/>
    <w:rsid w:val="00794E74"/>
    <w:rsid w:val="0079521C"/>
    <w:rsid w:val="00795A97"/>
    <w:rsid w:val="0079646D"/>
    <w:rsid w:val="00796A15"/>
    <w:rsid w:val="007979B0"/>
    <w:rsid w:val="00797CE2"/>
    <w:rsid w:val="007A13DB"/>
    <w:rsid w:val="007A17A4"/>
    <w:rsid w:val="007A2683"/>
    <w:rsid w:val="007A2C08"/>
    <w:rsid w:val="007A3380"/>
    <w:rsid w:val="007A340E"/>
    <w:rsid w:val="007A3909"/>
    <w:rsid w:val="007A3DDB"/>
    <w:rsid w:val="007A4A50"/>
    <w:rsid w:val="007A4FEB"/>
    <w:rsid w:val="007A50A6"/>
    <w:rsid w:val="007A589E"/>
    <w:rsid w:val="007A5D09"/>
    <w:rsid w:val="007A5FF4"/>
    <w:rsid w:val="007A6C56"/>
    <w:rsid w:val="007A70A5"/>
    <w:rsid w:val="007A783F"/>
    <w:rsid w:val="007A7848"/>
    <w:rsid w:val="007B0046"/>
    <w:rsid w:val="007B0A31"/>
    <w:rsid w:val="007B0D18"/>
    <w:rsid w:val="007B10B4"/>
    <w:rsid w:val="007B161E"/>
    <w:rsid w:val="007B18D3"/>
    <w:rsid w:val="007B1C9C"/>
    <w:rsid w:val="007B2708"/>
    <w:rsid w:val="007B3592"/>
    <w:rsid w:val="007B38EE"/>
    <w:rsid w:val="007B3C83"/>
    <w:rsid w:val="007B5FD4"/>
    <w:rsid w:val="007B6FEB"/>
    <w:rsid w:val="007B772F"/>
    <w:rsid w:val="007B77CD"/>
    <w:rsid w:val="007C0480"/>
    <w:rsid w:val="007C0909"/>
    <w:rsid w:val="007C197E"/>
    <w:rsid w:val="007C254C"/>
    <w:rsid w:val="007C2895"/>
    <w:rsid w:val="007C2CDB"/>
    <w:rsid w:val="007C3124"/>
    <w:rsid w:val="007C3EC7"/>
    <w:rsid w:val="007C3F40"/>
    <w:rsid w:val="007C3F66"/>
    <w:rsid w:val="007C4034"/>
    <w:rsid w:val="007C5520"/>
    <w:rsid w:val="007C5647"/>
    <w:rsid w:val="007C5914"/>
    <w:rsid w:val="007C6AA4"/>
    <w:rsid w:val="007C6BEC"/>
    <w:rsid w:val="007C6D51"/>
    <w:rsid w:val="007C7966"/>
    <w:rsid w:val="007C7983"/>
    <w:rsid w:val="007D0E82"/>
    <w:rsid w:val="007D0EE4"/>
    <w:rsid w:val="007D1094"/>
    <w:rsid w:val="007D113B"/>
    <w:rsid w:val="007D19BE"/>
    <w:rsid w:val="007D250D"/>
    <w:rsid w:val="007D2983"/>
    <w:rsid w:val="007D381B"/>
    <w:rsid w:val="007D415A"/>
    <w:rsid w:val="007D4200"/>
    <w:rsid w:val="007D47D3"/>
    <w:rsid w:val="007D485A"/>
    <w:rsid w:val="007D5B1F"/>
    <w:rsid w:val="007D5B90"/>
    <w:rsid w:val="007D6961"/>
    <w:rsid w:val="007D6DA9"/>
    <w:rsid w:val="007D6E94"/>
    <w:rsid w:val="007D75EF"/>
    <w:rsid w:val="007D76D1"/>
    <w:rsid w:val="007D7EDF"/>
    <w:rsid w:val="007E02C7"/>
    <w:rsid w:val="007E150C"/>
    <w:rsid w:val="007E2344"/>
    <w:rsid w:val="007E248C"/>
    <w:rsid w:val="007E2BCE"/>
    <w:rsid w:val="007E2E66"/>
    <w:rsid w:val="007E3133"/>
    <w:rsid w:val="007E36F4"/>
    <w:rsid w:val="007E39F3"/>
    <w:rsid w:val="007E3A1A"/>
    <w:rsid w:val="007E406B"/>
    <w:rsid w:val="007E4451"/>
    <w:rsid w:val="007E4A29"/>
    <w:rsid w:val="007E4D57"/>
    <w:rsid w:val="007E5E3D"/>
    <w:rsid w:val="007E60AF"/>
    <w:rsid w:val="007E6C5B"/>
    <w:rsid w:val="007F072E"/>
    <w:rsid w:val="007F0AEC"/>
    <w:rsid w:val="007F0C66"/>
    <w:rsid w:val="007F0E2E"/>
    <w:rsid w:val="007F1085"/>
    <w:rsid w:val="007F2E09"/>
    <w:rsid w:val="007F413E"/>
    <w:rsid w:val="007F43BE"/>
    <w:rsid w:val="007F51FB"/>
    <w:rsid w:val="007F53B7"/>
    <w:rsid w:val="007F57E7"/>
    <w:rsid w:val="007F5B26"/>
    <w:rsid w:val="007F5C77"/>
    <w:rsid w:val="007F660B"/>
    <w:rsid w:val="007F6805"/>
    <w:rsid w:val="007F6A42"/>
    <w:rsid w:val="007F6B77"/>
    <w:rsid w:val="007F715F"/>
    <w:rsid w:val="007F7B28"/>
    <w:rsid w:val="00800D4D"/>
    <w:rsid w:val="0080199F"/>
    <w:rsid w:val="00801A8A"/>
    <w:rsid w:val="00801BC7"/>
    <w:rsid w:val="0080219E"/>
    <w:rsid w:val="008028D6"/>
    <w:rsid w:val="00802B1A"/>
    <w:rsid w:val="00802F6B"/>
    <w:rsid w:val="00803641"/>
    <w:rsid w:val="008040E6"/>
    <w:rsid w:val="0080480A"/>
    <w:rsid w:val="00804B7F"/>
    <w:rsid w:val="00804DB2"/>
    <w:rsid w:val="0080505A"/>
    <w:rsid w:val="00805857"/>
    <w:rsid w:val="00806A00"/>
    <w:rsid w:val="00806BEF"/>
    <w:rsid w:val="00807133"/>
    <w:rsid w:val="0080752A"/>
    <w:rsid w:val="00807674"/>
    <w:rsid w:val="00807748"/>
    <w:rsid w:val="00810E7B"/>
    <w:rsid w:val="00811AAC"/>
    <w:rsid w:val="00812866"/>
    <w:rsid w:val="00812DC9"/>
    <w:rsid w:val="00813301"/>
    <w:rsid w:val="008135E0"/>
    <w:rsid w:val="00813B98"/>
    <w:rsid w:val="008140AA"/>
    <w:rsid w:val="00814838"/>
    <w:rsid w:val="00815B65"/>
    <w:rsid w:val="008160FC"/>
    <w:rsid w:val="00816B51"/>
    <w:rsid w:val="0081726B"/>
    <w:rsid w:val="00817571"/>
    <w:rsid w:val="00817965"/>
    <w:rsid w:val="00817BDB"/>
    <w:rsid w:val="00817F98"/>
    <w:rsid w:val="008204D8"/>
    <w:rsid w:val="008211FB"/>
    <w:rsid w:val="00821493"/>
    <w:rsid w:val="008217CD"/>
    <w:rsid w:val="008221F9"/>
    <w:rsid w:val="00822A1F"/>
    <w:rsid w:val="008231B4"/>
    <w:rsid w:val="00824384"/>
    <w:rsid w:val="00824656"/>
    <w:rsid w:val="00824810"/>
    <w:rsid w:val="00824868"/>
    <w:rsid w:val="008249BC"/>
    <w:rsid w:val="00826318"/>
    <w:rsid w:val="00826BB1"/>
    <w:rsid w:val="00827654"/>
    <w:rsid w:val="00827FAC"/>
    <w:rsid w:val="00830150"/>
    <w:rsid w:val="00831339"/>
    <w:rsid w:val="00831DEE"/>
    <w:rsid w:val="008320A6"/>
    <w:rsid w:val="008328DA"/>
    <w:rsid w:val="00832FC3"/>
    <w:rsid w:val="0083317D"/>
    <w:rsid w:val="0083383A"/>
    <w:rsid w:val="00833EAD"/>
    <w:rsid w:val="008340CF"/>
    <w:rsid w:val="008343AA"/>
    <w:rsid w:val="00834F9F"/>
    <w:rsid w:val="00835936"/>
    <w:rsid w:val="00835E8D"/>
    <w:rsid w:val="0083634C"/>
    <w:rsid w:val="008363D4"/>
    <w:rsid w:val="0083739F"/>
    <w:rsid w:val="00837CFF"/>
    <w:rsid w:val="00840209"/>
    <w:rsid w:val="008402BC"/>
    <w:rsid w:val="008402D8"/>
    <w:rsid w:val="00840B94"/>
    <w:rsid w:val="00840D65"/>
    <w:rsid w:val="0084131C"/>
    <w:rsid w:val="008413C0"/>
    <w:rsid w:val="008414A1"/>
    <w:rsid w:val="00841520"/>
    <w:rsid w:val="0084166B"/>
    <w:rsid w:val="008417B1"/>
    <w:rsid w:val="008419C8"/>
    <w:rsid w:val="00841B17"/>
    <w:rsid w:val="008421F1"/>
    <w:rsid w:val="008425CC"/>
    <w:rsid w:val="008426FE"/>
    <w:rsid w:val="0084273B"/>
    <w:rsid w:val="008428BC"/>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17F4"/>
    <w:rsid w:val="00851807"/>
    <w:rsid w:val="00851DDB"/>
    <w:rsid w:val="00852A52"/>
    <w:rsid w:val="00852C08"/>
    <w:rsid w:val="00852F38"/>
    <w:rsid w:val="00853274"/>
    <w:rsid w:val="00853402"/>
    <w:rsid w:val="00854177"/>
    <w:rsid w:val="00854484"/>
    <w:rsid w:val="008544F1"/>
    <w:rsid w:val="00854509"/>
    <w:rsid w:val="008545F2"/>
    <w:rsid w:val="008554B2"/>
    <w:rsid w:val="00855927"/>
    <w:rsid w:val="00855FE2"/>
    <w:rsid w:val="00856D86"/>
    <w:rsid w:val="008572BF"/>
    <w:rsid w:val="00857355"/>
    <w:rsid w:val="008576D6"/>
    <w:rsid w:val="00857B01"/>
    <w:rsid w:val="008605CA"/>
    <w:rsid w:val="008609DF"/>
    <w:rsid w:val="00860D39"/>
    <w:rsid w:val="008611AC"/>
    <w:rsid w:val="0086139D"/>
    <w:rsid w:val="00861DF3"/>
    <w:rsid w:val="008620D0"/>
    <w:rsid w:val="00862A45"/>
    <w:rsid w:val="00862CD2"/>
    <w:rsid w:val="00862D1B"/>
    <w:rsid w:val="00862DB1"/>
    <w:rsid w:val="00863326"/>
    <w:rsid w:val="00865199"/>
    <w:rsid w:val="0086528F"/>
    <w:rsid w:val="008654A7"/>
    <w:rsid w:val="0086576F"/>
    <w:rsid w:val="00866642"/>
    <w:rsid w:val="008666E8"/>
    <w:rsid w:val="00866E8D"/>
    <w:rsid w:val="008672CE"/>
    <w:rsid w:val="00867A1A"/>
    <w:rsid w:val="008703D5"/>
    <w:rsid w:val="008709BC"/>
    <w:rsid w:val="00870CFC"/>
    <w:rsid w:val="00870E0E"/>
    <w:rsid w:val="00870EE3"/>
    <w:rsid w:val="008714DB"/>
    <w:rsid w:val="0087176D"/>
    <w:rsid w:val="008717A9"/>
    <w:rsid w:val="00871913"/>
    <w:rsid w:val="00871DE8"/>
    <w:rsid w:val="00871EE5"/>
    <w:rsid w:val="00872049"/>
    <w:rsid w:val="00872077"/>
    <w:rsid w:val="0087230D"/>
    <w:rsid w:val="00872AE1"/>
    <w:rsid w:val="008732BE"/>
    <w:rsid w:val="00873EE8"/>
    <w:rsid w:val="0087419F"/>
    <w:rsid w:val="008743DA"/>
    <w:rsid w:val="00875BC2"/>
    <w:rsid w:val="0087652C"/>
    <w:rsid w:val="0087738A"/>
    <w:rsid w:val="00880A5A"/>
    <w:rsid w:val="008810D2"/>
    <w:rsid w:val="00881244"/>
    <w:rsid w:val="00881958"/>
    <w:rsid w:val="00881D13"/>
    <w:rsid w:val="00882F46"/>
    <w:rsid w:val="008832C9"/>
    <w:rsid w:val="00883724"/>
    <w:rsid w:val="00883BBC"/>
    <w:rsid w:val="00883E45"/>
    <w:rsid w:val="008845A4"/>
    <w:rsid w:val="008847D7"/>
    <w:rsid w:val="00884DD6"/>
    <w:rsid w:val="00885834"/>
    <w:rsid w:val="008859DE"/>
    <w:rsid w:val="00885AAB"/>
    <w:rsid w:val="0088672F"/>
    <w:rsid w:val="0088732F"/>
    <w:rsid w:val="00887730"/>
    <w:rsid w:val="00887982"/>
    <w:rsid w:val="00887B13"/>
    <w:rsid w:val="00887B8B"/>
    <w:rsid w:val="00887E84"/>
    <w:rsid w:val="00887F02"/>
    <w:rsid w:val="008911E7"/>
    <w:rsid w:val="008921ED"/>
    <w:rsid w:val="008925B4"/>
    <w:rsid w:val="0089263E"/>
    <w:rsid w:val="00892818"/>
    <w:rsid w:val="00892AE1"/>
    <w:rsid w:val="008930A1"/>
    <w:rsid w:val="00893AE6"/>
    <w:rsid w:val="00893D00"/>
    <w:rsid w:val="008953AE"/>
    <w:rsid w:val="00895821"/>
    <w:rsid w:val="00895BAE"/>
    <w:rsid w:val="008965E4"/>
    <w:rsid w:val="008966EE"/>
    <w:rsid w:val="00896939"/>
    <w:rsid w:val="00896B0B"/>
    <w:rsid w:val="0089713D"/>
    <w:rsid w:val="00897DDE"/>
    <w:rsid w:val="008A0013"/>
    <w:rsid w:val="008A0699"/>
    <w:rsid w:val="008A0732"/>
    <w:rsid w:val="008A13A1"/>
    <w:rsid w:val="008A14CE"/>
    <w:rsid w:val="008A226D"/>
    <w:rsid w:val="008A2580"/>
    <w:rsid w:val="008A25FA"/>
    <w:rsid w:val="008A3011"/>
    <w:rsid w:val="008A41BD"/>
    <w:rsid w:val="008A429C"/>
    <w:rsid w:val="008A4A25"/>
    <w:rsid w:val="008A4E37"/>
    <w:rsid w:val="008A4F03"/>
    <w:rsid w:val="008A5E10"/>
    <w:rsid w:val="008A6AEF"/>
    <w:rsid w:val="008A6E93"/>
    <w:rsid w:val="008A6EDB"/>
    <w:rsid w:val="008A7355"/>
    <w:rsid w:val="008A74A1"/>
    <w:rsid w:val="008A764C"/>
    <w:rsid w:val="008A7756"/>
    <w:rsid w:val="008A7C2F"/>
    <w:rsid w:val="008B0253"/>
    <w:rsid w:val="008B24CD"/>
    <w:rsid w:val="008B35A4"/>
    <w:rsid w:val="008B3849"/>
    <w:rsid w:val="008B4016"/>
    <w:rsid w:val="008B5197"/>
    <w:rsid w:val="008B521D"/>
    <w:rsid w:val="008B5739"/>
    <w:rsid w:val="008B57C7"/>
    <w:rsid w:val="008B618E"/>
    <w:rsid w:val="008B650D"/>
    <w:rsid w:val="008B6AE7"/>
    <w:rsid w:val="008C12DE"/>
    <w:rsid w:val="008C1F88"/>
    <w:rsid w:val="008C2020"/>
    <w:rsid w:val="008C35A8"/>
    <w:rsid w:val="008C3F5D"/>
    <w:rsid w:val="008C414E"/>
    <w:rsid w:val="008C4402"/>
    <w:rsid w:val="008C48FB"/>
    <w:rsid w:val="008C51EC"/>
    <w:rsid w:val="008C5F36"/>
    <w:rsid w:val="008C6125"/>
    <w:rsid w:val="008C657B"/>
    <w:rsid w:val="008C694A"/>
    <w:rsid w:val="008C7B59"/>
    <w:rsid w:val="008C7C53"/>
    <w:rsid w:val="008D04DE"/>
    <w:rsid w:val="008D0776"/>
    <w:rsid w:val="008D0C19"/>
    <w:rsid w:val="008D1145"/>
    <w:rsid w:val="008D170D"/>
    <w:rsid w:val="008D24EF"/>
    <w:rsid w:val="008D2C45"/>
    <w:rsid w:val="008D3091"/>
    <w:rsid w:val="008D3A50"/>
    <w:rsid w:val="008D3B04"/>
    <w:rsid w:val="008D3E42"/>
    <w:rsid w:val="008D44ED"/>
    <w:rsid w:val="008D5104"/>
    <w:rsid w:val="008D547E"/>
    <w:rsid w:val="008D573C"/>
    <w:rsid w:val="008D580D"/>
    <w:rsid w:val="008D611E"/>
    <w:rsid w:val="008D6603"/>
    <w:rsid w:val="008D6C04"/>
    <w:rsid w:val="008D7861"/>
    <w:rsid w:val="008E050D"/>
    <w:rsid w:val="008E0527"/>
    <w:rsid w:val="008E1EAA"/>
    <w:rsid w:val="008E2012"/>
    <w:rsid w:val="008E230B"/>
    <w:rsid w:val="008E2612"/>
    <w:rsid w:val="008E2BC7"/>
    <w:rsid w:val="008E3031"/>
    <w:rsid w:val="008E35A6"/>
    <w:rsid w:val="008E3A56"/>
    <w:rsid w:val="008E4156"/>
    <w:rsid w:val="008E4174"/>
    <w:rsid w:val="008E4AE6"/>
    <w:rsid w:val="008E4CED"/>
    <w:rsid w:val="008E50A0"/>
    <w:rsid w:val="008E58D8"/>
    <w:rsid w:val="008E5F38"/>
    <w:rsid w:val="008E68A7"/>
    <w:rsid w:val="008E6CFE"/>
    <w:rsid w:val="008F011E"/>
    <w:rsid w:val="008F0196"/>
    <w:rsid w:val="008F01A7"/>
    <w:rsid w:val="008F07AD"/>
    <w:rsid w:val="008F0D37"/>
    <w:rsid w:val="008F1B0C"/>
    <w:rsid w:val="008F1B7C"/>
    <w:rsid w:val="008F2490"/>
    <w:rsid w:val="008F2B66"/>
    <w:rsid w:val="008F41C6"/>
    <w:rsid w:val="008F4306"/>
    <w:rsid w:val="008F45E7"/>
    <w:rsid w:val="008F464F"/>
    <w:rsid w:val="008F4885"/>
    <w:rsid w:val="008F4B5B"/>
    <w:rsid w:val="008F502F"/>
    <w:rsid w:val="008F5257"/>
    <w:rsid w:val="008F6B40"/>
    <w:rsid w:val="0090134E"/>
    <w:rsid w:val="0090163C"/>
    <w:rsid w:val="00903028"/>
    <w:rsid w:val="00903531"/>
    <w:rsid w:val="0090360A"/>
    <w:rsid w:val="0090392B"/>
    <w:rsid w:val="00904BE5"/>
    <w:rsid w:val="00905010"/>
    <w:rsid w:val="0090711E"/>
    <w:rsid w:val="00907893"/>
    <w:rsid w:val="00907B63"/>
    <w:rsid w:val="0091033E"/>
    <w:rsid w:val="00910687"/>
    <w:rsid w:val="009115D7"/>
    <w:rsid w:val="009115EA"/>
    <w:rsid w:val="00911F75"/>
    <w:rsid w:val="00913A02"/>
    <w:rsid w:val="009141B2"/>
    <w:rsid w:val="0091438D"/>
    <w:rsid w:val="0091490A"/>
    <w:rsid w:val="009153EE"/>
    <w:rsid w:val="0091599B"/>
    <w:rsid w:val="00915C83"/>
    <w:rsid w:val="009163BD"/>
    <w:rsid w:val="009164D9"/>
    <w:rsid w:val="0091671E"/>
    <w:rsid w:val="0091768F"/>
    <w:rsid w:val="00917742"/>
    <w:rsid w:val="0092068F"/>
    <w:rsid w:val="00920CAB"/>
    <w:rsid w:val="00921E6E"/>
    <w:rsid w:val="00922C00"/>
    <w:rsid w:val="009245DE"/>
    <w:rsid w:val="00925B09"/>
    <w:rsid w:val="00925BCB"/>
    <w:rsid w:val="009273C9"/>
    <w:rsid w:val="00930C72"/>
    <w:rsid w:val="00931B76"/>
    <w:rsid w:val="00932133"/>
    <w:rsid w:val="0093238B"/>
    <w:rsid w:val="00933547"/>
    <w:rsid w:val="00933795"/>
    <w:rsid w:val="00933B88"/>
    <w:rsid w:val="00933D31"/>
    <w:rsid w:val="009348B0"/>
    <w:rsid w:val="009360A2"/>
    <w:rsid w:val="009364CB"/>
    <w:rsid w:val="009367AC"/>
    <w:rsid w:val="00937851"/>
    <w:rsid w:val="00937A2D"/>
    <w:rsid w:val="00941CFF"/>
    <w:rsid w:val="00941F6C"/>
    <w:rsid w:val="0094237C"/>
    <w:rsid w:val="009426CC"/>
    <w:rsid w:val="00942B81"/>
    <w:rsid w:val="00943094"/>
    <w:rsid w:val="00943188"/>
    <w:rsid w:val="0094387A"/>
    <w:rsid w:val="00944545"/>
    <w:rsid w:val="00944576"/>
    <w:rsid w:val="009446A4"/>
    <w:rsid w:val="0094517F"/>
    <w:rsid w:val="009454C9"/>
    <w:rsid w:val="00945502"/>
    <w:rsid w:val="00945AB7"/>
    <w:rsid w:val="00946093"/>
    <w:rsid w:val="00946EC7"/>
    <w:rsid w:val="009478DD"/>
    <w:rsid w:val="009508D9"/>
    <w:rsid w:val="00950B5A"/>
    <w:rsid w:val="00951BAE"/>
    <w:rsid w:val="009533D0"/>
    <w:rsid w:val="00953514"/>
    <w:rsid w:val="00953B95"/>
    <w:rsid w:val="00954362"/>
    <w:rsid w:val="00954DB0"/>
    <w:rsid w:val="0095572F"/>
    <w:rsid w:val="009559F6"/>
    <w:rsid w:val="00955FF1"/>
    <w:rsid w:val="00956614"/>
    <w:rsid w:val="00956836"/>
    <w:rsid w:val="00956EF2"/>
    <w:rsid w:val="00957FE9"/>
    <w:rsid w:val="00960399"/>
    <w:rsid w:val="0096098F"/>
    <w:rsid w:val="0096120B"/>
    <w:rsid w:val="0096135F"/>
    <w:rsid w:val="00961A66"/>
    <w:rsid w:val="009624AD"/>
    <w:rsid w:val="00962796"/>
    <w:rsid w:val="009629D0"/>
    <w:rsid w:val="00962FA2"/>
    <w:rsid w:val="00963041"/>
    <w:rsid w:val="00963106"/>
    <w:rsid w:val="00964761"/>
    <w:rsid w:val="00965772"/>
    <w:rsid w:val="00965A2B"/>
    <w:rsid w:val="00966F73"/>
    <w:rsid w:val="009672F9"/>
    <w:rsid w:val="00967778"/>
    <w:rsid w:val="0097014D"/>
    <w:rsid w:val="0097081B"/>
    <w:rsid w:val="00970F25"/>
    <w:rsid w:val="00970F32"/>
    <w:rsid w:val="009715C4"/>
    <w:rsid w:val="00971772"/>
    <w:rsid w:val="00971AFF"/>
    <w:rsid w:val="00971B9C"/>
    <w:rsid w:val="0097201A"/>
    <w:rsid w:val="009724B4"/>
    <w:rsid w:val="009731B1"/>
    <w:rsid w:val="00973E43"/>
    <w:rsid w:val="00974194"/>
    <w:rsid w:val="00974F19"/>
    <w:rsid w:val="009754E7"/>
    <w:rsid w:val="00975CE8"/>
    <w:rsid w:val="00976521"/>
    <w:rsid w:val="009765D8"/>
    <w:rsid w:val="00976C82"/>
    <w:rsid w:val="00977C46"/>
    <w:rsid w:val="009804FE"/>
    <w:rsid w:val="00981761"/>
    <w:rsid w:val="00981D2E"/>
    <w:rsid w:val="00981D67"/>
    <w:rsid w:val="00981F55"/>
    <w:rsid w:val="009821E6"/>
    <w:rsid w:val="00982273"/>
    <w:rsid w:val="009828A2"/>
    <w:rsid w:val="009828F2"/>
    <w:rsid w:val="00983257"/>
    <w:rsid w:val="00983489"/>
    <w:rsid w:val="009834B6"/>
    <w:rsid w:val="00983AD7"/>
    <w:rsid w:val="009849F5"/>
    <w:rsid w:val="00986C63"/>
    <w:rsid w:val="00986FE7"/>
    <w:rsid w:val="00987002"/>
    <w:rsid w:val="00987504"/>
    <w:rsid w:val="00987665"/>
    <w:rsid w:val="00987D15"/>
    <w:rsid w:val="00990805"/>
    <w:rsid w:val="00991B3E"/>
    <w:rsid w:val="00992C10"/>
    <w:rsid w:val="00993580"/>
    <w:rsid w:val="0099402E"/>
    <w:rsid w:val="00994D2A"/>
    <w:rsid w:val="00995233"/>
    <w:rsid w:val="0099669C"/>
    <w:rsid w:val="00996DB1"/>
    <w:rsid w:val="00997295"/>
    <w:rsid w:val="009978F0"/>
    <w:rsid w:val="00997957"/>
    <w:rsid w:val="009A004D"/>
    <w:rsid w:val="009A0A42"/>
    <w:rsid w:val="009A0DBD"/>
    <w:rsid w:val="009A1133"/>
    <w:rsid w:val="009A187A"/>
    <w:rsid w:val="009A1DDA"/>
    <w:rsid w:val="009A25F5"/>
    <w:rsid w:val="009A2C17"/>
    <w:rsid w:val="009A3AE7"/>
    <w:rsid w:val="009A3C06"/>
    <w:rsid w:val="009A4109"/>
    <w:rsid w:val="009A4947"/>
    <w:rsid w:val="009A5D7A"/>
    <w:rsid w:val="009A6692"/>
    <w:rsid w:val="009A72E1"/>
    <w:rsid w:val="009A7DB4"/>
    <w:rsid w:val="009B006D"/>
    <w:rsid w:val="009B0764"/>
    <w:rsid w:val="009B09DB"/>
    <w:rsid w:val="009B114D"/>
    <w:rsid w:val="009B1181"/>
    <w:rsid w:val="009B230D"/>
    <w:rsid w:val="009B3013"/>
    <w:rsid w:val="009B3065"/>
    <w:rsid w:val="009B3380"/>
    <w:rsid w:val="009B377E"/>
    <w:rsid w:val="009B5276"/>
    <w:rsid w:val="009B5925"/>
    <w:rsid w:val="009B69FD"/>
    <w:rsid w:val="009B7402"/>
    <w:rsid w:val="009B74E3"/>
    <w:rsid w:val="009B7C39"/>
    <w:rsid w:val="009C026C"/>
    <w:rsid w:val="009C1419"/>
    <w:rsid w:val="009C1D91"/>
    <w:rsid w:val="009C1E4D"/>
    <w:rsid w:val="009C1E81"/>
    <w:rsid w:val="009C20E3"/>
    <w:rsid w:val="009C293F"/>
    <w:rsid w:val="009C3048"/>
    <w:rsid w:val="009C3AB3"/>
    <w:rsid w:val="009C3C05"/>
    <w:rsid w:val="009C3C8E"/>
    <w:rsid w:val="009C488F"/>
    <w:rsid w:val="009C51FC"/>
    <w:rsid w:val="009C5300"/>
    <w:rsid w:val="009C5DFA"/>
    <w:rsid w:val="009C7CE2"/>
    <w:rsid w:val="009D097B"/>
    <w:rsid w:val="009D1664"/>
    <w:rsid w:val="009D2986"/>
    <w:rsid w:val="009D31C0"/>
    <w:rsid w:val="009D3316"/>
    <w:rsid w:val="009D34D8"/>
    <w:rsid w:val="009D369B"/>
    <w:rsid w:val="009D6376"/>
    <w:rsid w:val="009D6A9F"/>
    <w:rsid w:val="009D7AA5"/>
    <w:rsid w:val="009D7AE8"/>
    <w:rsid w:val="009D7B4F"/>
    <w:rsid w:val="009E050C"/>
    <w:rsid w:val="009E055C"/>
    <w:rsid w:val="009E1286"/>
    <w:rsid w:val="009E1B54"/>
    <w:rsid w:val="009E1E08"/>
    <w:rsid w:val="009E22AB"/>
    <w:rsid w:val="009E2E53"/>
    <w:rsid w:val="009E2E7C"/>
    <w:rsid w:val="009E2FB5"/>
    <w:rsid w:val="009E3426"/>
    <w:rsid w:val="009E346D"/>
    <w:rsid w:val="009E36AF"/>
    <w:rsid w:val="009E3B6D"/>
    <w:rsid w:val="009E3FC9"/>
    <w:rsid w:val="009E541C"/>
    <w:rsid w:val="009E5613"/>
    <w:rsid w:val="009E722F"/>
    <w:rsid w:val="009F0142"/>
    <w:rsid w:val="009F0574"/>
    <w:rsid w:val="009F0C2A"/>
    <w:rsid w:val="009F0ED7"/>
    <w:rsid w:val="009F1347"/>
    <w:rsid w:val="009F1500"/>
    <w:rsid w:val="009F23AB"/>
    <w:rsid w:val="009F37D3"/>
    <w:rsid w:val="009F3A65"/>
    <w:rsid w:val="009F3AE1"/>
    <w:rsid w:val="009F3BAB"/>
    <w:rsid w:val="009F48E2"/>
    <w:rsid w:val="009F4E13"/>
    <w:rsid w:val="009F5727"/>
    <w:rsid w:val="009F58C4"/>
    <w:rsid w:val="009F5B72"/>
    <w:rsid w:val="009F5D15"/>
    <w:rsid w:val="009F610A"/>
    <w:rsid w:val="009F62FA"/>
    <w:rsid w:val="009F75BA"/>
    <w:rsid w:val="009F7DB2"/>
    <w:rsid w:val="00A007DD"/>
    <w:rsid w:val="00A0099F"/>
    <w:rsid w:val="00A0129A"/>
    <w:rsid w:val="00A01625"/>
    <w:rsid w:val="00A019A6"/>
    <w:rsid w:val="00A0229C"/>
    <w:rsid w:val="00A02C9B"/>
    <w:rsid w:val="00A036E1"/>
    <w:rsid w:val="00A03CC1"/>
    <w:rsid w:val="00A03EE8"/>
    <w:rsid w:val="00A04039"/>
    <w:rsid w:val="00A0404F"/>
    <w:rsid w:val="00A04D9D"/>
    <w:rsid w:val="00A04E3A"/>
    <w:rsid w:val="00A05061"/>
    <w:rsid w:val="00A05231"/>
    <w:rsid w:val="00A05817"/>
    <w:rsid w:val="00A05A6E"/>
    <w:rsid w:val="00A069AD"/>
    <w:rsid w:val="00A06E64"/>
    <w:rsid w:val="00A070F4"/>
    <w:rsid w:val="00A07EBB"/>
    <w:rsid w:val="00A10356"/>
    <w:rsid w:val="00A103E9"/>
    <w:rsid w:val="00A115BF"/>
    <w:rsid w:val="00A1242F"/>
    <w:rsid w:val="00A124FE"/>
    <w:rsid w:val="00A12B91"/>
    <w:rsid w:val="00A12F03"/>
    <w:rsid w:val="00A13631"/>
    <w:rsid w:val="00A140FC"/>
    <w:rsid w:val="00A14106"/>
    <w:rsid w:val="00A1521E"/>
    <w:rsid w:val="00A152A7"/>
    <w:rsid w:val="00A1547F"/>
    <w:rsid w:val="00A17B17"/>
    <w:rsid w:val="00A17D7F"/>
    <w:rsid w:val="00A17D9F"/>
    <w:rsid w:val="00A2046F"/>
    <w:rsid w:val="00A20A03"/>
    <w:rsid w:val="00A20F1C"/>
    <w:rsid w:val="00A21115"/>
    <w:rsid w:val="00A21250"/>
    <w:rsid w:val="00A21628"/>
    <w:rsid w:val="00A21D19"/>
    <w:rsid w:val="00A226F2"/>
    <w:rsid w:val="00A22EED"/>
    <w:rsid w:val="00A2306D"/>
    <w:rsid w:val="00A233DB"/>
    <w:rsid w:val="00A23656"/>
    <w:rsid w:val="00A23946"/>
    <w:rsid w:val="00A24246"/>
    <w:rsid w:val="00A24797"/>
    <w:rsid w:val="00A24AF9"/>
    <w:rsid w:val="00A250E2"/>
    <w:rsid w:val="00A25485"/>
    <w:rsid w:val="00A25B8D"/>
    <w:rsid w:val="00A25CFD"/>
    <w:rsid w:val="00A25F6C"/>
    <w:rsid w:val="00A26080"/>
    <w:rsid w:val="00A26151"/>
    <w:rsid w:val="00A26233"/>
    <w:rsid w:val="00A2631A"/>
    <w:rsid w:val="00A263C7"/>
    <w:rsid w:val="00A26BF4"/>
    <w:rsid w:val="00A26FAF"/>
    <w:rsid w:val="00A271CF"/>
    <w:rsid w:val="00A27C65"/>
    <w:rsid w:val="00A3092A"/>
    <w:rsid w:val="00A30F54"/>
    <w:rsid w:val="00A311B6"/>
    <w:rsid w:val="00A3257B"/>
    <w:rsid w:val="00A3263E"/>
    <w:rsid w:val="00A32956"/>
    <w:rsid w:val="00A32D03"/>
    <w:rsid w:val="00A32E67"/>
    <w:rsid w:val="00A33844"/>
    <w:rsid w:val="00A348BA"/>
    <w:rsid w:val="00A348CC"/>
    <w:rsid w:val="00A34982"/>
    <w:rsid w:val="00A3508B"/>
    <w:rsid w:val="00A350D3"/>
    <w:rsid w:val="00A351B3"/>
    <w:rsid w:val="00A3591D"/>
    <w:rsid w:val="00A35B87"/>
    <w:rsid w:val="00A36060"/>
    <w:rsid w:val="00A367C4"/>
    <w:rsid w:val="00A40711"/>
    <w:rsid w:val="00A40B36"/>
    <w:rsid w:val="00A417A0"/>
    <w:rsid w:val="00A417F9"/>
    <w:rsid w:val="00A41E4E"/>
    <w:rsid w:val="00A425EB"/>
    <w:rsid w:val="00A42E0A"/>
    <w:rsid w:val="00A43280"/>
    <w:rsid w:val="00A44D88"/>
    <w:rsid w:val="00A454E4"/>
    <w:rsid w:val="00A45FA0"/>
    <w:rsid w:val="00A46796"/>
    <w:rsid w:val="00A46D05"/>
    <w:rsid w:val="00A47011"/>
    <w:rsid w:val="00A47C8C"/>
    <w:rsid w:val="00A5234C"/>
    <w:rsid w:val="00A52F5F"/>
    <w:rsid w:val="00A531EE"/>
    <w:rsid w:val="00A54268"/>
    <w:rsid w:val="00A54876"/>
    <w:rsid w:val="00A5488B"/>
    <w:rsid w:val="00A5545C"/>
    <w:rsid w:val="00A55F69"/>
    <w:rsid w:val="00A56333"/>
    <w:rsid w:val="00A5635A"/>
    <w:rsid w:val="00A57656"/>
    <w:rsid w:val="00A6088F"/>
    <w:rsid w:val="00A60B49"/>
    <w:rsid w:val="00A60CCE"/>
    <w:rsid w:val="00A61453"/>
    <w:rsid w:val="00A61563"/>
    <w:rsid w:val="00A618A3"/>
    <w:rsid w:val="00A61946"/>
    <w:rsid w:val="00A61F7B"/>
    <w:rsid w:val="00A62E55"/>
    <w:rsid w:val="00A6326C"/>
    <w:rsid w:val="00A6329B"/>
    <w:rsid w:val="00A63CB2"/>
    <w:rsid w:val="00A643F6"/>
    <w:rsid w:val="00A64D69"/>
    <w:rsid w:val="00A64F2F"/>
    <w:rsid w:val="00A65090"/>
    <w:rsid w:val="00A65123"/>
    <w:rsid w:val="00A656DF"/>
    <w:rsid w:val="00A6700E"/>
    <w:rsid w:val="00A675FD"/>
    <w:rsid w:val="00A67AD9"/>
    <w:rsid w:val="00A67CCE"/>
    <w:rsid w:val="00A70A5E"/>
    <w:rsid w:val="00A71F3C"/>
    <w:rsid w:val="00A72951"/>
    <w:rsid w:val="00A7303D"/>
    <w:rsid w:val="00A73781"/>
    <w:rsid w:val="00A737BD"/>
    <w:rsid w:val="00A73A04"/>
    <w:rsid w:val="00A754CE"/>
    <w:rsid w:val="00A76447"/>
    <w:rsid w:val="00A775C8"/>
    <w:rsid w:val="00A80B48"/>
    <w:rsid w:val="00A820F9"/>
    <w:rsid w:val="00A823F8"/>
    <w:rsid w:val="00A8257D"/>
    <w:rsid w:val="00A83562"/>
    <w:rsid w:val="00A835D1"/>
    <w:rsid w:val="00A85FB2"/>
    <w:rsid w:val="00A8636C"/>
    <w:rsid w:val="00A87023"/>
    <w:rsid w:val="00A9015B"/>
    <w:rsid w:val="00A90628"/>
    <w:rsid w:val="00A90BA9"/>
    <w:rsid w:val="00A91855"/>
    <w:rsid w:val="00A924DE"/>
    <w:rsid w:val="00A9333E"/>
    <w:rsid w:val="00A9446D"/>
    <w:rsid w:val="00A94FCF"/>
    <w:rsid w:val="00A9550C"/>
    <w:rsid w:val="00A95AE5"/>
    <w:rsid w:val="00A960FC"/>
    <w:rsid w:val="00A9664D"/>
    <w:rsid w:val="00A966D5"/>
    <w:rsid w:val="00A9675F"/>
    <w:rsid w:val="00A97081"/>
    <w:rsid w:val="00A97447"/>
    <w:rsid w:val="00A97F3F"/>
    <w:rsid w:val="00AA1016"/>
    <w:rsid w:val="00AA185F"/>
    <w:rsid w:val="00AA1BA1"/>
    <w:rsid w:val="00AA2095"/>
    <w:rsid w:val="00AA224F"/>
    <w:rsid w:val="00AA2759"/>
    <w:rsid w:val="00AA2956"/>
    <w:rsid w:val="00AA2A87"/>
    <w:rsid w:val="00AA3BD1"/>
    <w:rsid w:val="00AA3CF5"/>
    <w:rsid w:val="00AA5AA1"/>
    <w:rsid w:val="00AA6BCA"/>
    <w:rsid w:val="00AA71E7"/>
    <w:rsid w:val="00AB00A3"/>
    <w:rsid w:val="00AB01F1"/>
    <w:rsid w:val="00AB0FAD"/>
    <w:rsid w:val="00AB129B"/>
    <w:rsid w:val="00AB13DB"/>
    <w:rsid w:val="00AB1489"/>
    <w:rsid w:val="00AB1FFC"/>
    <w:rsid w:val="00AB20BF"/>
    <w:rsid w:val="00AB29B2"/>
    <w:rsid w:val="00AB2C38"/>
    <w:rsid w:val="00AB3BDB"/>
    <w:rsid w:val="00AB3C41"/>
    <w:rsid w:val="00AB3FD6"/>
    <w:rsid w:val="00AB4211"/>
    <w:rsid w:val="00AB4706"/>
    <w:rsid w:val="00AB4DB3"/>
    <w:rsid w:val="00AB5035"/>
    <w:rsid w:val="00AB5308"/>
    <w:rsid w:val="00AB61DE"/>
    <w:rsid w:val="00AB629E"/>
    <w:rsid w:val="00AB7612"/>
    <w:rsid w:val="00AB77BF"/>
    <w:rsid w:val="00AC00DA"/>
    <w:rsid w:val="00AC0243"/>
    <w:rsid w:val="00AC09B6"/>
    <w:rsid w:val="00AC0B3B"/>
    <w:rsid w:val="00AC128B"/>
    <w:rsid w:val="00AC1FD3"/>
    <w:rsid w:val="00AC28D7"/>
    <w:rsid w:val="00AC312B"/>
    <w:rsid w:val="00AC3726"/>
    <w:rsid w:val="00AC38CB"/>
    <w:rsid w:val="00AC39D7"/>
    <w:rsid w:val="00AC3A1F"/>
    <w:rsid w:val="00AC3F8F"/>
    <w:rsid w:val="00AC49A1"/>
    <w:rsid w:val="00AC4BA8"/>
    <w:rsid w:val="00AC63B8"/>
    <w:rsid w:val="00AC643B"/>
    <w:rsid w:val="00AC715D"/>
    <w:rsid w:val="00AD07EC"/>
    <w:rsid w:val="00AD228B"/>
    <w:rsid w:val="00AD2392"/>
    <w:rsid w:val="00AD26F6"/>
    <w:rsid w:val="00AD3765"/>
    <w:rsid w:val="00AD378C"/>
    <w:rsid w:val="00AD3DD6"/>
    <w:rsid w:val="00AD4547"/>
    <w:rsid w:val="00AD49FA"/>
    <w:rsid w:val="00AD4AD8"/>
    <w:rsid w:val="00AD4CA9"/>
    <w:rsid w:val="00AD502D"/>
    <w:rsid w:val="00AD5D99"/>
    <w:rsid w:val="00AD5EEB"/>
    <w:rsid w:val="00AD5F6B"/>
    <w:rsid w:val="00AD664B"/>
    <w:rsid w:val="00AD6E56"/>
    <w:rsid w:val="00AD70BE"/>
    <w:rsid w:val="00AD71A9"/>
    <w:rsid w:val="00AD7938"/>
    <w:rsid w:val="00AE0433"/>
    <w:rsid w:val="00AE06F7"/>
    <w:rsid w:val="00AE122F"/>
    <w:rsid w:val="00AE1E89"/>
    <w:rsid w:val="00AE247F"/>
    <w:rsid w:val="00AE27A0"/>
    <w:rsid w:val="00AE2912"/>
    <w:rsid w:val="00AE2A12"/>
    <w:rsid w:val="00AE2A61"/>
    <w:rsid w:val="00AE3493"/>
    <w:rsid w:val="00AE3D06"/>
    <w:rsid w:val="00AE616A"/>
    <w:rsid w:val="00AE6234"/>
    <w:rsid w:val="00AE632B"/>
    <w:rsid w:val="00AE6F60"/>
    <w:rsid w:val="00AF0524"/>
    <w:rsid w:val="00AF062B"/>
    <w:rsid w:val="00AF0B93"/>
    <w:rsid w:val="00AF0BD3"/>
    <w:rsid w:val="00AF0E53"/>
    <w:rsid w:val="00AF154D"/>
    <w:rsid w:val="00AF23BD"/>
    <w:rsid w:val="00AF2684"/>
    <w:rsid w:val="00AF2D55"/>
    <w:rsid w:val="00AF3253"/>
    <w:rsid w:val="00AF3287"/>
    <w:rsid w:val="00AF3861"/>
    <w:rsid w:val="00AF414E"/>
    <w:rsid w:val="00AF46C4"/>
    <w:rsid w:val="00AF4BD7"/>
    <w:rsid w:val="00AF5530"/>
    <w:rsid w:val="00AF5FE3"/>
    <w:rsid w:val="00AF69C6"/>
    <w:rsid w:val="00AF6D42"/>
    <w:rsid w:val="00AF7D9E"/>
    <w:rsid w:val="00B003D0"/>
    <w:rsid w:val="00B00582"/>
    <w:rsid w:val="00B00795"/>
    <w:rsid w:val="00B00AFA"/>
    <w:rsid w:val="00B01756"/>
    <w:rsid w:val="00B01B73"/>
    <w:rsid w:val="00B02583"/>
    <w:rsid w:val="00B02602"/>
    <w:rsid w:val="00B02695"/>
    <w:rsid w:val="00B0292A"/>
    <w:rsid w:val="00B0308B"/>
    <w:rsid w:val="00B03874"/>
    <w:rsid w:val="00B039AF"/>
    <w:rsid w:val="00B04610"/>
    <w:rsid w:val="00B053D2"/>
    <w:rsid w:val="00B055CD"/>
    <w:rsid w:val="00B0605C"/>
    <w:rsid w:val="00B067AA"/>
    <w:rsid w:val="00B06BB1"/>
    <w:rsid w:val="00B06FE5"/>
    <w:rsid w:val="00B074CC"/>
    <w:rsid w:val="00B07C1D"/>
    <w:rsid w:val="00B07EFD"/>
    <w:rsid w:val="00B10240"/>
    <w:rsid w:val="00B109AB"/>
    <w:rsid w:val="00B120D9"/>
    <w:rsid w:val="00B1243A"/>
    <w:rsid w:val="00B12965"/>
    <w:rsid w:val="00B13421"/>
    <w:rsid w:val="00B1400C"/>
    <w:rsid w:val="00B14636"/>
    <w:rsid w:val="00B150AC"/>
    <w:rsid w:val="00B15435"/>
    <w:rsid w:val="00B16026"/>
    <w:rsid w:val="00B16105"/>
    <w:rsid w:val="00B16182"/>
    <w:rsid w:val="00B162AD"/>
    <w:rsid w:val="00B167AC"/>
    <w:rsid w:val="00B1738F"/>
    <w:rsid w:val="00B17E0D"/>
    <w:rsid w:val="00B17F8A"/>
    <w:rsid w:val="00B20A09"/>
    <w:rsid w:val="00B210ED"/>
    <w:rsid w:val="00B213A2"/>
    <w:rsid w:val="00B21510"/>
    <w:rsid w:val="00B2219F"/>
    <w:rsid w:val="00B231DE"/>
    <w:rsid w:val="00B2325E"/>
    <w:rsid w:val="00B23854"/>
    <w:rsid w:val="00B24B90"/>
    <w:rsid w:val="00B258B0"/>
    <w:rsid w:val="00B25ABF"/>
    <w:rsid w:val="00B26022"/>
    <w:rsid w:val="00B261F0"/>
    <w:rsid w:val="00B26325"/>
    <w:rsid w:val="00B26430"/>
    <w:rsid w:val="00B26432"/>
    <w:rsid w:val="00B26A71"/>
    <w:rsid w:val="00B2753E"/>
    <w:rsid w:val="00B27C7D"/>
    <w:rsid w:val="00B30152"/>
    <w:rsid w:val="00B30704"/>
    <w:rsid w:val="00B30D05"/>
    <w:rsid w:val="00B313A7"/>
    <w:rsid w:val="00B3160A"/>
    <w:rsid w:val="00B3263D"/>
    <w:rsid w:val="00B32911"/>
    <w:rsid w:val="00B32F1D"/>
    <w:rsid w:val="00B3369B"/>
    <w:rsid w:val="00B3389C"/>
    <w:rsid w:val="00B34164"/>
    <w:rsid w:val="00B344B4"/>
    <w:rsid w:val="00B35250"/>
    <w:rsid w:val="00B355C5"/>
    <w:rsid w:val="00B356E3"/>
    <w:rsid w:val="00B361DC"/>
    <w:rsid w:val="00B36833"/>
    <w:rsid w:val="00B36B5B"/>
    <w:rsid w:val="00B37111"/>
    <w:rsid w:val="00B377E6"/>
    <w:rsid w:val="00B37FCA"/>
    <w:rsid w:val="00B403AB"/>
    <w:rsid w:val="00B41249"/>
    <w:rsid w:val="00B4125E"/>
    <w:rsid w:val="00B417C3"/>
    <w:rsid w:val="00B419E1"/>
    <w:rsid w:val="00B41A38"/>
    <w:rsid w:val="00B41B25"/>
    <w:rsid w:val="00B42587"/>
    <w:rsid w:val="00B427E9"/>
    <w:rsid w:val="00B42847"/>
    <w:rsid w:val="00B429DC"/>
    <w:rsid w:val="00B42ED9"/>
    <w:rsid w:val="00B45030"/>
    <w:rsid w:val="00B45342"/>
    <w:rsid w:val="00B45993"/>
    <w:rsid w:val="00B459FD"/>
    <w:rsid w:val="00B4621A"/>
    <w:rsid w:val="00B46A9C"/>
    <w:rsid w:val="00B46BC4"/>
    <w:rsid w:val="00B473C1"/>
    <w:rsid w:val="00B47536"/>
    <w:rsid w:val="00B47F44"/>
    <w:rsid w:val="00B50E1D"/>
    <w:rsid w:val="00B50F96"/>
    <w:rsid w:val="00B51106"/>
    <w:rsid w:val="00B5240E"/>
    <w:rsid w:val="00B53251"/>
    <w:rsid w:val="00B53766"/>
    <w:rsid w:val="00B53D27"/>
    <w:rsid w:val="00B53DD2"/>
    <w:rsid w:val="00B544EA"/>
    <w:rsid w:val="00B54B69"/>
    <w:rsid w:val="00B5641A"/>
    <w:rsid w:val="00B56C37"/>
    <w:rsid w:val="00B56CD6"/>
    <w:rsid w:val="00B56DE3"/>
    <w:rsid w:val="00B56E2D"/>
    <w:rsid w:val="00B57242"/>
    <w:rsid w:val="00B57889"/>
    <w:rsid w:val="00B60606"/>
    <w:rsid w:val="00B61A49"/>
    <w:rsid w:val="00B6298F"/>
    <w:rsid w:val="00B63535"/>
    <w:rsid w:val="00B63954"/>
    <w:rsid w:val="00B6458B"/>
    <w:rsid w:val="00B64749"/>
    <w:rsid w:val="00B648D9"/>
    <w:rsid w:val="00B64CDC"/>
    <w:rsid w:val="00B64F0E"/>
    <w:rsid w:val="00B65540"/>
    <w:rsid w:val="00B65A30"/>
    <w:rsid w:val="00B6656E"/>
    <w:rsid w:val="00B67C4C"/>
    <w:rsid w:val="00B67F69"/>
    <w:rsid w:val="00B70221"/>
    <w:rsid w:val="00B70CCA"/>
    <w:rsid w:val="00B724B5"/>
    <w:rsid w:val="00B72DB9"/>
    <w:rsid w:val="00B7326E"/>
    <w:rsid w:val="00B73409"/>
    <w:rsid w:val="00B737D5"/>
    <w:rsid w:val="00B74342"/>
    <w:rsid w:val="00B74654"/>
    <w:rsid w:val="00B7554B"/>
    <w:rsid w:val="00B75574"/>
    <w:rsid w:val="00B75B79"/>
    <w:rsid w:val="00B75FAA"/>
    <w:rsid w:val="00B77003"/>
    <w:rsid w:val="00B77184"/>
    <w:rsid w:val="00B7722E"/>
    <w:rsid w:val="00B7774B"/>
    <w:rsid w:val="00B80078"/>
    <w:rsid w:val="00B800B7"/>
    <w:rsid w:val="00B800C4"/>
    <w:rsid w:val="00B81DA0"/>
    <w:rsid w:val="00B82635"/>
    <w:rsid w:val="00B82C18"/>
    <w:rsid w:val="00B850F5"/>
    <w:rsid w:val="00B851AF"/>
    <w:rsid w:val="00B85DCA"/>
    <w:rsid w:val="00B85E00"/>
    <w:rsid w:val="00B864D3"/>
    <w:rsid w:val="00B901B5"/>
    <w:rsid w:val="00B9030E"/>
    <w:rsid w:val="00B903D4"/>
    <w:rsid w:val="00B90485"/>
    <w:rsid w:val="00B90813"/>
    <w:rsid w:val="00B91063"/>
    <w:rsid w:val="00B9114C"/>
    <w:rsid w:val="00B9159E"/>
    <w:rsid w:val="00B91AE8"/>
    <w:rsid w:val="00B928CC"/>
    <w:rsid w:val="00B92A0C"/>
    <w:rsid w:val="00B92BD9"/>
    <w:rsid w:val="00B93448"/>
    <w:rsid w:val="00B93936"/>
    <w:rsid w:val="00B93CCB"/>
    <w:rsid w:val="00B94617"/>
    <w:rsid w:val="00B94A9B"/>
    <w:rsid w:val="00B95B80"/>
    <w:rsid w:val="00B95E3E"/>
    <w:rsid w:val="00B96259"/>
    <w:rsid w:val="00B96321"/>
    <w:rsid w:val="00B964A0"/>
    <w:rsid w:val="00BA04E7"/>
    <w:rsid w:val="00BA0F27"/>
    <w:rsid w:val="00BA16D5"/>
    <w:rsid w:val="00BA1F7B"/>
    <w:rsid w:val="00BA34B7"/>
    <w:rsid w:val="00BA3E52"/>
    <w:rsid w:val="00BA4830"/>
    <w:rsid w:val="00BA496E"/>
    <w:rsid w:val="00BA4CCC"/>
    <w:rsid w:val="00BA4E22"/>
    <w:rsid w:val="00BA6054"/>
    <w:rsid w:val="00BA6E33"/>
    <w:rsid w:val="00BA72E1"/>
    <w:rsid w:val="00BA7498"/>
    <w:rsid w:val="00BB00C8"/>
    <w:rsid w:val="00BB06EC"/>
    <w:rsid w:val="00BB1346"/>
    <w:rsid w:val="00BB1403"/>
    <w:rsid w:val="00BB1CDD"/>
    <w:rsid w:val="00BB33EA"/>
    <w:rsid w:val="00BB34FF"/>
    <w:rsid w:val="00BB387F"/>
    <w:rsid w:val="00BB3B04"/>
    <w:rsid w:val="00BB3DC4"/>
    <w:rsid w:val="00BB4A68"/>
    <w:rsid w:val="00BB4B3C"/>
    <w:rsid w:val="00BB4D4A"/>
    <w:rsid w:val="00BB4DE9"/>
    <w:rsid w:val="00BB62CC"/>
    <w:rsid w:val="00BB7D0D"/>
    <w:rsid w:val="00BB7E8F"/>
    <w:rsid w:val="00BB7ED1"/>
    <w:rsid w:val="00BC095A"/>
    <w:rsid w:val="00BC0BA3"/>
    <w:rsid w:val="00BC0F70"/>
    <w:rsid w:val="00BC10D0"/>
    <w:rsid w:val="00BC160A"/>
    <w:rsid w:val="00BC1C62"/>
    <w:rsid w:val="00BC2289"/>
    <w:rsid w:val="00BC35DB"/>
    <w:rsid w:val="00BC49B0"/>
    <w:rsid w:val="00BC4BB9"/>
    <w:rsid w:val="00BC5EF7"/>
    <w:rsid w:val="00BC5F7A"/>
    <w:rsid w:val="00BC6348"/>
    <w:rsid w:val="00BC6985"/>
    <w:rsid w:val="00BC6B3B"/>
    <w:rsid w:val="00BD02E9"/>
    <w:rsid w:val="00BD05AE"/>
    <w:rsid w:val="00BD05C0"/>
    <w:rsid w:val="00BD155F"/>
    <w:rsid w:val="00BD16AF"/>
    <w:rsid w:val="00BD1EEC"/>
    <w:rsid w:val="00BD2876"/>
    <w:rsid w:val="00BD30E1"/>
    <w:rsid w:val="00BD356F"/>
    <w:rsid w:val="00BD4CA9"/>
    <w:rsid w:val="00BD5193"/>
    <w:rsid w:val="00BD5950"/>
    <w:rsid w:val="00BD5B18"/>
    <w:rsid w:val="00BD5C09"/>
    <w:rsid w:val="00BD60F6"/>
    <w:rsid w:val="00BD6A9D"/>
    <w:rsid w:val="00BD76B3"/>
    <w:rsid w:val="00BD7F4C"/>
    <w:rsid w:val="00BE00DE"/>
    <w:rsid w:val="00BE0A1B"/>
    <w:rsid w:val="00BE0C1F"/>
    <w:rsid w:val="00BE1B04"/>
    <w:rsid w:val="00BE23EF"/>
    <w:rsid w:val="00BE2694"/>
    <w:rsid w:val="00BE293F"/>
    <w:rsid w:val="00BE2978"/>
    <w:rsid w:val="00BE3A35"/>
    <w:rsid w:val="00BE471F"/>
    <w:rsid w:val="00BE49E9"/>
    <w:rsid w:val="00BE4A02"/>
    <w:rsid w:val="00BE4E2E"/>
    <w:rsid w:val="00BE5580"/>
    <w:rsid w:val="00BE5A98"/>
    <w:rsid w:val="00BE5E23"/>
    <w:rsid w:val="00BE63FF"/>
    <w:rsid w:val="00BE69AD"/>
    <w:rsid w:val="00BE69F3"/>
    <w:rsid w:val="00BE6C00"/>
    <w:rsid w:val="00BE741E"/>
    <w:rsid w:val="00BE75CA"/>
    <w:rsid w:val="00BE75F2"/>
    <w:rsid w:val="00BF03CC"/>
    <w:rsid w:val="00BF03F8"/>
    <w:rsid w:val="00BF0F07"/>
    <w:rsid w:val="00BF266F"/>
    <w:rsid w:val="00BF3304"/>
    <w:rsid w:val="00BF3C2B"/>
    <w:rsid w:val="00BF56B5"/>
    <w:rsid w:val="00BF5BA7"/>
    <w:rsid w:val="00BF5E5A"/>
    <w:rsid w:val="00BF5F3E"/>
    <w:rsid w:val="00BF65B1"/>
    <w:rsid w:val="00BF6C55"/>
    <w:rsid w:val="00BF70CA"/>
    <w:rsid w:val="00C00076"/>
    <w:rsid w:val="00C0076F"/>
    <w:rsid w:val="00C00FA5"/>
    <w:rsid w:val="00C01173"/>
    <w:rsid w:val="00C019D6"/>
    <w:rsid w:val="00C02093"/>
    <w:rsid w:val="00C02770"/>
    <w:rsid w:val="00C0295C"/>
    <w:rsid w:val="00C02E6E"/>
    <w:rsid w:val="00C03D93"/>
    <w:rsid w:val="00C047F5"/>
    <w:rsid w:val="00C055EE"/>
    <w:rsid w:val="00C05FDD"/>
    <w:rsid w:val="00C06471"/>
    <w:rsid w:val="00C0689F"/>
    <w:rsid w:val="00C070F4"/>
    <w:rsid w:val="00C076F9"/>
    <w:rsid w:val="00C10307"/>
    <w:rsid w:val="00C10416"/>
    <w:rsid w:val="00C1056A"/>
    <w:rsid w:val="00C10DBF"/>
    <w:rsid w:val="00C114B2"/>
    <w:rsid w:val="00C122A1"/>
    <w:rsid w:val="00C126D9"/>
    <w:rsid w:val="00C12733"/>
    <w:rsid w:val="00C13EEA"/>
    <w:rsid w:val="00C14719"/>
    <w:rsid w:val="00C1591D"/>
    <w:rsid w:val="00C15976"/>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277CE"/>
    <w:rsid w:val="00C3053B"/>
    <w:rsid w:val="00C31333"/>
    <w:rsid w:val="00C3205B"/>
    <w:rsid w:val="00C32514"/>
    <w:rsid w:val="00C32B0A"/>
    <w:rsid w:val="00C32E16"/>
    <w:rsid w:val="00C33097"/>
    <w:rsid w:val="00C34274"/>
    <w:rsid w:val="00C346EE"/>
    <w:rsid w:val="00C3500D"/>
    <w:rsid w:val="00C357C6"/>
    <w:rsid w:val="00C35EC2"/>
    <w:rsid w:val="00C36B5E"/>
    <w:rsid w:val="00C409C4"/>
    <w:rsid w:val="00C410FC"/>
    <w:rsid w:val="00C415BA"/>
    <w:rsid w:val="00C4278A"/>
    <w:rsid w:val="00C437B5"/>
    <w:rsid w:val="00C4387E"/>
    <w:rsid w:val="00C4449B"/>
    <w:rsid w:val="00C453C5"/>
    <w:rsid w:val="00C45723"/>
    <w:rsid w:val="00C45B6B"/>
    <w:rsid w:val="00C46099"/>
    <w:rsid w:val="00C46801"/>
    <w:rsid w:val="00C46892"/>
    <w:rsid w:val="00C46A8F"/>
    <w:rsid w:val="00C4712C"/>
    <w:rsid w:val="00C47A8F"/>
    <w:rsid w:val="00C500BD"/>
    <w:rsid w:val="00C500F3"/>
    <w:rsid w:val="00C5013F"/>
    <w:rsid w:val="00C5014D"/>
    <w:rsid w:val="00C502CE"/>
    <w:rsid w:val="00C50AC8"/>
    <w:rsid w:val="00C5168B"/>
    <w:rsid w:val="00C5204B"/>
    <w:rsid w:val="00C52091"/>
    <w:rsid w:val="00C52420"/>
    <w:rsid w:val="00C52E31"/>
    <w:rsid w:val="00C548B2"/>
    <w:rsid w:val="00C54E72"/>
    <w:rsid w:val="00C54FBA"/>
    <w:rsid w:val="00C55259"/>
    <w:rsid w:val="00C552F5"/>
    <w:rsid w:val="00C556C5"/>
    <w:rsid w:val="00C567FB"/>
    <w:rsid w:val="00C57870"/>
    <w:rsid w:val="00C61459"/>
    <w:rsid w:val="00C614BA"/>
    <w:rsid w:val="00C6151F"/>
    <w:rsid w:val="00C616F6"/>
    <w:rsid w:val="00C618A4"/>
    <w:rsid w:val="00C622BD"/>
    <w:rsid w:val="00C62CEF"/>
    <w:rsid w:val="00C62D51"/>
    <w:rsid w:val="00C63437"/>
    <w:rsid w:val="00C63566"/>
    <w:rsid w:val="00C63C6D"/>
    <w:rsid w:val="00C63CD9"/>
    <w:rsid w:val="00C64259"/>
    <w:rsid w:val="00C642AD"/>
    <w:rsid w:val="00C64377"/>
    <w:rsid w:val="00C6637C"/>
    <w:rsid w:val="00C66C84"/>
    <w:rsid w:val="00C67697"/>
    <w:rsid w:val="00C70C8D"/>
    <w:rsid w:val="00C70F27"/>
    <w:rsid w:val="00C71E22"/>
    <w:rsid w:val="00C71E73"/>
    <w:rsid w:val="00C724CE"/>
    <w:rsid w:val="00C729E4"/>
    <w:rsid w:val="00C72B9E"/>
    <w:rsid w:val="00C72EEA"/>
    <w:rsid w:val="00C734EC"/>
    <w:rsid w:val="00C73646"/>
    <w:rsid w:val="00C73C6A"/>
    <w:rsid w:val="00C742C2"/>
    <w:rsid w:val="00C74384"/>
    <w:rsid w:val="00C74458"/>
    <w:rsid w:val="00C74863"/>
    <w:rsid w:val="00C74AC6"/>
    <w:rsid w:val="00C75101"/>
    <w:rsid w:val="00C76013"/>
    <w:rsid w:val="00C7652D"/>
    <w:rsid w:val="00C76E8B"/>
    <w:rsid w:val="00C76EC8"/>
    <w:rsid w:val="00C77FBA"/>
    <w:rsid w:val="00C8017E"/>
    <w:rsid w:val="00C803C3"/>
    <w:rsid w:val="00C805BC"/>
    <w:rsid w:val="00C815BD"/>
    <w:rsid w:val="00C817DB"/>
    <w:rsid w:val="00C81908"/>
    <w:rsid w:val="00C82B5E"/>
    <w:rsid w:val="00C83418"/>
    <w:rsid w:val="00C8354D"/>
    <w:rsid w:val="00C838AE"/>
    <w:rsid w:val="00C845B8"/>
    <w:rsid w:val="00C84714"/>
    <w:rsid w:val="00C853BF"/>
    <w:rsid w:val="00C855D6"/>
    <w:rsid w:val="00C86CE0"/>
    <w:rsid w:val="00C8752A"/>
    <w:rsid w:val="00C876AF"/>
    <w:rsid w:val="00C87BD8"/>
    <w:rsid w:val="00C90B4C"/>
    <w:rsid w:val="00C90E4C"/>
    <w:rsid w:val="00C912F2"/>
    <w:rsid w:val="00C91C3B"/>
    <w:rsid w:val="00C91D78"/>
    <w:rsid w:val="00C921CB"/>
    <w:rsid w:val="00C93045"/>
    <w:rsid w:val="00C934F0"/>
    <w:rsid w:val="00C950A0"/>
    <w:rsid w:val="00C960AC"/>
    <w:rsid w:val="00C9632C"/>
    <w:rsid w:val="00C964AC"/>
    <w:rsid w:val="00C96922"/>
    <w:rsid w:val="00C97717"/>
    <w:rsid w:val="00C97843"/>
    <w:rsid w:val="00C97C4A"/>
    <w:rsid w:val="00CA02A0"/>
    <w:rsid w:val="00CA05AD"/>
    <w:rsid w:val="00CA085E"/>
    <w:rsid w:val="00CA0E3E"/>
    <w:rsid w:val="00CA0F09"/>
    <w:rsid w:val="00CA1334"/>
    <w:rsid w:val="00CA160F"/>
    <w:rsid w:val="00CA18E5"/>
    <w:rsid w:val="00CA1CDB"/>
    <w:rsid w:val="00CA220B"/>
    <w:rsid w:val="00CA2876"/>
    <w:rsid w:val="00CA3766"/>
    <w:rsid w:val="00CA45EB"/>
    <w:rsid w:val="00CA4A0E"/>
    <w:rsid w:val="00CA528E"/>
    <w:rsid w:val="00CA52AD"/>
    <w:rsid w:val="00CA5B62"/>
    <w:rsid w:val="00CA5FD3"/>
    <w:rsid w:val="00CA6A81"/>
    <w:rsid w:val="00CA7A0E"/>
    <w:rsid w:val="00CB02B8"/>
    <w:rsid w:val="00CB055E"/>
    <w:rsid w:val="00CB0EA7"/>
    <w:rsid w:val="00CB1221"/>
    <w:rsid w:val="00CB1C1C"/>
    <w:rsid w:val="00CB1F27"/>
    <w:rsid w:val="00CB26EC"/>
    <w:rsid w:val="00CB3351"/>
    <w:rsid w:val="00CB383F"/>
    <w:rsid w:val="00CB39F4"/>
    <w:rsid w:val="00CB3AE0"/>
    <w:rsid w:val="00CB4B62"/>
    <w:rsid w:val="00CB4DEA"/>
    <w:rsid w:val="00CB4F8D"/>
    <w:rsid w:val="00CB565A"/>
    <w:rsid w:val="00CB5CC9"/>
    <w:rsid w:val="00CB5D1A"/>
    <w:rsid w:val="00CB5F9D"/>
    <w:rsid w:val="00CB6A19"/>
    <w:rsid w:val="00CB7AD8"/>
    <w:rsid w:val="00CC054E"/>
    <w:rsid w:val="00CC0D7E"/>
    <w:rsid w:val="00CC1002"/>
    <w:rsid w:val="00CC106E"/>
    <w:rsid w:val="00CC1C83"/>
    <w:rsid w:val="00CC1D91"/>
    <w:rsid w:val="00CC1E93"/>
    <w:rsid w:val="00CC1F0A"/>
    <w:rsid w:val="00CC25E6"/>
    <w:rsid w:val="00CC29C8"/>
    <w:rsid w:val="00CC2BE9"/>
    <w:rsid w:val="00CC2C1B"/>
    <w:rsid w:val="00CC2DB1"/>
    <w:rsid w:val="00CC374B"/>
    <w:rsid w:val="00CC3CF1"/>
    <w:rsid w:val="00CC4144"/>
    <w:rsid w:val="00CC4449"/>
    <w:rsid w:val="00CC55D1"/>
    <w:rsid w:val="00CC6539"/>
    <w:rsid w:val="00CC688D"/>
    <w:rsid w:val="00CC7B97"/>
    <w:rsid w:val="00CC7F72"/>
    <w:rsid w:val="00CD0065"/>
    <w:rsid w:val="00CD03EA"/>
    <w:rsid w:val="00CD0E34"/>
    <w:rsid w:val="00CD237A"/>
    <w:rsid w:val="00CD26C6"/>
    <w:rsid w:val="00CD2EF4"/>
    <w:rsid w:val="00CD2F1E"/>
    <w:rsid w:val="00CD33E4"/>
    <w:rsid w:val="00CD5F85"/>
    <w:rsid w:val="00CD621F"/>
    <w:rsid w:val="00CD784F"/>
    <w:rsid w:val="00CD7B57"/>
    <w:rsid w:val="00CD7EA5"/>
    <w:rsid w:val="00CE0450"/>
    <w:rsid w:val="00CE04A2"/>
    <w:rsid w:val="00CE0B9F"/>
    <w:rsid w:val="00CE1E6F"/>
    <w:rsid w:val="00CE22B6"/>
    <w:rsid w:val="00CE2E08"/>
    <w:rsid w:val="00CE3642"/>
    <w:rsid w:val="00CE3F8A"/>
    <w:rsid w:val="00CE41BE"/>
    <w:rsid w:val="00CE4474"/>
    <w:rsid w:val="00CE4970"/>
    <w:rsid w:val="00CE49F0"/>
    <w:rsid w:val="00CE4A24"/>
    <w:rsid w:val="00CE4E25"/>
    <w:rsid w:val="00CE5783"/>
    <w:rsid w:val="00CE5887"/>
    <w:rsid w:val="00CE6674"/>
    <w:rsid w:val="00CE67CA"/>
    <w:rsid w:val="00CE7868"/>
    <w:rsid w:val="00CE7ADB"/>
    <w:rsid w:val="00CF0239"/>
    <w:rsid w:val="00CF0589"/>
    <w:rsid w:val="00CF0823"/>
    <w:rsid w:val="00CF0B29"/>
    <w:rsid w:val="00CF126E"/>
    <w:rsid w:val="00CF1897"/>
    <w:rsid w:val="00CF19AE"/>
    <w:rsid w:val="00CF1FF4"/>
    <w:rsid w:val="00CF2848"/>
    <w:rsid w:val="00CF39FD"/>
    <w:rsid w:val="00CF3E19"/>
    <w:rsid w:val="00CF4803"/>
    <w:rsid w:val="00CF4B09"/>
    <w:rsid w:val="00CF580C"/>
    <w:rsid w:val="00CF5FA7"/>
    <w:rsid w:val="00CF61D0"/>
    <w:rsid w:val="00CF6D81"/>
    <w:rsid w:val="00CF791A"/>
    <w:rsid w:val="00CF7BEC"/>
    <w:rsid w:val="00CF7C11"/>
    <w:rsid w:val="00D000B5"/>
    <w:rsid w:val="00D00375"/>
    <w:rsid w:val="00D00448"/>
    <w:rsid w:val="00D00BE3"/>
    <w:rsid w:val="00D01188"/>
    <w:rsid w:val="00D0139E"/>
    <w:rsid w:val="00D01678"/>
    <w:rsid w:val="00D01B6E"/>
    <w:rsid w:val="00D01B76"/>
    <w:rsid w:val="00D0369E"/>
    <w:rsid w:val="00D04ACA"/>
    <w:rsid w:val="00D052F0"/>
    <w:rsid w:val="00D056DE"/>
    <w:rsid w:val="00D05838"/>
    <w:rsid w:val="00D06318"/>
    <w:rsid w:val="00D06737"/>
    <w:rsid w:val="00D07C13"/>
    <w:rsid w:val="00D1145B"/>
    <w:rsid w:val="00D11F0B"/>
    <w:rsid w:val="00D120D6"/>
    <w:rsid w:val="00D12233"/>
    <w:rsid w:val="00D12277"/>
    <w:rsid w:val="00D1287A"/>
    <w:rsid w:val="00D12C44"/>
    <w:rsid w:val="00D13197"/>
    <w:rsid w:val="00D14BA4"/>
    <w:rsid w:val="00D14E32"/>
    <w:rsid w:val="00D1521D"/>
    <w:rsid w:val="00D15F78"/>
    <w:rsid w:val="00D165D4"/>
    <w:rsid w:val="00D165F8"/>
    <w:rsid w:val="00D167E0"/>
    <w:rsid w:val="00D16BA7"/>
    <w:rsid w:val="00D16C13"/>
    <w:rsid w:val="00D203DA"/>
    <w:rsid w:val="00D20AB6"/>
    <w:rsid w:val="00D21221"/>
    <w:rsid w:val="00D21E25"/>
    <w:rsid w:val="00D22758"/>
    <w:rsid w:val="00D22900"/>
    <w:rsid w:val="00D22F1A"/>
    <w:rsid w:val="00D2305C"/>
    <w:rsid w:val="00D23902"/>
    <w:rsid w:val="00D24335"/>
    <w:rsid w:val="00D2453B"/>
    <w:rsid w:val="00D24C4B"/>
    <w:rsid w:val="00D260E6"/>
    <w:rsid w:val="00D2739E"/>
    <w:rsid w:val="00D27781"/>
    <w:rsid w:val="00D27810"/>
    <w:rsid w:val="00D27D3E"/>
    <w:rsid w:val="00D27DED"/>
    <w:rsid w:val="00D27EFC"/>
    <w:rsid w:val="00D3012D"/>
    <w:rsid w:val="00D30B12"/>
    <w:rsid w:val="00D31742"/>
    <w:rsid w:val="00D321BE"/>
    <w:rsid w:val="00D322D7"/>
    <w:rsid w:val="00D3259B"/>
    <w:rsid w:val="00D325DA"/>
    <w:rsid w:val="00D33C33"/>
    <w:rsid w:val="00D359E8"/>
    <w:rsid w:val="00D362BC"/>
    <w:rsid w:val="00D36E92"/>
    <w:rsid w:val="00D37012"/>
    <w:rsid w:val="00D370B6"/>
    <w:rsid w:val="00D372EA"/>
    <w:rsid w:val="00D37AF5"/>
    <w:rsid w:val="00D4026F"/>
    <w:rsid w:val="00D402A1"/>
    <w:rsid w:val="00D402A7"/>
    <w:rsid w:val="00D40528"/>
    <w:rsid w:val="00D405E7"/>
    <w:rsid w:val="00D40D81"/>
    <w:rsid w:val="00D40DBA"/>
    <w:rsid w:val="00D4257E"/>
    <w:rsid w:val="00D42E1C"/>
    <w:rsid w:val="00D43154"/>
    <w:rsid w:val="00D43D7B"/>
    <w:rsid w:val="00D43EA9"/>
    <w:rsid w:val="00D44FA5"/>
    <w:rsid w:val="00D45FF2"/>
    <w:rsid w:val="00D46B6E"/>
    <w:rsid w:val="00D478C5"/>
    <w:rsid w:val="00D47CFD"/>
    <w:rsid w:val="00D51574"/>
    <w:rsid w:val="00D516AA"/>
    <w:rsid w:val="00D51733"/>
    <w:rsid w:val="00D51A44"/>
    <w:rsid w:val="00D51E35"/>
    <w:rsid w:val="00D51FA0"/>
    <w:rsid w:val="00D523BF"/>
    <w:rsid w:val="00D52938"/>
    <w:rsid w:val="00D52989"/>
    <w:rsid w:val="00D54804"/>
    <w:rsid w:val="00D5538E"/>
    <w:rsid w:val="00D55C82"/>
    <w:rsid w:val="00D55CCE"/>
    <w:rsid w:val="00D56D55"/>
    <w:rsid w:val="00D56E2D"/>
    <w:rsid w:val="00D56EF1"/>
    <w:rsid w:val="00D57000"/>
    <w:rsid w:val="00D602DD"/>
    <w:rsid w:val="00D6052F"/>
    <w:rsid w:val="00D60D98"/>
    <w:rsid w:val="00D61A43"/>
    <w:rsid w:val="00D62235"/>
    <w:rsid w:val="00D62437"/>
    <w:rsid w:val="00D6294F"/>
    <w:rsid w:val="00D62EB9"/>
    <w:rsid w:val="00D63067"/>
    <w:rsid w:val="00D6326A"/>
    <w:rsid w:val="00D63497"/>
    <w:rsid w:val="00D63507"/>
    <w:rsid w:val="00D63709"/>
    <w:rsid w:val="00D6496C"/>
    <w:rsid w:val="00D64CC2"/>
    <w:rsid w:val="00D64D16"/>
    <w:rsid w:val="00D64D4C"/>
    <w:rsid w:val="00D6506E"/>
    <w:rsid w:val="00D66644"/>
    <w:rsid w:val="00D66B7A"/>
    <w:rsid w:val="00D67208"/>
    <w:rsid w:val="00D6735A"/>
    <w:rsid w:val="00D679BE"/>
    <w:rsid w:val="00D70A66"/>
    <w:rsid w:val="00D70C4A"/>
    <w:rsid w:val="00D71D69"/>
    <w:rsid w:val="00D7237A"/>
    <w:rsid w:val="00D7258C"/>
    <w:rsid w:val="00D728AA"/>
    <w:rsid w:val="00D72B72"/>
    <w:rsid w:val="00D73075"/>
    <w:rsid w:val="00D73B48"/>
    <w:rsid w:val="00D74439"/>
    <w:rsid w:val="00D745DD"/>
    <w:rsid w:val="00D74676"/>
    <w:rsid w:val="00D749D1"/>
    <w:rsid w:val="00D74F58"/>
    <w:rsid w:val="00D75194"/>
    <w:rsid w:val="00D75820"/>
    <w:rsid w:val="00D76A40"/>
    <w:rsid w:val="00D76D90"/>
    <w:rsid w:val="00D801D3"/>
    <w:rsid w:val="00D8090C"/>
    <w:rsid w:val="00D80DE2"/>
    <w:rsid w:val="00D81743"/>
    <w:rsid w:val="00D81F17"/>
    <w:rsid w:val="00D82EF4"/>
    <w:rsid w:val="00D84266"/>
    <w:rsid w:val="00D8474A"/>
    <w:rsid w:val="00D84945"/>
    <w:rsid w:val="00D8505B"/>
    <w:rsid w:val="00D85E96"/>
    <w:rsid w:val="00D86DC9"/>
    <w:rsid w:val="00D87395"/>
    <w:rsid w:val="00D87CF1"/>
    <w:rsid w:val="00D905BA"/>
    <w:rsid w:val="00D90901"/>
    <w:rsid w:val="00D90B74"/>
    <w:rsid w:val="00D913F9"/>
    <w:rsid w:val="00D91BE5"/>
    <w:rsid w:val="00D9202F"/>
    <w:rsid w:val="00D923DA"/>
    <w:rsid w:val="00D92AFB"/>
    <w:rsid w:val="00D94618"/>
    <w:rsid w:val="00D9518D"/>
    <w:rsid w:val="00D95C11"/>
    <w:rsid w:val="00D95E6A"/>
    <w:rsid w:val="00D95FE3"/>
    <w:rsid w:val="00D96D28"/>
    <w:rsid w:val="00D97630"/>
    <w:rsid w:val="00D97C05"/>
    <w:rsid w:val="00DA0382"/>
    <w:rsid w:val="00DA0D99"/>
    <w:rsid w:val="00DA0F32"/>
    <w:rsid w:val="00DA276B"/>
    <w:rsid w:val="00DA2D10"/>
    <w:rsid w:val="00DA322C"/>
    <w:rsid w:val="00DA3617"/>
    <w:rsid w:val="00DA3C49"/>
    <w:rsid w:val="00DA3F3A"/>
    <w:rsid w:val="00DA3FE5"/>
    <w:rsid w:val="00DA410E"/>
    <w:rsid w:val="00DA43B2"/>
    <w:rsid w:val="00DA45B8"/>
    <w:rsid w:val="00DA54EF"/>
    <w:rsid w:val="00DA57F4"/>
    <w:rsid w:val="00DA642B"/>
    <w:rsid w:val="00DA6511"/>
    <w:rsid w:val="00DA69D1"/>
    <w:rsid w:val="00DA69E9"/>
    <w:rsid w:val="00DA6F88"/>
    <w:rsid w:val="00DA7415"/>
    <w:rsid w:val="00DB010E"/>
    <w:rsid w:val="00DB07B6"/>
    <w:rsid w:val="00DB0BAD"/>
    <w:rsid w:val="00DB0BEE"/>
    <w:rsid w:val="00DB39DC"/>
    <w:rsid w:val="00DB3E96"/>
    <w:rsid w:val="00DB4431"/>
    <w:rsid w:val="00DB47AD"/>
    <w:rsid w:val="00DB56A8"/>
    <w:rsid w:val="00DB5C5E"/>
    <w:rsid w:val="00DB5E79"/>
    <w:rsid w:val="00DB66E8"/>
    <w:rsid w:val="00DB6728"/>
    <w:rsid w:val="00DB6D34"/>
    <w:rsid w:val="00DB763A"/>
    <w:rsid w:val="00DB79C7"/>
    <w:rsid w:val="00DC06BB"/>
    <w:rsid w:val="00DC0A1B"/>
    <w:rsid w:val="00DC18C2"/>
    <w:rsid w:val="00DC2367"/>
    <w:rsid w:val="00DC27B3"/>
    <w:rsid w:val="00DC2C94"/>
    <w:rsid w:val="00DC2DB3"/>
    <w:rsid w:val="00DC3260"/>
    <w:rsid w:val="00DC3D29"/>
    <w:rsid w:val="00DC3E76"/>
    <w:rsid w:val="00DC40FC"/>
    <w:rsid w:val="00DC4190"/>
    <w:rsid w:val="00DC44C8"/>
    <w:rsid w:val="00DC4DD8"/>
    <w:rsid w:val="00DC4FC6"/>
    <w:rsid w:val="00DC53C5"/>
    <w:rsid w:val="00DC62A4"/>
    <w:rsid w:val="00DC6366"/>
    <w:rsid w:val="00DC6CD6"/>
    <w:rsid w:val="00DC739F"/>
    <w:rsid w:val="00DC781E"/>
    <w:rsid w:val="00DD020B"/>
    <w:rsid w:val="00DD05E9"/>
    <w:rsid w:val="00DD0A97"/>
    <w:rsid w:val="00DD0AA6"/>
    <w:rsid w:val="00DD14E9"/>
    <w:rsid w:val="00DD1AE1"/>
    <w:rsid w:val="00DD1C94"/>
    <w:rsid w:val="00DD2AC1"/>
    <w:rsid w:val="00DD300B"/>
    <w:rsid w:val="00DD342C"/>
    <w:rsid w:val="00DD3B63"/>
    <w:rsid w:val="00DD3E82"/>
    <w:rsid w:val="00DD3F45"/>
    <w:rsid w:val="00DD42A9"/>
    <w:rsid w:val="00DD4752"/>
    <w:rsid w:val="00DD489C"/>
    <w:rsid w:val="00DD4CBB"/>
    <w:rsid w:val="00DD5448"/>
    <w:rsid w:val="00DD54AC"/>
    <w:rsid w:val="00DD6613"/>
    <w:rsid w:val="00DD6A76"/>
    <w:rsid w:val="00DD6B09"/>
    <w:rsid w:val="00DE0A09"/>
    <w:rsid w:val="00DE0B42"/>
    <w:rsid w:val="00DE1556"/>
    <w:rsid w:val="00DE1AC5"/>
    <w:rsid w:val="00DE1E31"/>
    <w:rsid w:val="00DE2444"/>
    <w:rsid w:val="00DE35BA"/>
    <w:rsid w:val="00DE3824"/>
    <w:rsid w:val="00DE389C"/>
    <w:rsid w:val="00DE4277"/>
    <w:rsid w:val="00DE484E"/>
    <w:rsid w:val="00DE501E"/>
    <w:rsid w:val="00DE50BE"/>
    <w:rsid w:val="00DE6122"/>
    <w:rsid w:val="00DE641D"/>
    <w:rsid w:val="00DE65A6"/>
    <w:rsid w:val="00DE67C8"/>
    <w:rsid w:val="00DF0160"/>
    <w:rsid w:val="00DF0358"/>
    <w:rsid w:val="00DF08A8"/>
    <w:rsid w:val="00DF1AE0"/>
    <w:rsid w:val="00DF1D60"/>
    <w:rsid w:val="00DF22EB"/>
    <w:rsid w:val="00DF2AC9"/>
    <w:rsid w:val="00DF3171"/>
    <w:rsid w:val="00DF3E9A"/>
    <w:rsid w:val="00DF5306"/>
    <w:rsid w:val="00DF57BF"/>
    <w:rsid w:val="00DF5ADF"/>
    <w:rsid w:val="00DF6415"/>
    <w:rsid w:val="00DF6C78"/>
    <w:rsid w:val="00DF6F73"/>
    <w:rsid w:val="00DF7106"/>
    <w:rsid w:val="00DF744D"/>
    <w:rsid w:val="00DF78C5"/>
    <w:rsid w:val="00DF7C3F"/>
    <w:rsid w:val="00DF7E77"/>
    <w:rsid w:val="00E005EE"/>
    <w:rsid w:val="00E0073A"/>
    <w:rsid w:val="00E0080F"/>
    <w:rsid w:val="00E008CC"/>
    <w:rsid w:val="00E015F9"/>
    <w:rsid w:val="00E01926"/>
    <w:rsid w:val="00E01A2A"/>
    <w:rsid w:val="00E01F73"/>
    <w:rsid w:val="00E0284C"/>
    <w:rsid w:val="00E02AAA"/>
    <w:rsid w:val="00E03B2E"/>
    <w:rsid w:val="00E044AD"/>
    <w:rsid w:val="00E053DE"/>
    <w:rsid w:val="00E0575C"/>
    <w:rsid w:val="00E057C4"/>
    <w:rsid w:val="00E05E6A"/>
    <w:rsid w:val="00E06385"/>
    <w:rsid w:val="00E0645F"/>
    <w:rsid w:val="00E07D49"/>
    <w:rsid w:val="00E07D4F"/>
    <w:rsid w:val="00E1129A"/>
    <w:rsid w:val="00E12A54"/>
    <w:rsid w:val="00E12AC4"/>
    <w:rsid w:val="00E12F05"/>
    <w:rsid w:val="00E13525"/>
    <w:rsid w:val="00E13574"/>
    <w:rsid w:val="00E136D1"/>
    <w:rsid w:val="00E1422F"/>
    <w:rsid w:val="00E148AD"/>
    <w:rsid w:val="00E151D8"/>
    <w:rsid w:val="00E15556"/>
    <w:rsid w:val="00E169A9"/>
    <w:rsid w:val="00E17586"/>
    <w:rsid w:val="00E201A9"/>
    <w:rsid w:val="00E20B3F"/>
    <w:rsid w:val="00E20CFC"/>
    <w:rsid w:val="00E2163A"/>
    <w:rsid w:val="00E219D2"/>
    <w:rsid w:val="00E22041"/>
    <w:rsid w:val="00E22EAB"/>
    <w:rsid w:val="00E232BE"/>
    <w:rsid w:val="00E23413"/>
    <w:rsid w:val="00E23897"/>
    <w:rsid w:val="00E23DFD"/>
    <w:rsid w:val="00E23E5E"/>
    <w:rsid w:val="00E23E7C"/>
    <w:rsid w:val="00E2550A"/>
    <w:rsid w:val="00E25C49"/>
    <w:rsid w:val="00E30048"/>
    <w:rsid w:val="00E30448"/>
    <w:rsid w:val="00E30566"/>
    <w:rsid w:val="00E31C0B"/>
    <w:rsid w:val="00E32287"/>
    <w:rsid w:val="00E3271D"/>
    <w:rsid w:val="00E32AAD"/>
    <w:rsid w:val="00E3375A"/>
    <w:rsid w:val="00E35272"/>
    <w:rsid w:val="00E356F0"/>
    <w:rsid w:val="00E35A76"/>
    <w:rsid w:val="00E369FE"/>
    <w:rsid w:val="00E36C89"/>
    <w:rsid w:val="00E37174"/>
    <w:rsid w:val="00E373CA"/>
    <w:rsid w:val="00E37F83"/>
    <w:rsid w:val="00E37F98"/>
    <w:rsid w:val="00E40593"/>
    <w:rsid w:val="00E40B9E"/>
    <w:rsid w:val="00E4337C"/>
    <w:rsid w:val="00E4343A"/>
    <w:rsid w:val="00E434A2"/>
    <w:rsid w:val="00E43A57"/>
    <w:rsid w:val="00E43B63"/>
    <w:rsid w:val="00E44A3C"/>
    <w:rsid w:val="00E452EF"/>
    <w:rsid w:val="00E46266"/>
    <w:rsid w:val="00E469BF"/>
    <w:rsid w:val="00E47E89"/>
    <w:rsid w:val="00E502AB"/>
    <w:rsid w:val="00E503D4"/>
    <w:rsid w:val="00E504E6"/>
    <w:rsid w:val="00E50BE5"/>
    <w:rsid w:val="00E513AF"/>
    <w:rsid w:val="00E534DB"/>
    <w:rsid w:val="00E53AF5"/>
    <w:rsid w:val="00E5412F"/>
    <w:rsid w:val="00E548F0"/>
    <w:rsid w:val="00E54F17"/>
    <w:rsid w:val="00E55866"/>
    <w:rsid w:val="00E562BA"/>
    <w:rsid w:val="00E56D28"/>
    <w:rsid w:val="00E56D83"/>
    <w:rsid w:val="00E56DA1"/>
    <w:rsid w:val="00E57523"/>
    <w:rsid w:val="00E575B0"/>
    <w:rsid w:val="00E5764E"/>
    <w:rsid w:val="00E57F06"/>
    <w:rsid w:val="00E600C1"/>
    <w:rsid w:val="00E601BF"/>
    <w:rsid w:val="00E60C10"/>
    <w:rsid w:val="00E610A8"/>
    <w:rsid w:val="00E62404"/>
    <w:rsid w:val="00E6353D"/>
    <w:rsid w:val="00E63717"/>
    <w:rsid w:val="00E637F3"/>
    <w:rsid w:val="00E63BF8"/>
    <w:rsid w:val="00E63D35"/>
    <w:rsid w:val="00E63FE4"/>
    <w:rsid w:val="00E64114"/>
    <w:rsid w:val="00E645E3"/>
    <w:rsid w:val="00E649EF"/>
    <w:rsid w:val="00E6513C"/>
    <w:rsid w:val="00E65546"/>
    <w:rsid w:val="00E6608E"/>
    <w:rsid w:val="00E66407"/>
    <w:rsid w:val="00E66681"/>
    <w:rsid w:val="00E6698F"/>
    <w:rsid w:val="00E674EE"/>
    <w:rsid w:val="00E6779E"/>
    <w:rsid w:val="00E67A25"/>
    <w:rsid w:val="00E70B33"/>
    <w:rsid w:val="00E70F80"/>
    <w:rsid w:val="00E711CE"/>
    <w:rsid w:val="00E7127D"/>
    <w:rsid w:val="00E71338"/>
    <w:rsid w:val="00E71972"/>
    <w:rsid w:val="00E71BBB"/>
    <w:rsid w:val="00E72BFD"/>
    <w:rsid w:val="00E7347C"/>
    <w:rsid w:val="00E73AFE"/>
    <w:rsid w:val="00E760A3"/>
    <w:rsid w:val="00E76720"/>
    <w:rsid w:val="00E76A0C"/>
    <w:rsid w:val="00E770ED"/>
    <w:rsid w:val="00E778F5"/>
    <w:rsid w:val="00E77D6F"/>
    <w:rsid w:val="00E77FBC"/>
    <w:rsid w:val="00E80905"/>
    <w:rsid w:val="00E8090D"/>
    <w:rsid w:val="00E80F95"/>
    <w:rsid w:val="00E81090"/>
    <w:rsid w:val="00E8125B"/>
    <w:rsid w:val="00E8217F"/>
    <w:rsid w:val="00E8261C"/>
    <w:rsid w:val="00E82A93"/>
    <w:rsid w:val="00E82BFA"/>
    <w:rsid w:val="00E83586"/>
    <w:rsid w:val="00E83ED3"/>
    <w:rsid w:val="00E83FC6"/>
    <w:rsid w:val="00E84AE0"/>
    <w:rsid w:val="00E84FB4"/>
    <w:rsid w:val="00E85013"/>
    <w:rsid w:val="00E853ED"/>
    <w:rsid w:val="00E85F05"/>
    <w:rsid w:val="00E872E7"/>
    <w:rsid w:val="00E90324"/>
    <w:rsid w:val="00E90600"/>
    <w:rsid w:val="00E90B2E"/>
    <w:rsid w:val="00E90D0F"/>
    <w:rsid w:val="00E91EEB"/>
    <w:rsid w:val="00E9240D"/>
    <w:rsid w:val="00E92990"/>
    <w:rsid w:val="00E92C75"/>
    <w:rsid w:val="00E9361E"/>
    <w:rsid w:val="00E9400E"/>
    <w:rsid w:val="00E9411B"/>
    <w:rsid w:val="00E94E24"/>
    <w:rsid w:val="00E951F7"/>
    <w:rsid w:val="00E95BD4"/>
    <w:rsid w:val="00E96BF2"/>
    <w:rsid w:val="00E97E12"/>
    <w:rsid w:val="00E97EA5"/>
    <w:rsid w:val="00EA063F"/>
    <w:rsid w:val="00EA07E2"/>
    <w:rsid w:val="00EA1412"/>
    <w:rsid w:val="00EA2CA6"/>
    <w:rsid w:val="00EA31F2"/>
    <w:rsid w:val="00EA37B0"/>
    <w:rsid w:val="00EA396E"/>
    <w:rsid w:val="00EA3C40"/>
    <w:rsid w:val="00EA409D"/>
    <w:rsid w:val="00EA454B"/>
    <w:rsid w:val="00EA5168"/>
    <w:rsid w:val="00EA58D0"/>
    <w:rsid w:val="00EA6CD2"/>
    <w:rsid w:val="00EA7689"/>
    <w:rsid w:val="00EB02DF"/>
    <w:rsid w:val="00EB0458"/>
    <w:rsid w:val="00EB0BDD"/>
    <w:rsid w:val="00EB1837"/>
    <w:rsid w:val="00EB2176"/>
    <w:rsid w:val="00EB2313"/>
    <w:rsid w:val="00EB289F"/>
    <w:rsid w:val="00EB34AE"/>
    <w:rsid w:val="00EB3CCB"/>
    <w:rsid w:val="00EB3EC9"/>
    <w:rsid w:val="00EB4A44"/>
    <w:rsid w:val="00EB5334"/>
    <w:rsid w:val="00EB5682"/>
    <w:rsid w:val="00EB56EA"/>
    <w:rsid w:val="00EB638F"/>
    <w:rsid w:val="00EB6C05"/>
    <w:rsid w:val="00EB6DB4"/>
    <w:rsid w:val="00EB7266"/>
    <w:rsid w:val="00EC0083"/>
    <w:rsid w:val="00EC027D"/>
    <w:rsid w:val="00EC041F"/>
    <w:rsid w:val="00EC07EC"/>
    <w:rsid w:val="00EC117B"/>
    <w:rsid w:val="00EC15F5"/>
    <w:rsid w:val="00EC1A44"/>
    <w:rsid w:val="00EC2D3C"/>
    <w:rsid w:val="00EC3276"/>
    <w:rsid w:val="00EC33F2"/>
    <w:rsid w:val="00EC356D"/>
    <w:rsid w:val="00EC4B92"/>
    <w:rsid w:val="00EC6764"/>
    <w:rsid w:val="00EC69F1"/>
    <w:rsid w:val="00EC7239"/>
    <w:rsid w:val="00EC768C"/>
    <w:rsid w:val="00ED04B6"/>
    <w:rsid w:val="00ED0C57"/>
    <w:rsid w:val="00ED1297"/>
    <w:rsid w:val="00ED17CB"/>
    <w:rsid w:val="00ED1A5A"/>
    <w:rsid w:val="00ED1B71"/>
    <w:rsid w:val="00ED1CA7"/>
    <w:rsid w:val="00ED2355"/>
    <w:rsid w:val="00ED2A9E"/>
    <w:rsid w:val="00ED2BC4"/>
    <w:rsid w:val="00ED2D8C"/>
    <w:rsid w:val="00ED3EF3"/>
    <w:rsid w:val="00ED4B9A"/>
    <w:rsid w:val="00ED4D0B"/>
    <w:rsid w:val="00ED675F"/>
    <w:rsid w:val="00ED6905"/>
    <w:rsid w:val="00ED6CB2"/>
    <w:rsid w:val="00ED6D12"/>
    <w:rsid w:val="00ED6E14"/>
    <w:rsid w:val="00EE028D"/>
    <w:rsid w:val="00EE0810"/>
    <w:rsid w:val="00EE1122"/>
    <w:rsid w:val="00EE2355"/>
    <w:rsid w:val="00EE24D5"/>
    <w:rsid w:val="00EE2B99"/>
    <w:rsid w:val="00EE2D35"/>
    <w:rsid w:val="00EE2D46"/>
    <w:rsid w:val="00EE3231"/>
    <w:rsid w:val="00EE3842"/>
    <w:rsid w:val="00EE45E4"/>
    <w:rsid w:val="00EE57DD"/>
    <w:rsid w:val="00EE634E"/>
    <w:rsid w:val="00EE6550"/>
    <w:rsid w:val="00EE6785"/>
    <w:rsid w:val="00EE6CFB"/>
    <w:rsid w:val="00EE707E"/>
    <w:rsid w:val="00EE7381"/>
    <w:rsid w:val="00EE7C4E"/>
    <w:rsid w:val="00EF00F8"/>
    <w:rsid w:val="00EF0764"/>
    <w:rsid w:val="00EF0865"/>
    <w:rsid w:val="00EF10E7"/>
    <w:rsid w:val="00EF176B"/>
    <w:rsid w:val="00EF214F"/>
    <w:rsid w:val="00EF2C2D"/>
    <w:rsid w:val="00EF2DE0"/>
    <w:rsid w:val="00EF466D"/>
    <w:rsid w:val="00EF4746"/>
    <w:rsid w:val="00EF5096"/>
    <w:rsid w:val="00EF5E87"/>
    <w:rsid w:val="00EF61A8"/>
    <w:rsid w:val="00EF68BD"/>
    <w:rsid w:val="00F007FE"/>
    <w:rsid w:val="00F012A7"/>
    <w:rsid w:val="00F01C90"/>
    <w:rsid w:val="00F01F03"/>
    <w:rsid w:val="00F02EB3"/>
    <w:rsid w:val="00F0315E"/>
    <w:rsid w:val="00F03883"/>
    <w:rsid w:val="00F04554"/>
    <w:rsid w:val="00F046EC"/>
    <w:rsid w:val="00F04C8C"/>
    <w:rsid w:val="00F04F0D"/>
    <w:rsid w:val="00F05CC7"/>
    <w:rsid w:val="00F05FE6"/>
    <w:rsid w:val="00F06851"/>
    <w:rsid w:val="00F06F80"/>
    <w:rsid w:val="00F077AD"/>
    <w:rsid w:val="00F110CC"/>
    <w:rsid w:val="00F113AE"/>
    <w:rsid w:val="00F11574"/>
    <w:rsid w:val="00F125E8"/>
    <w:rsid w:val="00F13019"/>
    <w:rsid w:val="00F131C0"/>
    <w:rsid w:val="00F13822"/>
    <w:rsid w:val="00F1456A"/>
    <w:rsid w:val="00F15DA1"/>
    <w:rsid w:val="00F16C47"/>
    <w:rsid w:val="00F16CB6"/>
    <w:rsid w:val="00F17560"/>
    <w:rsid w:val="00F1795A"/>
    <w:rsid w:val="00F17B3E"/>
    <w:rsid w:val="00F17BFC"/>
    <w:rsid w:val="00F17F58"/>
    <w:rsid w:val="00F2002C"/>
    <w:rsid w:val="00F20788"/>
    <w:rsid w:val="00F20DD4"/>
    <w:rsid w:val="00F20FF6"/>
    <w:rsid w:val="00F21C72"/>
    <w:rsid w:val="00F21D84"/>
    <w:rsid w:val="00F2240F"/>
    <w:rsid w:val="00F225DF"/>
    <w:rsid w:val="00F22942"/>
    <w:rsid w:val="00F22FC5"/>
    <w:rsid w:val="00F247BC"/>
    <w:rsid w:val="00F24D56"/>
    <w:rsid w:val="00F250B9"/>
    <w:rsid w:val="00F2558D"/>
    <w:rsid w:val="00F2566F"/>
    <w:rsid w:val="00F25D55"/>
    <w:rsid w:val="00F26905"/>
    <w:rsid w:val="00F26C4C"/>
    <w:rsid w:val="00F276FE"/>
    <w:rsid w:val="00F3006D"/>
    <w:rsid w:val="00F300A5"/>
    <w:rsid w:val="00F3066F"/>
    <w:rsid w:val="00F3069B"/>
    <w:rsid w:val="00F30B99"/>
    <w:rsid w:val="00F31DA7"/>
    <w:rsid w:val="00F3272A"/>
    <w:rsid w:val="00F33103"/>
    <w:rsid w:val="00F33901"/>
    <w:rsid w:val="00F33EC0"/>
    <w:rsid w:val="00F349E0"/>
    <w:rsid w:val="00F34CD1"/>
    <w:rsid w:val="00F35D13"/>
    <w:rsid w:val="00F36369"/>
    <w:rsid w:val="00F36E66"/>
    <w:rsid w:val="00F37214"/>
    <w:rsid w:val="00F373B5"/>
    <w:rsid w:val="00F3740F"/>
    <w:rsid w:val="00F37453"/>
    <w:rsid w:val="00F37693"/>
    <w:rsid w:val="00F379DE"/>
    <w:rsid w:val="00F37F92"/>
    <w:rsid w:val="00F40593"/>
    <w:rsid w:val="00F41043"/>
    <w:rsid w:val="00F41A75"/>
    <w:rsid w:val="00F41DD1"/>
    <w:rsid w:val="00F42580"/>
    <w:rsid w:val="00F4262D"/>
    <w:rsid w:val="00F43003"/>
    <w:rsid w:val="00F436F2"/>
    <w:rsid w:val="00F43A45"/>
    <w:rsid w:val="00F4405A"/>
    <w:rsid w:val="00F44114"/>
    <w:rsid w:val="00F45365"/>
    <w:rsid w:val="00F45602"/>
    <w:rsid w:val="00F459F3"/>
    <w:rsid w:val="00F45BB0"/>
    <w:rsid w:val="00F45E46"/>
    <w:rsid w:val="00F46059"/>
    <w:rsid w:val="00F460C0"/>
    <w:rsid w:val="00F46671"/>
    <w:rsid w:val="00F46746"/>
    <w:rsid w:val="00F46F6F"/>
    <w:rsid w:val="00F471E2"/>
    <w:rsid w:val="00F4751B"/>
    <w:rsid w:val="00F47A67"/>
    <w:rsid w:val="00F50958"/>
    <w:rsid w:val="00F50DFE"/>
    <w:rsid w:val="00F50FD3"/>
    <w:rsid w:val="00F5103B"/>
    <w:rsid w:val="00F51055"/>
    <w:rsid w:val="00F51722"/>
    <w:rsid w:val="00F51825"/>
    <w:rsid w:val="00F51B65"/>
    <w:rsid w:val="00F51BC5"/>
    <w:rsid w:val="00F51E3B"/>
    <w:rsid w:val="00F51EBC"/>
    <w:rsid w:val="00F51F68"/>
    <w:rsid w:val="00F52F59"/>
    <w:rsid w:val="00F5337D"/>
    <w:rsid w:val="00F53E9C"/>
    <w:rsid w:val="00F54054"/>
    <w:rsid w:val="00F541B0"/>
    <w:rsid w:val="00F545E8"/>
    <w:rsid w:val="00F549F9"/>
    <w:rsid w:val="00F55CCF"/>
    <w:rsid w:val="00F5631B"/>
    <w:rsid w:val="00F56917"/>
    <w:rsid w:val="00F56B38"/>
    <w:rsid w:val="00F56CAC"/>
    <w:rsid w:val="00F57862"/>
    <w:rsid w:val="00F57D7F"/>
    <w:rsid w:val="00F60260"/>
    <w:rsid w:val="00F6045D"/>
    <w:rsid w:val="00F606B9"/>
    <w:rsid w:val="00F60E86"/>
    <w:rsid w:val="00F61155"/>
    <w:rsid w:val="00F61299"/>
    <w:rsid w:val="00F61AFB"/>
    <w:rsid w:val="00F61B48"/>
    <w:rsid w:val="00F628C0"/>
    <w:rsid w:val="00F63833"/>
    <w:rsid w:val="00F640F6"/>
    <w:rsid w:val="00F64D78"/>
    <w:rsid w:val="00F65491"/>
    <w:rsid w:val="00F6553C"/>
    <w:rsid w:val="00F65549"/>
    <w:rsid w:val="00F661D9"/>
    <w:rsid w:val="00F66845"/>
    <w:rsid w:val="00F66B7E"/>
    <w:rsid w:val="00F67324"/>
    <w:rsid w:val="00F67B66"/>
    <w:rsid w:val="00F67C39"/>
    <w:rsid w:val="00F67F74"/>
    <w:rsid w:val="00F710AD"/>
    <w:rsid w:val="00F716A1"/>
    <w:rsid w:val="00F71735"/>
    <w:rsid w:val="00F71AF5"/>
    <w:rsid w:val="00F71D48"/>
    <w:rsid w:val="00F72B3B"/>
    <w:rsid w:val="00F738AD"/>
    <w:rsid w:val="00F73B97"/>
    <w:rsid w:val="00F746F3"/>
    <w:rsid w:val="00F7498A"/>
    <w:rsid w:val="00F7537A"/>
    <w:rsid w:val="00F762D9"/>
    <w:rsid w:val="00F76735"/>
    <w:rsid w:val="00F76742"/>
    <w:rsid w:val="00F76814"/>
    <w:rsid w:val="00F77D58"/>
    <w:rsid w:val="00F77F46"/>
    <w:rsid w:val="00F80ED8"/>
    <w:rsid w:val="00F817FE"/>
    <w:rsid w:val="00F81E9D"/>
    <w:rsid w:val="00F82026"/>
    <w:rsid w:val="00F8282C"/>
    <w:rsid w:val="00F82EA4"/>
    <w:rsid w:val="00F82EDB"/>
    <w:rsid w:val="00F83086"/>
    <w:rsid w:val="00F84785"/>
    <w:rsid w:val="00F858F9"/>
    <w:rsid w:val="00F8703F"/>
    <w:rsid w:val="00F875D0"/>
    <w:rsid w:val="00F878FF"/>
    <w:rsid w:val="00F90900"/>
    <w:rsid w:val="00F90A32"/>
    <w:rsid w:val="00F913D4"/>
    <w:rsid w:val="00F91907"/>
    <w:rsid w:val="00F91AB4"/>
    <w:rsid w:val="00F91ABB"/>
    <w:rsid w:val="00F91EA0"/>
    <w:rsid w:val="00F92A8F"/>
    <w:rsid w:val="00F92CE3"/>
    <w:rsid w:val="00F93329"/>
    <w:rsid w:val="00F940FF"/>
    <w:rsid w:val="00F94AA0"/>
    <w:rsid w:val="00F95F46"/>
    <w:rsid w:val="00F962D9"/>
    <w:rsid w:val="00F96D92"/>
    <w:rsid w:val="00F97371"/>
    <w:rsid w:val="00F979C3"/>
    <w:rsid w:val="00FA1B96"/>
    <w:rsid w:val="00FA4217"/>
    <w:rsid w:val="00FA5ED3"/>
    <w:rsid w:val="00FA6950"/>
    <w:rsid w:val="00FA6A4F"/>
    <w:rsid w:val="00FA6D34"/>
    <w:rsid w:val="00FA6ED4"/>
    <w:rsid w:val="00FA73DC"/>
    <w:rsid w:val="00FA79B1"/>
    <w:rsid w:val="00FB008E"/>
    <w:rsid w:val="00FB01D4"/>
    <w:rsid w:val="00FB0AA8"/>
    <w:rsid w:val="00FB12E5"/>
    <w:rsid w:val="00FB1547"/>
    <w:rsid w:val="00FB1A0A"/>
    <w:rsid w:val="00FB26E1"/>
    <w:rsid w:val="00FB283C"/>
    <w:rsid w:val="00FB2B9B"/>
    <w:rsid w:val="00FB2BCA"/>
    <w:rsid w:val="00FB3363"/>
    <w:rsid w:val="00FB3E49"/>
    <w:rsid w:val="00FB49F5"/>
    <w:rsid w:val="00FB6201"/>
    <w:rsid w:val="00FB64C1"/>
    <w:rsid w:val="00FB737B"/>
    <w:rsid w:val="00FB73DC"/>
    <w:rsid w:val="00FB7BD7"/>
    <w:rsid w:val="00FC0CC1"/>
    <w:rsid w:val="00FC0E90"/>
    <w:rsid w:val="00FC0FF9"/>
    <w:rsid w:val="00FC1185"/>
    <w:rsid w:val="00FC11B0"/>
    <w:rsid w:val="00FC1F90"/>
    <w:rsid w:val="00FC29C0"/>
    <w:rsid w:val="00FC2BED"/>
    <w:rsid w:val="00FC307A"/>
    <w:rsid w:val="00FC5285"/>
    <w:rsid w:val="00FC534F"/>
    <w:rsid w:val="00FC5954"/>
    <w:rsid w:val="00FC59E5"/>
    <w:rsid w:val="00FC5E42"/>
    <w:rsid w:val="00FC5EE0"/>
    <w:rsid w:val="00FC6040"/>
    <w:rsid w:val="00FC6115"/>
    <w:rsid w:val="00FC62BC"/>
    <w:rsid w:val="00FC6EBF"/>
    <w:rsid w:val="00FC75A2"/>
    <w:rsid w:val="00FC7A9F"/>
    <w:rsid w:val="00FD0741"/>
    <w:rsid w:val="00FD0A8E"/>
    <w:rsid w:val="00FD118A"/>
    <w:rsid w:val="00FD18F6"/>
    <w:rsid w:val="00FD1BB5"/>
    <w:rsid w:val="00FD1BF3"/>
    <w:rsid w:val="00FD1C9A"/>
    <w:rsid w:val="00FD242E"/>
    <w:rsid w:val="00FD25BE"/>
    <w:rsid w:val="00FD314C"/>
    <w:rsid w:val="00FD42E8"/>
    <w:rsid w:val="00FD4963"/>
    <w:rsid w:val="00FD6437"/>
    <w:rsid w:val="00FD66FA"/>
    <w:rsid w:val="00FD6C06"/>
    <w:rsid w:val="00FD6F38"/>
    <w:rsid w:val="00FD710B"/>
    <w:rsid w:val="00FD76EE"/>
    <w:rsid w:val="00FD7B64"/>
    <w:rsid w:val="00FE0379"/>
    <w:rsid w:val="00FE0513"/>
    <w:rsid w:val="00FE0778"/>
    <w:rsid w:val="00FE09E6"/>
    <w:rsid w:val="00FE0AEF"/>
    <w:rsid w:val="00FE13A9"/>
    <w:rsid w:val="00FE222F"/>
    <w:rsid w:val="00FE45C8"/>
    <w:rsid w:val="00FE47EC"/>
    <w:rsid w:val="00FE4A63"/>
    <w:rsid w:val="00FE5856"/>
    <w:rsid w:val="00FE5A16"/>
    <w:rsid w:val="00FE6680"/>
    <w:rsid w:val="00FE6A8C"/>
    <w:rsid w:val="00FE73D5"/>
    <w:rsid w:val="00FE7700"/>
    <w:rsid w:val="00FE7E39"/>
    <w:rsid w:val="00FF13CC"/>
    <w:rsid w:val="00FF20B1"/>
    <w:rsid w:val="00FF2547"/>
    <w:rsid w:val="00FF27C6"/>
    <w:rsid w:val="00FF31C8"/>
    <w:rsid w:val="00FF32BE"/>
    <w:rsid w:val="00FF3569"/>
    <w:rsid w:val="00FF51B1"/>
    <w:rsid w:val="00FF5430"/>
    <w:rsid w:val="00FF724C"/>
    <w:rsid w:val="011F251D"/>
    <w:rsid w:val="01203EBB"/>
    <w:rsid w:val="01207B59"/>
    <w:rsid w:val="0195685A"/>
    <w:rsid w:val="01C52755"/>
    <w:rsid w:val="01D950F6"/>
    <w:rsid w:val="020531A4"/>
    <w:rsid w:val="0351417D"/>
    <w:rsid w:val="039A3ED8"/>
    <w:rsid w:val="03AA2C3F"/>
    <w:rsid w:val="03BA2CC2"/>
    <w:rsid w:val="04025F19"/>
    <w:rsid w:val="041B0C2F"/>
    <w:rsid w:val="041D1929"/>
    <w:rsid w:val="046631AC"/>
    <w:rsid w:val="0470081E"/>
    <w:rsid w:val="047B4ECF"/>
    <w:rsid w:val="04EA61C1"/>
    <w:rsid w:val="055E1038"/>
    <w:rsid w:val="05612CD8"/>
    <w:rsid w:val="059066B3"/>
    <w:rsid w:val="05BC4131"/>
    <w:rsid w:val="05E82A41"/>
    <w:rsid w:val="05F173CA"/>
    <w:rsid w:val="060E4F02"/>
    <w:rsid w:val="061101D4"/>
    <w:rsid w:val="062045F8"/>
    <w:rsid w:val="06662DE7"/>
    <w:rsid w:val="06941DF2"/>
    <w:rsid w:val="06BC2299"/>
    <w:rsid w:val="06DF3697"/>
    <w:rsid w:val="070D1627"/>
    <w:rsid w:val="071F3898"/>
    <w:rsid w:val="0740102F"/>
    <w:rsid w:val="078F36AF"/>
    <w:rsid w:val="07C765C2"/>
    <w:rsid w:val="08242E0E"/>
    <w:rsid w:val="08311597"/>
    <w:rsid w:val="085152E6"/>
    <w:rsid w:val="085D3543"/>
    <w:rsid w:val="08BA07A0"/>
    <w:rsid w:val="08D07D1E"/>
    <w:rsid w:val="08EB6C4F"/>
    <w:rsid w:val="09073675"/>
    <w:rsid w:val="09322BCB"/>
    <w:rsid w:val="097A36D5"/>
    <w:rsid w:val="098E15D7"/>
    <w:rsid w:val="09AD0CC7"/>
    <w:rsid w:val="09DD6664"/>
    <w:rsid w:val="09F21F44"/>
    <w:rsid w:val="0A164154"/>
    <w:rsid w:val="0A23066B"/>
    <w:rsid w:val="0A273800"/>
    <w:rsid w:val="0A41496A"/>
    <w:rsid w:val="0AE55849"/>
    <w:rsid w:val="0B165359"/>
    <w:rsid w:val="0B1A43A3"/>
    <w:rsid w:val="0B1D55AA"/>
    <w:rsid w:val="0B343A21"/>
    <w:rsid w:val="0B580FBB"/>
    <w:rsid w:val="0BEB2FB1"/>
    <w:rsid w:val="0D6D6855"/>
    <w:rsid w:val="0D9B08BD"/>
    <w:rsid w:val="0DC82AB8"/>
    <w:rsid w:val="0DD61800"/>
    <w:rsid w:val="0DE20392"/>
    <w:rsid w:val="0DF51436"/>
    <w:rsid w:val="0E0B1E0C"/>
    <w:rsid w:val="0E3D12C7"/>
    <w:rsid w:val="0EEA5280"/>
    <w:rsid w:val="0F0C4B39"/>
    <w:rsid w:val="0F2759E5"/>
    <w:rsid w:val="0F7E3778"/>
    <w:rsid w:val="0F8004BB"/>
    <w:rsid w:val="0FB071DF"/>
    <w:rsid w:val="0FEA20EF"/>
    <w:rsid w:val="1042758C"/>
    <w:rsid w:val="10545532"/>
    <w:rsid w:val="10914FFE"/>
    <w:rsid w:val="10C45E22"/>
    <w:rsid w:val="111A6478"/>
    <w:rsid w:val="112128B8"/>
    <w:rsid w:val="1183141E"/>
    <w:rsid w:val="11A42BB3"/>
    <w:rsid w:val="11A8079E"/>
    <w:rsid w:val="11AE47A1"/>
    <w:rsid w:val="11CC1E63"/>
    <w:rsid w:val="11CD1C9B"/>
    <w:rsid w:val="11DF3786"/>
    <w:rsid w:val="11F30DC5"/>
    <w:rsid w:val="125A5F17"/>
    <w:rsid w:val="1272733F"/>
    <w:rsid w:val="12817F15"/>
    <w:rsid w:val="1284148E"/>
    <w:rsid w:val="12AD6790"/>
    <w:rsid w:val="12BF2796"/>
    <w:rsid w:val="12EF27DA"/>
    <w:rsid w:val="12F57DD8"/>
    <w:rsid w:val="13E2127B"/>
    <w:rsid w:val="14105EB0"/>
    <w:rsid w:val="14507A0B"/>
    <w:rsid w:val="145A7080"/>
    <w:rsid w:val="14894E98"/>
    <w:rsid w:val="14CB3DD9"/>
    <w:rsid w:val="15063646"/>
    <w:rsid w:val="15087518"/>
    <w:rsid w:val="1518570A"/>
    <w:rsid w:val="1546345F"/>
    <w:rsid w:val="15682AA6"/>
    <w:rsid w:val="15A1686E"/>
    <w:rsid w:val="15AC59B8"/>
    <w:rsid w:val="15B81E09"/>
    <w:rsid w:val="15C37F6E"/>
    <w:rsid w:val="161171AC"/>
    <w:rsid w:val="16140702"/>
    <w:rsid w:val="161E3CC0"/>
    <w:rsid w:val="16214089"/>
    <w:rsid w:val="167B287C"/>
    <w:rsid w:val="16CF4C44"/>
    <w:rsid w:val="16DF1C51"/>
    <w:rsid w:val="16E41182"/>
    <w:rsid w:val="17502C0E"/>
    <w:rsid w:val="17825A06"/>
    <w:rsid w:val="17D413AF"/>
    <w:rsid w:val="17FE7CDB"/>
    <w:rsid w:val="18205602"/>
    <w:rsid w:val="186F5470"/>
    <w:rsid w:val="189A2E00"/>
    <w:rsid w:val="18AF23E0"/>
    <w:rsid w:val="191343F5"/>
    <w:rsid w:val="198A6011"/>
    <w:rsid w:val="19B16EF2"/>
    <w:rsid w:val="19BD63CC"/>
    <w:rsid w:val="19EF6388"/>
    <w:rsid w:val="1A126175"/>
    <w:rsid w:val="1A254024"/>
    <w:rsid w:val="1A6B04CE"/>
    <w:rsid w:val="1AD64C17"/>
    <w:rsid w:val="1ADC2F19"/>
    <w:rsid w:val="1B094719"/>
    <w:rsid w:val="1B3F1AA6"/>
    <w:rsid w:val="1BE35BD3"/>
    <w:rsid w:val="1C1E6495"/>
    <w:rsid w:val="1C231486"/>
    <w:rsid w:val="1C3D5A92"/>
    <w:rsid w:val="1CD74A30"/>
    <w:rsid w:val="1D073A17"/>
    <w:rsid w:val="1D0C476B"/>
    <w:rsid w:val="1D150CCF"/>
    <w:rsid w:val="1D5369D2"/>
    <w:rsid w:val="1D9B4896"/>
    <w:rsid w:val="1DF20628"/>
    <w:rsid w:val="1EA145F0"/>
    <w:rsid w:val="1EB973DD"/>
    <w:rsid w:val="1EC23455"/>
    <w:rsid w:val="1EC70C6B"/>
    <w:rsid w:val="1F0C0CFB"/>
    <w:rsid w:val="1F336628"/>
    <w:rsid w:val="1F371C2F"/>
    <w:rsid w:val="1F527756"/>
    <w:rsid w:val="1F940C3D"/>
    <w:rsid w:val="1FA5265D"/>
    <w:rsid w:val="1FAA3A2E"/>
    <w:rsid w:val="1FAF0BB3"/>
    <w:rsid w:val="202A6865"/>
    <w:rsid w:val="20413686"/>
    <w:rsid w:val="20B813A3"/>
    <w:rsid w:val="20C71FF8"/>
    <w:rsid w:val="20DB1877"/>
    <w:rsid w:val="20F6344B"/>
    <w:rsid w:val="20FC53CE"/>
    <w:rsid w:val="215C4736"/>
    <w:rsid w:val="21881CE4"/>
    <w:rsid w:val="219D78D4"/>
    <w:rsid w:val="21B661A4"/>
    <w:rsid w:val="21BC55BD"/>
    <w:rsid w:val="21C432BD"/>
    <w:rsid w:val="221B3D2B"/>
    <w:rsid w:val="221B786D"/>
    <w:rsid w:val="22990DF4"/>
    <w:rsid w:val="22BE47BA"/>
    <w:rsid w:val="22DB1410"/>
    <w:rsid w:val="232841D4"/>
    <w:rsid w:val="237A3B82"/>
    <w:rsid w:val="23BF27AF"/>
    <w:rsid w:val="23C20825"/>
    <w:rsid w:val="23C579E4"/>
    <w:rsid w:val="23DC0EEC"/>
    <w:rsid w:val="24571544"/>
    <w:rsid w:val="247A0118"/>
    <w:rsid w:val="247B2B17"/>
    <w:rsid w:val="24B4D623"/>
    <w:rsid w:val="24DA3BA1"/>
    <w:rsid w:val="24EF3434"/>
    <w:rsid w:val="24F82E9D"/>
    <w:rsid w:val="254908F0"/>
    <w:rsid w:val="25533BBB"/>
    <w:rsid w:val="259572E3"/>
    <w:rsid w:val="259D1F7B"/>
    <w:rsid w:val="260D3FC7"/>
    <w:rsid w:val="267157B6"/>
    <w:rsid w:val="26F10B88"/>
    <w:rsid w:val="270654E6"/>
    <w:rsid w:val="270B22EB"/>
    <w:rsid w:val="270D3C72"/>
    <w:rsid w:val="273A156E"/>
    <w:rsid w:val="27655254"/>
    <w:rsid w:val="276B2E11"/>
    <w:rsid w:val="278A18D2"/>
    <w:rsid w:val="27942803"/>
    <w:rsid w:val="27A6519D"/>
    <w:rsid w:val="27A67A03"/>
    <w:rsid w:val="27BA0A36"/>
    <w:rsid w:val="27DD4678"/>
    <w:rsid w:val="27F03E2A"/>
    <w:rsid w:val="27FB460E"/>
    <w:rsid w:val="2804263C"/>
    <w:rsid w:val="28362550"/>
    <w:rsid w:val="28427498"/>
    <w:rsid w:val="28573FCA"/>
    <w:rsid w:val="2875173D"/>
    <w:rsid w:val="289E23F3"/>
    <w:rsid w:val="28CE41A6"/>
    <w:rsid w:val="28D350BD"/>
    <w:rsid w:val="29A82220"/>
    <w:rsid w:val="29BEB437"/>
    <w:rsid w:val="2A242E70"/>
    <w:rsid w:val="2A2B429D"/>
    <w:rsid w:val="2A637122"/>
    <w:rsid w:val="2A845C0B"/>
    <w:rsid w:val="2AFA1016"/>
    <w:rsid w:val="2B17347C"/>
    <w:rsid w:val="2B354727"/>
    <w:rsid w:val="2B6D3EBD"/>
    <w:rsid w:val="2B753532"/>
    <w:rsid w:val="2B895973"/>
    <w:rsid w:val="2B8D3A26"/>
    <w:rsid w:val="2BAA23D2"/>
    <w:rsid w:val="2BD93972"/>
    <w:rsid w:val="2BFC6A45"/>
    <w:rsid w:val="2C573541"/>
    <w:rsid w:val="2C934D84"/>
    <w:rsid w:val="2CF41F8B"/>
    <w:rsid w:val="2D0D05FE"/>
    <w:rsid w:val="2D182AD8"/>
    <w:rsid w:val="2D496844"/>
    <w:rsid w:val="2D8A07A1"/>
    <w:rsid w:val="2DA28150"/>
    <w:rsid w:val="2DC225E7"/>
    <w:rsid w:val="2E0F3F33"/>
    <w:rsid w:val="2E60513A"/>
    <w:rsid w:val="2E640EE2"/>
    <w:rsid w:val="2E872A16"/>
    <w:rsid w:val="2E87322E"/>
    <w:rsid w:val="2EB0310C"/>
    <w:rsid w:val="2F0E5B01"/>
    <w:rsid w:val="2F1474CF"/>
    <w:rsid w:val="2F217151"/>
    <w:rsid w:val="2F2224D1"/>
    <w:rsid w:val="2F4C3D05"/>
    <w:rsid w:val="300F69FE"/>
    <w:rsid w:val="301A5EE8"/>
    <w:rsid w:val="305B528A"/>
    <w:rsid w:val="309E2417"/>
    <w:rsid w:val="30A1575F"/>
    <w:rsid w:val="30CC4D1C"/>
    <w:rsid w:val="3196239A"/>
    <w:rsid w:val="31C4105A"/>
    <w:rsid w:val="31E76D0B"/>
    <w:rsid w:val="321C75CA"/>
    <w:rsid w:val="322F7824"/>
    <w:rsid w:val="327925E0"/>
    <w:rsid w:val="3295541B"/>
    <w:rsid w:val="32B43D17"/>
    <w:rsid w:val="33354DE7"/>
    <w:rsid w:val="33593A3B"/>
    <w:rsid w:val="339554D0"/>
    <w:rsid w:val="339E0D7E"/>
    <w:rsid w:val="33D9655A"/>
    <w:rsid w:val="33DE36C7"/>
    <w:rsid w:val="33E44AF3"/>
    <w:rsid w:val="341674CA"/>
    <w:rsid w:val="341E7629"/>
    <w:rsid w:val="342F4D61"/>
    <w:rsid w:val="350D02F0"/>
    <w:rsid w:val="355E0668"/>
    <w:rsid w:val="35AB2CA8"/>
    <w:rsid w:val="35E911FD"/>
    <w:rsid w:val="370F335E"/>
    <w:rsid w:val="37203A99"/>
    <w:rsid w:val="37882F80"/>
    <w:rsid w:val="378F6651"/>
    <w:rsid w:val="37932294"/>
    <w:rsid w:val="380F6965"/>
    <w:rsid w:val="38274936"/>
    <w:rsid w:val="38394A94"/>
    <w:rsid w:val="387C777D"/>
    <w:rsid w:val="38A21F68"/>
    <w:rsid w:val="38AE3570"/>
    <w:rsid w:val="38C33ED6"/>
    <w:rsid w:val="38CE61CA"/>
    <w:rsid w:val="39213309"/>
    <w:rsid w:val="39423DBA"/>
    <w:rsid w:val="39425118"/>
    <w:rsid w:val="394B0B9C"/>
    <w:rsid w:val="39505428"/>
    <w:rsid w:val="39610843"/>
    <w:rsid w:val="398D01A0"/>
    <w:rsid w:val="39AA099D"/>
    <w:rsid w:val="39DB6F54"/>
    <w:rsid w:val="3A25250F"/>
    <w:rsid w:val="3A8D328E"/>
    <w:rsid w:val="3ADD3CFD"/>
    <w:rsid w:val="3B256C4E"/>
    <w:rsid w:val="3B4E442B"/>
    <w:rsid w:val="3B7A0891"/>
    <w:rsid w:val="3C0B508A"/>
    <w:rsid w:val="3C30372A"/>
    <w:rsid w:val="3C4D6CFE"/>
    <w:rsid w:val="3CAC71DE"/>
    <w:rsid w:val="3CF230F2"/>
    <w:rsid w:val="3D6036BC"/>
    <w:rsid w:val="3D707FC0"/>
    <w:rsid w:val="3DA520CC"/>
    <w:rsid w:val="3DD82039"/>
    <w:rsid w:val="3DDF0009"/>
    <w:rsid w:val="3E2E7433"/>
    <w:rsid w:val="3E5C6C61"/>
    <w:rsid w:val="3E8C7A26"/>
    <w:rsid w:val="3ECC7018"/>
    <w:rsid w:val="3F055894"/>
    <w:rsid w:val="3F516629"/>
    <w:rsid w:val="3F532B7F"/>
    <w:rsid w:val="3F855198"/>
    <w:rsid w:val="405707BC"/>
    <w:rsid w:val="40590C4C"/>
    <w:rsid w:val="406D7300"/>
    <w:rsid w:val="40FF35C1"/>
    <w:rsid w:val="41361FC0"/>
    <w:rsid w:val="41C012FF"/>
    <w:rsid w:val="41E10C70"/>
    <w:rsid w:val="42935269"/>
    <w:rsid w:val="429A0303"/>
    <w:rsid w:val="429D7BEA"/>
    <w:rsid w:val="43287E40"/>
    <w:rsid w:val="43511F37"/>
    <w:rsid w:val="43524A08"/>
    <w:rsid w:val="435D5399"/>
    <w:rsid w:val="43888190"/>
    <w:rsid w:val="43D41C86"/>
    <w:rsid w:val="446F72EB"/>
    <w:rsid w:val="44883994"/>
    <w:rsid w:val="4492788B"/>
    <w:rsid w:val="44A76707"/>
    <w:rsid w:val="44C01483"/>
    <w:rsid w:val="4522431B"/>
    <w:rsid w:val="452D5D67"/>
    <w:rsid w:val="45BD49BC"/>
    <w:rsid w:val="45F44B43"/>
    <w:rsid w:val="462835E3"/>
    <w:rsid w:val="46703E3E"/>
    <w:rsid w:val="472921D1"/>
    <w:rsid w:val="47385A50"/>
    <w:rsid w:val="47F2C001"/>
    <w:rsid w:val="47FC1919"/>
    <w:rsid w:val="48304DC3"/>
    <w:rsid w:val="48437CB3"/>
    <w:rsid w:val="48634772"/>
    <w:rsid w:val="4891428A"/>
    <w:rsid w:val="489F0449"/>
    <w:rsid w:val="48AE71C0"/>
    <w:rsid w:val="48E23EED"/>
    <w:rsid w:val="490177EE"/>
    <w:rsid w:val="49E51FED"/>
    <w:rsid w:val="4A2675EB"/>
    <w:rsid w:val="4A6A5C4D"/>
    <w:rsid w:val="4AD02480"/>
    <w:rsid w:val="4AD12B24"/>
    <w:rsid w:val="4AD75C2B"/>
    <w:rsid w:val="4B103655"/>
    <w:rsid w:val="4B285638"/>
    <w:rsid w:val="4B8C2A00"/>
    <w:rsid w:val="4BA80AFE"/>
    <w:rsid w:val="4C76404E"/>
    <w:rsid w:val="4C7B446F"/>
    <w:rsid w:val="4C881917"/>
    <w:rsid w:val="4C9E19C0"/>
    <w:rsid w:val="4CC60394"/>
    <w:rsid w:val="4CDF7A1B"/>
    <w:rsid w:val="4D2716BA"/>
    <w:rsid w:val="4D2C439F"/>
    <w:rsid w:val="4D51587D"/>
    <w:rsid w:val="4D534390"/>
    <w:rsid w:val="4D931A4C"/>
    <w:rsid w:val="4DC71B74"/>
    <w:rsid w:val="4E387C78"/>
    <w:rsid w:val="4E6C5FF6"/>
    <w:rsid w:val="4E8746FC"/>
    <w:rsid w:val="4ECC7F56"/>
    <w:rsid w:val="4EE2331C"/>
    <w:rsid w:val="4EEF7987"/>
    <w:rsid w:val="4F093F4B"/>
    <w:rsid w:val="4F410364"/>
    <w:rsid w:val="4F507E7D"/>
    <w:rsid w:val="4F5C75FB"/>
    <w:rsid w:val="4F7E21BC"/>
    <w:rsid w:val="4F842D56"/>
    <w:rsid w:val="4FAE11FC"/>
    <w:rsid w:val="4FBA6DB9"/>
    <w:rsid w:val="4FCF53F6"/>
    <w:rsid w:val="4FD51FF0"/>
    <w:rsid w:val="4FEF09F4"/>
    <w:rsid w:val="502D1C55"/>
    <w:rsid w:val="5080437D"/>
    <w:rsid w:val="51056EE7"/>
    <w:rsid w:val="514868EE"/>
    <w:rsid w:val="516C4956"/>
    <w:rsid w:val="51710677"/>
    <w:rsid w:val="51722FF6"/>
    <w:rsid w:val="51886E1C"/>
    <w:rsid w:val="519C5369"/>
    <w:rsid w:val="51A404F0"/>
    <w:rsid w:val="520E3ED4"/>
    <w:rsid w:val="523C3645"/>
    <w:rsid w:val="528B6F1A"/>
    <w:rsid w:val="52D47AC0"/>
    <w:rsid w:val="53106DAB"/>
    <w:rsid w:val="536F1A94"/>
    <w:rsid w:val="5396417F"/>
    <w:rsid w:val="54224EA2"/>
    <w:rsid w:val="545F6C51"/>
    <w:rsid w:val="54877424"/>
    <w:rsid w:val="54941CE7"/>
    <w:rsid w:val="54ED1452"/>
    <w:rsid w:val="55004972"/>
    <w:rsid w:val="5537456C"/>
    <w:rsid w:val="5571600D"/>
    <w:rsid w:val="5583150B"/>
    <w:rsid w:val="568B745F"/>
    <w:rsid w:val="56A02F80"/>
    <w:rsid w:val="56A50CDA"/>
    <w:rsid w:val="56E2546E"/>
    <w:rsid w:val="56E32C4A"/>
    <w:rsid w:val="579E6214"/>
    <w:rsid w:val="57B56E2E"/>
    <w:rsid w:val="58BE5F74"/>
    <w:rsid w:val="58CC2633"/>
    <w:rsid w:val="58E529E1"/>
    <w:rsid w:val="58F00A4E"/>
    <w:rsid w:val="59173FA0"/>
    <w:rsid w:val="59683F98"/>
    <w:rsid w:val="596C2400"/>
    <w:rsid w:val="59FB30B7"/>
    <w:rsid w:val="5A0F25CF"/>
    <w:rsid w:val="5A1620C7"/>
    <w:rsid w:val="5A443198"/>
    <w:rsid w:val="5A4A649C"/>
    <w:rsid w:val="5A6873CB"/>
    <w:rsid w:val="5A9C0F81"/>
    <w:rsid w:val="5AAA0311"/>
    <w:rsid w:val="5AC864B9"/>
    <w:rsid w:val="5B6D74DA"/>
    <w:rsid w:val="5BDB5C3F"/>
    <w:rsid w:val="5BDC62F2"/>
    <w:rsid w:val="5C0349CC"/>
    <w:rsid w:val="5C0F5B4E"/>
    <w:rsid w:val="5C574AC3"/>
    <w:rsid w:val="5C7F6ACD"/>
    <w:rsid w:val="5CBD33F2"/>
    <w:rsid w:val="5D080CF3"/>
    <w:rsid w:val="5D1256CE"/>
    <w:rsid w:val="5D2D66DB"/>
    <w:rsid w:val="5D4A4C0E"/>
    <w:rsid w:val="5DB04C90"/>
    <w:rsid w:val="5E4D7F51"/>
    <w:rsid w:val="5E6847AF"/>
    <w:rsid w:val="5E826883"/>
    <w:rsid w:val="5EB83F07"/>
    <w:rsid w:val="5ECB4EFE"/>
    <w:rsid w:val="5EE22509"/>
    <w:rsid w:val="5F6D177F"/>
    <w:rsid w:val="5FB05FBE"/>
    <w:rsid w:val="5FC41C75"/>
    <w:rsid w:val="5FDD42D4"/>
    <w:rsid w:val="5FEA2E72"/>
    <w:rsid w:val="600F2DDA"/>
    <w:rsid w:val="60314F4C"/>
    <w:rsid w:val="60606896"/>
    <w:rsid w:val="60EB1C49"/>
    <w:rsid w:val="610B690B"/>
    <w:rsid w:val="61612CFE"/>
    <w:rsid w:val="61DB1D36"/>
    <w:rsid w:val="620333B0"/>
    <w:rsid w:val="624F2E86"/>
    <w:rsid w:val="627C6F22"/>
    <w:rsid w:val="628C7FFB"/>
    <w:rsid w:val="62A438D3"/>
    <w:rsid w:val="62B96FE1"/>
    <w:rsid w:val="633B34A5"/>
    <w:rsid w:val="634E7862"/>
    <w:rsid w:val="63702777"/>
    <w:rsid w:val="638D3F44"/>
    <w:rsid w:val="63A10E0E"/>
    <w:rsid w:val="63CF4C9A"/>
    <w:rsid w:val="63CF7B03"/>
    <w:rsid w:val="64541F40"/>
    <w:rsid w:val="64571E7C"/>
    <w:rsid w:val="649545A1"/>
    <w:rsid w:val="64B809E2"/>
    <w:rsid w:val="64B928D3"/>
    <w:rsid w:val="64D2627A"/>
    <w:rsid w:val="64D97E55"/>
    <w:rsid w:val="65313E9D"/>
    <w:rsid w:val="655F2BD6"/>
    <w:rsid w:val="65E2470D"/>
    <w:rsid w:val="65E669EC"/>
    <w:rsid w:val="661A24D4"/>
    <w:rsid w:val="66267799"/>
    <w:rsid w:val="66406C8C"/>
    <w:rsid w:val="66DD7C50"/>
    <w:rsid w:val="66FB20D6"/>
    <w:rsid w:val="67015CF1"/>
    <w:rsid w:val="67157A1D"/>
    <w:rsid w:val="67730C4D"/>
    <w:rsid w:val="679C7AE2"/>
    <w:rsid w:val="67D07BF0"/>
    <w:rsid w:val="67DD7FE3"/>
    <w:rsid w:val="67DE621C"/>
    <w:rsid w:val="67FC0F5A"/>
    <w:rsid w:val="68581B13"/>
    <w:rsid w:val="686102B9"/>
    <w:rsid w:val="68760D47"/>
    <w:rsid w:val="69D50934"/>
    <w:rsid w:val="69F4312C"/>
    <w:rsid w:val="6A1030EB"/>
    <w:rsid w:val="6A495DAA"/>
    <w:rsid w:val="6AC53691"/>
    <w:rsid w:val="6AFC52A8"/>
    <w:rsid w:val="6B173EB2"/>
    <w:rsid w:val="6B2A60DB"/>
    <w:rsid w:val="6B4D219F"/>
    <w:rsid w:val="6B824E99"/>
    <w:rsid w:val="6BF14162"/>
    <w:rsid w:val="6BFEB562"/>
    <w:rsid w:val="6C414AB2"/>
    <w:rsid w:val="6CAA479F"/>
    <w:rsid w:val="6D0C3CFA"/>
    <w:rsid w:val="6D297B3E"/>
    <w:rsid w:val="6D760048"/>
    <w:rsid w:val="6D77332B"/>
    <w:rsid w:val="6DF03EC3"/>
    <w:rsid w:val="6DF14F1A"/>
    <w:rsid w:val="6DF6BB41"/>
    <w:rsid w:val="6E365989"/>
    <w:rsid w:val="6E5C1BB1"/>
    <w:rsid w:val="6E6733CC"/>
    <w:rsid w:val="6E8223B6"/>
    <w:rsid w:val="6EA501C4"/>
    <w:rsid w:val="6EC74D03"/>
    <w:rsid w:val="6EEC6DFC"/>
    <w:rsid w:val="6F052E6B"/>
    <w:rsid w:val="6F402749"/>
    <w:rsid w:val="6F7001F4"/>
    <w:rsid w:val="6FB61452"/>
    <w:rsid w:val="6FE767F1"/>
    <w:rsid w:val="6FEF4336"/>
    <w:rsid w:val="701D3DDF"/>
    <w:rsid w:val="704A249D"/>
    <w:rsid w:val="70587404"/>
    <w:rsid w:val="705F2AD5"/>
    <w:rsid w:val="70866D23"/>
    <w:rsid w:val="708B5646"/>
    <w:rsid w:val="70C76A29"/>
    <w:rsid w:val="70C803F5"/>
    <w:rsid w:val="710A7415"/>
    <w:rsid w:val="711F38A9"/>
    <w:rsid w:val="712B0BDB"/>
    <w:rsid w:val="714D3CD1"/>
    <w:rsid w:val="71633523"/>
    <w:rsid w:val="71642515"/>
    <w:rsid w:val="717B764A"/>
    <w:rsid w:val="71813548"/>
    <w:rsid w:val="71AC4B85"/>
    <w:rsid w:val="71B40FF2"/>
    <w:rsid w:val="71CE4EA6"/>
    <w:rsid w:val="71EA5B48"/>
    <w:rsid w:val="71F159DB"/>
    <w:rsid w:val="722171B0"/>
    <w:rsid w:val="722B2C5E"/>
    <w:rsid w:val="72521BD3"/>
    <w:rsid w:val="72A93B14"/>
    <w:rsid w:val="72BF6C48"/>
    <w:rsid w:val="72C13030"/>
    <w:rsid w:val="72C42A56"/>
    <w:rsid w:val="72D30D83"/>
    <w:rsid w:val="72EC7885"/>
    <w:rsid w:val="72F02B78"/>
    <w:rsid w:val="73262704"/>
    <w:rsid w:val="73A60330"/>
    <w:rsid w:val="73A612D7"/>
    <w:rsid w:val="747316A8"/>
    <w:rsid w:val="74902A64"/>
    <w:rsid w:val="74BF0D6F"/>
    <w:rsid w:val="75897D5B"/>
    <w:rsid w:val="75913708"/>
    <w:rsid w:val="75C5050B"/>
    <w:rsid w:val="767F25A2"/>
    <w:rsid w:val="76974C3B"/>
    <w:rsid w:val="76B22232"/>
    <w:rsid w:val="76CC2CFF"/>
    <w:rsid w:val="76D0518F"/>
    <w:rsid w:val="76F46004"/>
    <w:rsid w:val="771865D2"/>
    <w:rsid w:val="776A1A51"/>
    <w:rsid w:val="776D0A7D"/>
    <w:rsid w:val="77846810"/>
    <w:rsid w:val="77892781"/>
    <w:rsid w:val="787E7E59"/>
    <w:rsid w:val="78874C07"/>
    <w:rsid w:val="78880354"/>
    <w:rsid w:val="789C5F68"/>
    <w:rsid w:val="78F3511F"/>
    <w:rsid w:val="79093136"/>
    <w:rsid w:val="79183C14"/>
    <w:rsid w:val="791F1552"/>
    <w:rsid w:val="7942768C"/>
    <w:rsid w:val="7966337A"/>
    <w:rsid w:val="79871516"/>
    <w:rsid w:val="79CB5C60"/>
    <w:rsid w:val="79DC2E94"/>
    <w:rsid w:val="7A232035"/>
    <w:rsid w:val="7A3562E6"/>
    <w:rsid w:val="7A4B32C7"/>
    <w:rsid w:val="7A6F67AC"/>
    <w:rsid w:val="7AC163BB"/>
    <w:rsid w:val="7ACB6585"/>
    <w:rsid w:val="7AD4482E"/>
    <w:rsid w:val="7B074BD9"/>
    <w:rsid w:val="7BA203F8"/>
    <w:rsid w:val="7BDF4689"/>
    <w:rsid w:val="7BF51EAC"/>
    <w:rsid w:val="7C5F654E"/>
    <w:rsid w:val="7CBE2D25"/>
    <w:rsid w:val="7D5F1FA6"/>
    <w:rsid w:val="7D6456CB"/>
    <w:rsid w:val="7DC160A2"/>
    <w:rsid w:val="7DD708AE"/>
    <w:rsid w:val="7E717A18"/>
    <w:rsid w:val="7E7C6352"/>
    <w:rsid w:val="7E89142D"/>
    <w:rsid w:val="7F5337FD"/>
    <w:rsid w:val="7F572AE8"/>
    <w:rsid w:val="7F96532A"/>
    <w:rsid w:val="7FED69DD"/>
    <w:rsid w:val="812E654B"/>
    <w:rsid w:val="BB75085F"/>
    <w:rsid w:val="D7E389DC"/>
    <w:rsid w:val="E807BCFD"/>
    <w:rsid w:val="FFF5E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iPriority="39" w:semiHidden="0" w:name="toc 1"/>
    <w:lsdException w:qFormat="1" w:uiPriority="39" w:semiHidden="0" w:name="toc 2"/>
    <w:lsdException w:qFormat="1" w:uiPriority="0" w:name="toc 3"/>
    <w:lsdException w:uiPriority="0" w:name="toc 4"/>
    <w:lsdException w:uiPriority="0" w:name="toc 5"/>
    <w:lsdException w:qFormat="1" w:unhideWhenUsed="0"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59"/>
    <w:autoRedefine/>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link w:val="60"/>
    <w:autoRedefine/>
    <w:qFormat/>
    <w:uiPriority w:val="9"/>
    <w:pPr>
      <w:keepNext/>
      <w:keepLines/>
      <w:spacing w:before="260" w:after="260" w:line="413" w:lineRule="auto"/>
      <w:outlineLvl w:val="1"/>
    </w:pPr>
    <w:rPr>
      <w:rFonts w:ascii="Arial" w:hAnsi="Arial" w:eastAsia="黑体"/>
      <w:b/>
      <w:bCs/>
      <w:kern w:val="2"/>
      <w:sz w:val="32"/>
      <w:szCs w:val="32"/>
    </w:rPr>
  </w:style>
  <w:style w:type="paragraph" w:styleId="4">
    <w:name w:val="heading 3"/>
    <w:basedOn w:val="1"/>
    <w:next w:val="1"/>
    <w:link w:val="61"/>
    <w:autoRedefine/>
    <w:qFormat/>
    <w:uiPriority w:val="0"/>
    <w:pPr>
      <w:keepNext/>
      <w:keepLines/>
      <w:spacing w:before="260" w:after="260" w:line="413" w:lineRule="auto"/>
      <w:outlineLvl w:val="2"/>
    </w:pPr>
    <w:rPr>
      <w:b/>
      <w:bCs/>
      <w:kern w:val="2"/>
      <w:sz w:val="32"/>
      <w:szCs w:val="32"/>
    </w:rPr>
  </w:style>
  <w:style w:type="paragraph" w:styleId="5">
    <w:name w:val="heading 4"/>
    <w:basedOn w:val="1"/>
    <w:next w:val="1"/>
    <w:link w:val="62"/>
    <w:autoRedefine/>
    <w:qFormat/>
    <w:uiPriority w:val="0"/>
    <w:pPr>
      <w:keepNext/>
      <w:keepLines/>
      <w:tabs>
        <w:tab w:val="left" w:pos="864"/>
      </w:tabs>
      <w:ind w:left="864" w:hanging="864"/>
      <w:outlineLvl w:val="3"/>
    </w:pPr>
    <w:rPr>
      <w:rFonts w:ascii="Arial" w:hAnsi="Arial" w:eastAsia="Times New Roman"/>
      <w:b/>
      <w:bCs/>
      <w:kern w:val="2"/>
      <w:sz w:val="28"/>
      <w:szCs w:val="28"/>
    </w:rPr>
  </w:style>
  <w:style w:type="paragraph" w:styleId="6">
    <w:name w:val="heading 5"/>
    <w:basedOn w:val="1"/>
    <w:next w:val="1"/>
    <w:link w:val="63"/>
    <w:autoRedefine/>
    <w:qFormat/>
    <w:uiPriority w:val="0"/>
    <w:pPr>
      <w:keepNext/>
      <w:keepLines/>
      <w:tabs>
        <w:tab w:val="left" w:pos="567"/>
      </w:tabs>
      <w:ind w:left="567" w:hanging="567"/>
      <w:outlineLvl w:val="4"/>
    </w:pPr>
    <w:rPr>
      <w:b/>
      <w:bCs/>
      <w:kern w:val="2"/>
      <w:sz w:val="28"/>
      <w:szCs w:val="28"/>
    </w:rPr>
  </w:style>
  <w:style w:type="paragraph" w:styleId="7">
    <w:name w:val="heading 6"/>
    <w:basedOn w:val="1"/>
    <w:next w:val="1"/>
    <w:link w:val="64"/>
    <w:autoRedefine/>
    <w:qFormat/>
    <w:uiPriority w:val="0"/>
    <w:pPr>
      <w:keepNext/>
      <w:keepLines/>
      <w:tabs>
        <w:tab w:val="left" w:pos="851"/>
      </w:tabs>
      <w:spacing w:before="240" w:after="64" w:line="320" w:lineRule="auto"/>
      <w:ind w:left="851" w:hanging="851"/>
      <w:outlineLvl w:val="5"/>
    </w:pPr>
    <w:rPr>
      <w:rFonts w:ascii="Arial" w:hAnsi="Arial" w:eastAsia="黑体"/>
      <w:b/>
      <w:bCs/>
      <w:kern w:val="2"/>
      <w:sz w:val="24"/>
    </w:rPr>
  </w:style>
  <w:style w:type="paragraph" w:styleId="8">
    <w:name w:val="heading 7"/>
    <w:basedOn w:val="1"/>
    <w:next w:val="1"/>
    <w:link w:val="65"/>
    <w:autoRedefine/>
    <w:qFormat/>
    <w:uiPriority w:val="0"/>
    <w:pPr>
      <w:keepNext/>
      <w:keepLines/>
      <w:tabs>
        <w:tab w:val="left" w:pos="1296"/>
      </w:tabs>
      <w:spacing w:before="240" w:after="64" w:line="320" w:lineRule="auto"/>
      <w:ind w:left="1296" w:hanging="1296"/>
      <w:outlineLvl w:val="6"/>
    </w:pPr>
    <w:rPr>
      <w:rFonts w:eastAsia="仿宋_GB2312"/>
      <w:b/>
      <w:bCs/>
      <w:kern w:val="2"/>
      <w:sz w:val="24"/>
    </w:rPr>
  </w:style>
  <w:style w:type="paragraph" w:styleId="9">
    <w:name w:val="heading 8"/>
    <w:basedOn w:val="1"/>
    <w:next w:val="1"/>
    <w:link w:val="66"/>
    <w:autoRedefine/>
    <w:qFormat/>
    <w:uiPriority w:val="0"/>
    <w:pPr>
      <w:keepNext/>
      <w:keepLines/>
      <w:tabs>
        <w:tab w:val="left" w:pos="1440"/>
      </w:tabs>
      <w:spacing w:before="240" w:after="64" w:line="320" w:lineRule="auto"/>
      <w:ind w:left="1440" w:hanging="1440"/>
      <w:outlineLvl w:val="7"/>
    </w:pPr>
    <w:rPr>
      <w:rFonts w:ascii="Arial" w:hAnsi="Arial" w:eastAsia="黑体"/>
      <w:kern w:val="2"/>
      <w:sz w:val="24"/>
    </w:rPr>
  </w:style>
  <w:style w:type="paragraph" w:styleId="10">
    <w:name w:val="heading 9"/>
    <w:basedOn w:val="1"/>
    <w:next w:val="1"/>
    <w:link w:val="67"/>
    <w:autoRedefine/>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link w:val="69"/>
    <w:autoRedefine/>
    <w:qFormat/>
    <w:uiPriority w:val="0"/>
    <w:pPr>
      <w:adjustRightInd w:val="0"/>
      <w:spacing w:line="312" w:lineRule="atLeast"/>
      <w:ind w:firstLine="420"/>
      <w:textAlignment w:val="baseline"/>
    </w:pPr>
    <w:rPr>
      <w:szCs w:val="20"/>
    </w:rPr>
  </w:style>
  <w:style w:type="paragraph" w:styleId="12">
    <w:name w:val="index 7"/>
    <w:basedOn w:val="1"/>
    <w:next w:val="1"/>
    <w:qFormat/>
    <w:uiPriority w:val="0"/>
    <w:pPr>
      <w:ind w:left="2520"/>
    </w:pPr>
  </w:style>
  <w:style w:type="paragraph" w:styleId="13">
    <w:name w:val="caption"/>
    <w:basedOn w:val="1"/>
    <w:next w:val="1"/>
    <w:autoRedefine/>
    <w:qFormat/>
    <w:uiPriority w:val="0"/>
    <w:rPr>
      <w:rFonts w:ascii="Calibri Light" w:hAnsi="Calibri Light" w:eastAsia="黑体"/>
      <w:sz w:val="20"/>
      <w:szCs w:val="20"/>
    </w:rPr>
  </w:style>
  <w:style w:type="paragraph" w:styleId="14">
    <w:name w:val="List Bullet"/>
    <w:autoRedefine/>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15">
    <w:name w:val="Document Map"/>
    <w:basedOn w:val="1"/>
    <w:link w:val="70"/>
    <w:autoRedefine/>
    <w:qFormat/>
    <w:uiPriority w:val="0"/>
    <w:pPr>
      <w:shd w:val="clear" w:color="auto" w:fill="000080"/>
    </w:pPr>
    <w:rPr>
      <w:kern w:val="2"/>
    </w:rPr>
  </w:style>
  <w:style w:type="paragraph" w:styleId="16">
    <w:name w:val="annotation text"/>
    <w:basedOn w:val="1"/>
    <w:link w:val="71"/>
    <w:autoRedefine/>
    <w:qFormat/>
    <w:uiPriority w:val="0"/>
    <w:pPr>
      <w:jc w:val="left"/>
    </w:pPr>
    <w:rPr>
      <w:kern w:val="2"/>
    </w:rPr>
  </w:style>
  <w:style w:type="paragraph" w:styleId="17">
    <w:name w:val="Salutation"/>
    <w:basedOn w:val="1"/>
    <w:next w:val="1"/>
    <w:link w:val="72"/>
    <w:autoRedefine/>
    <w:qFormat/>
    <w:uiPriority w:val="0"/>
    <w:rPr>
      <w:kern w:val="2"/>
      <w:sz w:val="24"/>
    </w:rPr>
  </w:style>
  <w:style w:type="paragraph" w:styleId="18">
    <w:name w:val="Body Text"/>
    <w:basedOn w:val="1"/>
    <w:next w:val="19"/>
    <w:link w:val="73"/>
    <w:autoRedefine/>
    <w:qFormat/>
    <w:uiPriority w:val="99"/>
    <w:pPr>
      <w:spacing w:after="120"/>
    </w:pPr>
    <w:rPr>
      <w:kern w:val="2"/>
    </w:rPr>
  </w:style>
  <w:style w:type="paragraph" w:styleId="19">
    <w:name w:val="Body Text First Indent"/>
    <w:basedOn w:val="18"/>
    <w:next w:val="20"/>
    <w:autoRedefine/>
    <w:qFormat/>
    <w:uiPriority w:val="0"/>
    <w:pPr>
      <w:ind w:firstLine="420" w:firstLineChars="100"/>
    </w:pPr>
  </w:style>
  <w:style w:type="paragraph" w:styleId="20">
    <w:name w:val="toc 6"/>
    <w:basedOn w:val="1"/>
    <w:next w:val="1"/>
    <w:autoRedefine/>
    <w:semiHidden/>
    <w:qFormat/>
    <w:uiPriority w:val="0"/>
    <w:pPr>
      <w:ind w:left="1050"/>
      <w:jc w:val="left"/>
    </w:pPr>
    <w:rPr>
      <w:sz w:val="18"/>
      <w:szCs w:val="18"/>
    </w:rPr>
  </w:style>
  <w:style w:type="paragraph" w:styleId="21">
    <w:name w:val="Body Text Indent"/>
    <w:basedOn w:val="1"/>
    <w:next w:val="1"/>
    <w:link w:val="57"/>
    <w:autoRedefine/>
    <w:qFormat/>
    <w:uiPriority w:val="0"/>
    <w:pPr>
      <w:ind w:left="480" w:hanging="480" w:hangingChars="200"/>
    </w:pPr>
    <w:rPr>
      <w:kern w:val="2"/>
      <w:sz w:val="24"/>
    </w:rPr>
  </w:style>
  <w:style w:type="paragraph" w:styleId="22">
    <w:name w:val="Block Text"/>
    <w:basedOn w:val="1"/>
    <w:autoRedefine/>
    <w:qFormat/>
    <w:uiPriority w:val="0"/>
    <w:pPr>
      <w:adjustRightInd w:val="0"/>
      <w:spacing w:after="160" w:line="300" w:lineRule="auto"/>
      <w:ind w:left="958" w:right="-120" w:rightChars="-120"/>
      <w:jc w:val="left"/>
    </w:pPr>
    <w:rPr>
      <w:rFonts w:ascii="宋体" w:hAnsi="宋体"/>
      <w:kern w:val="2"/>
      <w:sz w:val="28"/>
      <w:szCs w:val="20"/>
    </w:rPr>
  </w:style>
  <w:style w:type="paragraph" w:styleId="23">
    <w:name w:val="List Bullet 2"/>
    <w:basedOn w:val="1"/>
    <w:autoRedefine/>
    <w:qFormat/>
    <w:uiPriority w:val="0"/>
    <w:pPr>
      <w:tabs>
        <w:tab w:val="left" w:pos="780"/>
      </w:tabs>
      <w:ind w:left="780" w:hanging="360"/>
    </w:pPr>
    <w:rPr>
      <w:szCs w:val="20"/>
    </w:rPr>
  </w:style>
  <w:style w:type="paragraph" w:styleId="24">
    <w:name w:val="index 4"/>
    <w:basedOn w:val="1"/>
    <w:next w:val="1"/>
    <w:unhideWhenUsed/>
    <w:qFormat/>
    <w:uiPriority w:val="99"/>
    <w:pPr>
      <w:ind w:left="600" w:leftChars="600"/>
    </w:pPr>
  </w:style>
  <w:style w:type="paragraph" w:styleId="25">
    <w:name w:val="toc 3"/>
    <w:basedOn w:val="1"/>
    <w:next w:val="1"/>
    <w:autoRedefine/>
    <w:semiHidden/>
    <w:unhideWhenUsed/>
    <w:qFormat/>
    <w:uiPriority w:val="0"/>
    <w:pPr>
      <w:ind w:left="840" w:leftChars="400"/>
    </w:pPr>
  </w:style>
  <w:style w:type="paragraph" w:styleId="26">
    <w:name w:val="Plain Text"/>
    <w:basedOn w:val="1"/>
    <w:link w:val="76"/>
    <w:autoRedefine/>
    <w:qFormat/>
    <w:uiPriority w:val="0"/>
    <w:pPr>
      <w:widowControl/>
      <w:overflowPunct w:val="0"/>
      <w:autoSpaceDE w:val="0"/>
      <w:autoSpaceDN w:val="0"/>
      <w:adjustRightInd w:val="0"/>
      <w:jc w:val="left"/>
      <w:textAlignment w:val="baseline"/>
    </w:pPr>
    <w:rPr>
      <w:rFonts w:ascii="宋体" w:hAnsi="Courier New"/>
      <w:szCs w:val="21"/>
    </w:rPr>
  </w:style>
  <w:style w:type="paragraph" w:styleId="27">
    <w:name w:val="Date"/>
    <w:basedOn w:val="1"/>
    <w:next w:val="1"/>
    <w:link w:val="78"/>
    <w:autoRedefine/>
    <w:qFormat/>
    <w:uiPriority w:val="0"/>
    <w:pPr>
      <w:ind w:left="100" w:leftChars="2500"/>
    </w:pPr>
    <w:rPr>
      <w:kern w:val="2"/>
      <w:szCs w:val="20"/>
    </w:rPr>
  </w:style>
  <w:style w:type="paragraph" w:styleId="28">
    <w:name w:val="Body Text Indent 2"/>
    <w:basedOn w:val="1"/>
    <w:link w:val="79"/>
    <w:autoRedefine/>
    <w:qFormat/>
    <w:uiPriority w:val="0"/>
    <w:pPr>
      <w:spacing w:line="500" w:lineRule="exact"/>
      <w:ind w:firstLine="511" w:firstLineChars="213"/>
    </w:pPr>
    <w:rPr>
      <w:kern w:val="2"/>
      <w:sz w:val="24"/>
    </w:rPr>
  </w:style>
  <w:style w:type="paragraph" w:styleId="29">
    <w:name w:val="Balloon Text"/>
    <w:basedOn w:val="1"/>
    <w:link w:val="80"/>
    <w:autoRedefine/>
    <w:qFormat/>
    <w:uiPriority w:val="0"/>
    <w:rPr>
      <w:kern w:val="2"/>
      <w:sz w:val="18"/>
      <w:szCs w:val="18"/>
    </w:rPr>
  </w:style>
  <w:style w:type="paragraph" w:styleId="30">
    <w:name w:val="footer"/>
    <w:basedOn w:val="1"/>
    <w:link w:val="81"/>
    <w:autoRedefine/>
    <w:qFormat/>
    <w:uiPriority w:val="99"/>
    <w:pPr>
      <w:tabs>
        <w:tab w:val="center" w:pos="4153"/>
        <w:tab w:val="right" w:pos="8306"/>
      </w:tabs>
      <w:snapToGrid w:val="0"/>
      <w:jc w:val="left"/>
    </w:pPr>
    <w:rPr>
      <w:kern w:val="2"/>
      <w:sz w:val="18"/>
      <w:szCs w:val="18"/>
    </w:rPr>
  </w:style>
  <w:style w:type="paragraph" w:styleId="31">
    <w:name w:val="header"/>
    <w:basedOn w:val="1"/>
    <w:link w:val="82"/>
    <w:autoRedefine/>
    <w:qFormat/>
    <w:uiPriority w:val="99"/>
    <w:pPr>
      <w:pBdr>
        <w:bottom w:val="single" w:color="auto" w:sz="6" w:space="1"/>
      </w:pBdr>
      <w:tabs>
        <w:tab w:val="center" w:pos="4153"/>
        <w:tab w:val="right" w:pos="8306"/>
      </w:tabs>
      <w:snapToGrid w:val="0"/>
      <w:jc w:val="center"/>
    </w:pPr>
    <w:rPr>
      <w:kern w:val="2"/>
      <w:sz w:val="18"/>
      <w:szCs w:val="18"/>
    </w:rPr>
  </w:style>
  <w:style w:type="paragraph" w:styleId="32">
    <w:name w:val="toc 1"/>
    <w:basedOn w:val="1"/>
    <w:next w:val="1"/>
    <w:autoRedefine/>
    <w:unhideWhenUsed/>
    <w:qFormat/>
    <w:uiPriority w:val="39"/>
    <w:pPr>
      <w:tabs>
        <w:tab w:val="right" w:leader="dot" w:pos="9628"/>
      </w:tabs>
    </w:pPr>
  </w:style>
  <w:style w:type="paragraph" w:styleId="33">
    <w:name w:val="Body Text Indent 3"/>
    <w:basedOn w:val="1"/>
    <w:link w:val="86"/>
    <w:autoRedefine/>
    <w:qFormat/>
    <w:uiPriority w:val="0"/>
    <w:pPr>
      <w:spacing w:line="500" w:lineRule="exact"/>
      <w:ind w:left="511" w:hanging="511" w:hangingChars="213"/>
    </w:pPr>
    <w:rPr>
      <w:kern w:val="2"/>
      <w:sz w:val="24"/>
    </w:rPr>
  </w:style>
  <w:style w:type="paragraph" w:styleId="34">
    <w:name w:val="toc 2"/>
    <w:basedOn w:val="1"/>
    <w:next w:val="1"/>
    <w:autoRedefine/>
    <w:unhideWhenUsed/>
    <w:qFormat/>
    <w:uiPriority w:val="39"/>
    <w:pPr>
      <w:ind w:left="420" w:leftChars="200"/>
    </w:pPr>
  </w:style>
  <w:style w:type="paragraph" w:styleId="35">
    <w:name w:val="Body Text 2"/>
    <w:basedOn w:val="1"/>
    <w:qFormat/>
    <w:uiPriority w:val="0"/>
    <w:pPr>
      <w:spacing w:after="120" w:line="480" w:lineRule="auto"/>
    </w:pPr>
  </w:style>
  <w:style w:type="paragraph" w:styleId="36">
    <w:name w:val="Normal (Web)"/>
    <w:basedOn w:val="1"/>
    <w:autoRedefine/>
    <w:qFormat/>
    <w:uiPriority w:val="0"/>
    <w:pPr>
      <w:widowControl/>
      <w:spacing w:before="100" w:beforeAutospacing="1" w:after="100" w:afterAutospacing="1"/>
      <w:jc w:val="left"/>
    </w:pPr>
    <w:rPr>
      <w:rFonts w:ascii="宋体" w:hAnsi="宋体" w:cs="宋体"/>
      <w:sz w:val="24"/>
    </w:rPr>
  </w:style>
  <w:style w:type="paragraph" w:styleId="37">
    <w:name w:val="Title"/>
    <w:basedOn w:val="1"/>
    <w:next w:val="1"/>
    <w:link w:val="89"/>
    <w:autoRedefine/>
    <w:qFormat/>
    <w:uiPriority w:val="0"/>
    <w:pPr>
      <w:spacing w:before="240" w:after="60" w:line="460" w:lineRule="exact"/>
      <w:jc w:val="center"/>
      <w:outlineLvl w:val="0"/>
    </w:pPr>
    <w:rPr>
      <w:rFonts w:ascii="Arial" w:hAnsi="Arial"/>
      <w:b/>
      <w:spacing w:val="14"/>
      <w:kern w:val="24"/>
      <w:sz w:val="32"/>
      <w:szCs w:val="20"/>
    </w:rPr>
  </w:style>
  <w:style w:type="paragraph" w:styleId="38">
    <w:name w:val="annotation subject"/>
    <w:basedOn w:val="16"/>
    <w:next w:val="16"/>
    <w:link w:val="90"/>
    <w:autoRedefine/>
    <w:qFormat/>
    <w:uiPriority w:val="0"/>
    <w:rPr>
      <w:b/>
      <w:bCs/>
    </w:rPr>
  </w:style>
  <w:style w:type="paragraph" w:styleId="39">
    <w:name w:val="Body Text First Indent 2"/>
    <w:basedOn w:val="21"/>
    <w:next w:val="1"/>
    <w:autoRedefine/>
    <w:qFormat/>
    <w:uiPriority w:val="0"/>
    <w:pPr>
      <w:ind w:left="200" w:leftChars="200" w:firstLine="420" w:firstLineChars="200"/>
    </w:p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rFonts w:ascii="Times New Roman" w:hAnsi="Times New Roman" w:eastAsia="宋体" w:cs="Times New Roman"/>
      <w:b/>
      <w:bCs/>
    </w:rPr>
  </w:style>
  <w:style w:type="character" w:styleId="44">
    <w:name w:val="page number"/>
    <w:autoRedefine/>
    <w:qFormat/>
    <w:uiPriority w:val="0"/>
    <w:rPr>
      <w:rFonts w:ascii="Times New Roman" w:hAnsi="Times New Roman" w:eastAsia="宋体" w:cs="Times New Roman"/>
    </w:rPr>
  </w:style>
  <w:style w:type="character" w:styleId="45">
    <w:name w:val="Emphasis"/>
    <w:autoRedefine/>
    <w:qFormat/>
    <w:uiPriority w:val="0"/>
    <w:rPr>
      <w:rFonts w:ascii="Times New Roman" w:hAnsi="Times New Roman" w:eastAsia="宋体" w:cs="Times New Roman"/>
      <w:b/>
    </w:rPr>
  </w:style>
  <w:style w:type="character" w:styleId="46">
    <w:name w:val="HTML Definition"/>
    <w:autoRedefine/>
    <w:qFormat/>
    <w:uiPriority w:val="0"/>
    <w:rPr>
      <w:rFonts w:ascii="Times New Roman" w:hAnsi="Times New Roman" w:eastAsia="宋体" w:cs="Times New Roman"/>
    </w:rPr>
  </w:style>
  <w:style w:type="character" w:styleId="47">
    <w:name w:val="HTML Variable"/>
    <w:autoRedefine/>
    <w:qFormat/>
    <w:uiPriority w:val="0"/>
    <w:rPr>
      <w:rFonts w:ascii="Times New Roman" w:hAnsi="Times New Roman" w:eastAsia="宋体" w:cs="Times New Roman"/>
    </w:rPr>
  </w:style>
  <w:style w:type="character" w:styleId="48">
    <w:name w:val="Hyperlink"/>
    <w:autoRedefine/>
    <w:qFormat/>
    <w:uiPriority w:val="99"/>
    <w:rPr>
      <w:rFonts w:ascii="Times New Roman" w:hAnsi="Times New Roman" w:eastAsia="宋体" w:cs="Times New Roman"/>
      <w:color w:val="000000"/>
      <w:sz w:val="21"/>
      <w:szCs w:val="21"/>
      <w:u w:val="none"/>
    </w:rPr>
  </w:style>
  <w:style w:type="character" w:styleId="49">
    <w:name w:val="HTML Code"/>
    <w:autoRedefine/>
    <w:qFormat/>
    <w:uiPriority w:val="0"/>
    <w:rPr>
      <w:rFonts w:ascii="Courier New" w:hAnsi="Courier New" w:eastAsia="宋体" w:cs="Times New Roman"/>
      <w:sz w:val="20"/>
    </w:rPr>
  </w:style>
  <w:style w:type="character" w:styleId="50">
    <w:name w:val="annotation reference"/>
    <w:autoRedefine/>
    <w:qFormat/>
    <w:uiPriority w:val="0"/>
    <w:rPr>
      <w:rFonts w:ascii="Times New Roman" w:hAnsi="Times New Roman" w:eastAsia="宋体" w:cs="Times New Roman"/>
      <w:sz w:val="21"/>
      <w:szCs w:val="21"/>
    </w:rPr>
  </w:style>
  <w:style w:type="character" w:styleId="51">
    <w:name w:val="HTML Cite"/>
    <w:autoRedefine/>
    <w:qFormat/>
    <w:uiPriority w:val="0"/>
    <w:rPr>
      <w:rFonts w:ascii="Times New Roman" w:hAnsi="Times New Roman" w:eastAsia="宋体" w:cs="Times New Roman"/>
    </w:rPr>
  </w:style>
  <w:style w:type="character" w:styleId="52">
    <w:name w:val="HTML Keyboard"/>
    <w:autoRedefine/>
    <w:qFormat/>
    <w:uiPriority w:val="0"/>
    <w:rPr>
      <w:rFonts w:ascii="Courier New" w:hAnsi="Courier New" w:eastAsia="宋体" w:cs="Times New Roman"/>
      <w:sz w:val="20"/>
    </w:rPr>
  </w:style>
  <w:style w:type="character" w:styleId="53">
    <w:name w:val="HTML Sample"/>
    <w:autoRedefine/>
    <w:qFormat/>
    <w:uiPriority w:val="0"/>
    <w:rPr>
      <w:rFonts w:ascii="Courier New" w:hAnsi="Courier New" w:eastAsia="宋体" w:cs="Times New Roman"/>
    </w:rPr>
  </w:style>
  <w:style w:type="paragraph" w:customStyle="1" w:styleId="5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文本首行缩进1"/>
    <w:basedOn w:val="18"/>
    <w:autoRedefine/>
    <w:qFormat/>
    <w:uiPriority w:val="0"/>
    <w:pPr>
      <w:ind w:firstLine="420"/>
    </w:pPr>
  </w:style>
  <w:style w:type="paragraph" w:customStyle="1" w:styleId="56">
    <w:name w:val="正文文本首行缩进 21"/>
    <w:basedOn w:val="21"/>
    <w:link w:val="58"/>
    <w:autoRedefine/>
    <w:qFormat/>
    <w:uiPriority w:val="0"/>
    <w:pPr>
      <w:spacing w:after="120"/>
      <w:ind w:left="420" w:leftChars="200" w:firstLine="420" w:firstLineChars="200"/>
    </w:pPr>
    <w:rPr>
      <w:rFonts w:ascii="仿宋_GB2312" w:eastAsia="仿宋_GB2312"/>
      <w:sz w:val="28"/>
      <w:szCs w:val="28"/>
    </w:rPr>
  </w:style>
  <w:style w:type="character" w:customStyle="1" w:styleId="57">
    <w:name w:val="正文文本缩进 字符"/>
    <w:link w:val="21"/>
    <w:autoRedefine/>
    <w:qFormat/>
    <w:uiPriority w:val="0"/>
    <w:rPr>
      <w:rFonts w:ascii="Times New Roman" w:hAnsi="Times New Roman" w:eastAsia="宋体" w:cs="Times New Roman"/>
      <w:kern w:val="2"/>
      <w:sz w:val="24"/>
      <w:szCs w:val="24"/>
    </w:rPr>
  </w:style>
  <w:style w:type="character" w:customStyle="1" w:styleId="58">
    <w:name w:val="正文文本首行缩进 2 字符"/>
    <w:link w:val="56"/>
    <w:autoRedefine/>
    <w:qFormat/>
    <w:uiPriority w:val="0"/>
    <w:rPr>
      <w:rFonts w:ascii="仿宋_GB2312" w:hAnsi="Times New Roman" w:eastAsia="仿宋_GB2312" w:cs="Times New Roman"/>
      <w:kern w:val="2"/>
      <w:sz w:val="28"/>
      <w:szCs w:val="28"/>
      <w:lang w:val="en-US" w:eastAsia="zh-CN" w:bidi="ar-SA"/>
    </w:rPr>
  </w:style>
  <w:style w:type="character" w:customStyle="1" w:styleId="59">
    <w:name w:val="标题 1 字符"/>
    <w:link w:val="2"/>
    <w:autoRedefine/>
    <w:qFormat/>
    <w:uiPriority w:val="0"/>
    <w:rPr>
      <w:rFonts w:ascii="宋体" w:hAnsi="Times New Roman" w:eastAsia="宋体" w:cs="Times New Roman"/>
      <w:b/>
      <w:kern w:val="44"/>
      <w:sz w:val="24"/>
    </w:rPr>
  </w:style>
  <w:style w:type="character" w:customStyle="1" w:styleId="60">
    <w:name w:val="标题 2 字符"/>
    <w:link w:val="3"/>
    <w:autoRedefine/>
    <w:qFormat/>
    <w:uiPriority w:val="9"/>
    <w:rPr>
      <w:rFonts w:ascii="Arial" w:hAnsi="Arial" w:eastAsia="黑体" w:cs="Times New Roman"/>
      <w:b/>
      <w:bCs/>
      <w:kern w:val="2"/>
      <w:sz w:val="32"/>
      <w:szCs w:val="32"/>
    </w:rPr>
  </w:style>
  <w:style w:type="character" w:customStyle="1" w:styleId="61">
    <w:name w:val="标题 3 字符"/>
    <w:link w:val="4"/>
    <w:autoRedefine/>
    <w:qFormat/>
    <w:uiPriority w:val="0"/>
    <w:rPr>
      <w:rFonts w:ascii="Times New Roman" w:hAnsi="Times New Roman" w:eastAsia="宋体" w:cs="Times New Roman"/>
      <w:b/>
      <w:bCs/>
      <w:kern w:val="2"/>
      <w:sz w:val="32"/>
      <w:szCs w:val="32"/>
      <w:lang w:val="en-US" w:eastAsia="zh-CN" w:bidi="ar-SA"/>
    </w:rPr>
  </w:style>
  <w:style w:type="character" w:customStyle="1" w:styleId="62">
    <w:name w:val="标题 4 字符"/>
    <w:link w:val="5"/>
    <w:autoRedefine/>
    <w:qFormat/>
    <w:uiPriority w:val="9"/>
    <w:rPr>
      <w:rFonts w:ascii="Arial" w:hAnsi="Arial" w:eastAsia="Times New Roman" w:cs="Times New Roman"/>
      <w:b/>
      <w:bCs/>
      <w:kern w:val="2"/>
      <w:sz w:val="28"/>
      <w:szCs w:val="28"/>
    </w:rPr>
  </w:style>
  <w:style w:type="character" w:customStyle="1" w:styleId="63">
    <w:name w:val="标题 5 字符"/>
    <w:link w:val="6"/>
    <w:autoRedefine/>
    <w:qFormat/>
    <w:uiPriority w:val="0"/>
    <w:rPr>
      <w:rFonts w:ascii="Times New Roman" w:hAnsi="Times New Roman" w:eastAsia="宋体" w:cs="Times New Roman"/>
      <w:b/>
      <w:bCs/>
      <w:kern w:val="2"/>
      <w:sz w:val="28"/>
      <w:szCs w:val="28"/>
      <w:lang w:bidi="ar-SA"/>
    </w:rPr>
  </w:style>
  <w:style w:type="character" w:customStyle="1" w:styleId="64">
    <w:name w:val="标题 6 字符"/>
    <w:link w:val="7"/>
    <w:autoRedefine/>
    <w:qFormat/>
    <w:uiPriority w:val="0"/>
    <w:rPr>
      <w:rFonts w:ascii="Arial" w:hAnsi="Arial" w:eastAsia="黑体" w:cs="Times New Roman"/>
      <w:b/>
      <w:bCs/>
      <w:kern w:val="2"/>
      <w:sz w:val="24"/>
      <w:szCs w:val="24"/>
    </w:rPr>
  </w:style>
  <w:style w:type="character" w:customStyle="1" w:styleId="65">
    <w:name w:val="标题 7 字符"/>
    <w:link w:val="8"/>
    <w:autoRedefine/>
    <w:qFormat/>
    <w:uiPriority w:val="0"/>
    <w:rPr>
      <w:rFonts w:ascii="Times New Roman" w:hAnsi="Times New Roman" w:eastAsia="仿宋_GB2312" w:cs="Times New Roman"/>
      <w:b/>
      <w:bCs/>
      <w:kern w:val="2"/>
      <w:sz w:val="24"/>
      <w:szCs w:val="24"/>
    </w:rPr>
  </w:style>
  <w:style w:type="character" w:customStyle="1" w:styleId="66">
    <w:name w:val="标题 8 字符"/>
    <w:link w:val="9"/>
    <w:autoRedefine/>
    <w:qFormat/>
    <w:uiPriority w:val="0"/>
    <w:rPr>
      <w:rFonts w:ascii="Arial" w:hAnsi="Arial" w:eastAsia="黑体" w:cs="Times New Roman"/>
      <w:kern w:val="2"/>
      <w:sz w:val="24"/>
      <w:szCs w:val="24"/>
    </w:rPr>
  </w:style>
  <w:style w:type="character" w:customStyle="1" w:styleId="67">
    <w:name w:val="标题 9 字符"/>
    <w:link w:val="10"/>
    <w:autoRedefine/>
    <w:qFormat/>
    <w:uiPriority w:val="0"/>
    <w:rPr>
      <w:rFonts w:ascii="Arial" w:hAnsi="Arial" w:eastAsia="黑体" w:cs="Times New Roman"/>
      <w:kern w:val="2"/>
      <w:sz w:val="21"/>
      <w:szCs w:val="21"/>
    </w:rPr>
  </w:style>
  <w:style w:type="paragraph" w:customStyle="1" w:styleId="68">
    <w:name w:val="TOC 71"/>
    <w:basedOn w:val="1"/>
    <w:next w:val="1"/>
    <w:autoRedefine/>
    <w:qFormat/>
    <w:uiPriority w:val="0"/>
    <w:pPr>
      <w:ind w:left="1260"/>
      <w:jc w:val="left"/>
    </w:pPr>
    <w:rPr>
      <w:sz w:val="18"/>
      <w:szCs w:val="18"/>
    </w:rPr>
  </w:style>
  <w:style w:type="character" w:customStyle="1" w:styleId="69">
    <w:name w:val="正文缩进 字符"/>
    <w:link w:val="11"/>
    <w:autoRedefine/>
    <w:qFormat/>
    <w:uiPriority w:val="0"/>
    <w:rPr>
      <w:rFonts w:ascii="Times New Roman" w:hAnsi="Times New Roman" w:eastAsia="宋体" w:cs="Times New Roman"/>
      <w:sz w:val="21"/>
      <w:lang w:val="en-US" w:eastAsia="zh-CN" w:bidi="ar-SA"/>
    </w:rPr>
  </w:style>
  <w:style w:type="character" w:customStyle="1" w:styleId="70">
    <w:name w:val="文档结构图 字符"/>
    <w:link w:val="15"/>
    <w:autoRedefine/>
    <w:qFormat/>
    <w:uiPriority w:val="0"/>
    <w:rPr>
      <w:rFonts w:ascii="Times New Roman" w:hAnsi="Times New Roman" w:eastAsia="宋体" w:cs="Times New Roman"/>
      <w:kern w:val="2"/>
      <w:sz w:val="21"/>
      <w:szCs w:val="24"/>
      <w:shd w:val="clear" w:color="auto" w:fill="000080"/>
    </w:rPr>
  </w:style>
  <w:style w:type="character" w:customStyle="1" w:styleId="71">
    <w:name w:val="批注文字 字符2"/>
    <w:link w:val="16"/>
    <w:autoRedefine/>
    <w:qFormat/>
    <w:uiPriority w:val="0"/>
    <w:rPr>
      <w:rFonts w:ascii="Times New Roman" w:hAnsi="Times New Roman" w:eastAsia="宋体" w:cs="Times New Roman"/>
      <w:kern w:val="2"/>
      <w:sz w:val="21"/>
      <w:szCs w:val="24"/>
    </w:rPr>
  </w:style>
  <w:style w:type="character" w:customStyle="1" w:styleId="72">
    <w:name w:val="称呼 字符"/>
    <w:link w:val="17"/>
    <w:autoRedefine/>
    <w:qFormat/>
    <w:uiPriority w:val="0"/>
    <w:rPr>
      <w:rFonts w:ascii="Times New Roman" w:hAnsi="Times New Roman" w:eastAsia="宋体" w:cs="Times New Roman"/>
      <w:kern w:val="2"/>
      <w:sz w:val="24"/>
      <w:szCs w:val="24"/>
    </w:rPr>
  </w:style>
  <w:style w:type="character" w:customStyle="1" w:styleId="73">
    <w:name w:val="正文文本 字符1"/>
    <w:link w:val="18"/>
    <w:autoRedefine/>
    <w:qFormat/>
    <w:uiPriority w:val="0"/>
    <w:rPr>
      <w:rFonts w:ascii="Times New Roman" w:hAnsi="Times New Roman" w:eastAsia="宋体" w:cs="Times New Roman"/>
      <w:kern w:val="2"/>
      <w:sz w:val="21"/>
      <w:szCs w:val="24"/>
    </w:rPr>
  </w:style>
  <w:style w:type="paragraph" w:customStyle="1" w:styleId="74">
    <w:name w:val="TOC 51"/>
    <w:basedOn w:val="1"/>
    <w:next w:val="1"/>
    <w:autoRedefine/>
    <w:qFormat/>
    <w:uiPriority w:val="0"/>
    <w:pPr>
      <w:ind w:left="840"/>
      <w:jc w:val="left"/>
    </w:pPr>
    <w:rPr>
      <w:sz w:val="18"/>
      <w:szCs w:val="18"/>
    </w:rPr>
  </w:style>
  <w:style w:type="paragraph" w:customStyle="1" w:styleId="75">
    <w:name w:val="TOC 31"/>
    <w:basedOn w:val="1"/>
    <w:next w:val="1"/>
    <w:autoRedefine/>
    <w:qFormat/>
    <w:uiPriority w:val="0"/>
    <w:pPr>
      <w:ind w:left="420"/>
      <w:jc w:val="left"/>
    </w:pPr>
    <w:rPr>
      <w:i/>
      <w:iCs/>
      <w:sz w:val="20"/>
      <w:szCs w:val="20"/>
    </w:rPr>
  </w:style>
  <w:style w:type="character" w:customStyle="1" w:styleId="76">
    <w:name w:val="纯文本 字符1"/>
    <w:link w:val="26"/>
    <w:autoRedefine/>
    <w:qFormat/>
    <w:uiPriority w:val="0"/>
    <w:rPr>
      <w:rFonts w:ascii="宋体" w:hAnsi="Courier New" w:eastAsia="宋体" w:cs="Times New Roman"/>
      <w:sz w:val="21"/>
      <w:szCs w:val="21"/>
      <w:lang w:val="en-US" w:eastAsia="zh-CN" w:bidi="ar-SA"/>
    </w:rPr>
  </w:style>
  <w:style w:type="paragraph" w:customStyle="1" w:styleId="77">
    <w:name w:val="TOC 81"/>
    <w:basedOn w:val="1"/>
    <w:next w:val="1"/>
    <w:autoRedefine/>
    <w:qFormat/>
    <w:uiPriority w:val="0"/>
    <w:pPr>
      <w:ind w:left="1470"/>
      <w:jc w:val="left"/>
    </w:pPr>
    <w:rPr>
      <w:sz w:val="18"/>
      <w:szCs w:val="18"/>
    </w:rPr>
  </w:style>
  <w:style w:type="character" w:customStyle="1" w:styleId="78">
    <w:name w:val="日期 字符1"/>
    <w:link w:val="27"/>
    <w:autoRedefine/>
    <w:qFormat/>
    <w:uiPriority w:val="0"/>
    <w:rPr>
      <w:rFonts w:ascii="Times New Roman" w:hAnsi="Times New Roman" w:eastAsia="宋体" w:cs="Times New Roman"/>
      <w:kern w:val="2"/>
      <w:sz w:val="21"/>
    </w:rPr>
  </w:style>
  <w:style w:type="character" w:customStyle="1" w:styleId="79">
    <w:name w:val="正文文本缩进 2 字符"/>
    <w:link w:val="28"/>
    <w:autoRedefine/>
    <w:qFormat/>
    <w:uiPriority w:val="0"/>
    <w:rPr>
      <w:rFonts w:ascii="Times New Roman" w:hAnsi="Times New Roman" w:eastAsia="宋体" w:cs="Times New Roman"/>
      <w:kern w:val="2"/>
      <w:sz w:val="24"/>
      <w:szCs w:val="24"/>
      <w:lang w:val="en-US" w:eastAsia="zh-CN" w:bidi="ar-SA"/>
    </w:rPr>
  </w:style>
  <w:style w:type="character" w:customStyle="1" w:styleId="80">
    <w:name w:val="批注框文本 字符"/>
    <w:link w:val="29"/>
    <w:autoRedefine/>
    <w:qFormat/>
    <w:uiPriority w:val="0"/>
    <w:rPr>
      <w:rFonts w:ascii="Times New Roman" w:hAnsi="Times New Roman" w:eastAsia="宋体" w:cs="Times New Roman"/>
      <w:kern w:val="2"/>
      <w:sz w:val="18"/>
      <w:szCs w:val="18"/>
    </w:rPr>
  </w:style>
  <w:style w:type="character" w:customStyle="1" w:styleId="81">
    <w:name w:val="页脚 字符"/>
    <w:link w:val="30"/>
    <w:autoRedefine/>
    <w:qFormat/>
    <w:uiPriority w:val="99"/>
    <w:rPr>
      <w:rFonts w:ascii="Times New Roman" w:hAnsi="Times New Roman" w:eastAsia="宋体" w:cs="Times New Roman"/>
      <w:kern w:val="2"/>
      <w:sz w:val="18"/>
      <w:szCs w:val="18"/>
    </w:rPr>
  </w:style>
  <w:style w:type="character" w:customStyle="1" w:styleId="82">
    <w:name w:val="页眉 字符"/>
    <w:link w:val="31"/>
    <w:autoRedefine/>
    <w:qFormat/>
    <w:uiPriority w:val="99"/>
    <w:rPr>
      <w:rFonts w:ascii="Times New Roman" w:hAnsi="Times New Roman" w:eastAsia="宋体" w:cs="Times New Roman"/>
      <w:kern w:val="2"/>
      <w:sz w:val="18"/>
      <w:szCs w:val="18"/>
    </w:rPr>
  </w:style>
  <w:style w:type="paragraph" w:customStyle="1" w:styleId="83">
    <w:name w:val="TOC 11"/>
    <w:basedOn w:val="1"/>
    <w:next w:val="1"/>
    <w:autoRedefine/>
    <w:qFormat/>
    <w:uiPriority w:val="39"/>
    <w:pPr>
      <w:spacing w:before="120" w:after="120"/>
      <w:jc w:val="left"/>
    </w:pPr>
    <w:rPr>
      <w:b/>
      <w:bCs/>
      <w:caps/>
      <w:sz w:val="20"/>
      <w:szCs w:val="20"/>
    </w:rPr>
  </w:style>
  <w:style w:type="paragraph" w:customStyle="1" w:styleId="84">
    <w:name w:val="TOC 41"/>
    <w:basedOn w:val="1"/>
    <w:next w:val="1"/>
    <w:autoRedefine/>
    <w:qFormat/>
    <w:uiPriority w:val="0"/>
    <w:pPr>
      <w:ind w:left="630"/>
      <w:jc w:val="left"/>
    </w:pPr>
    <w:rPr>
      <w:sz w:val="18"/>
      <w:szCs w:val="18"/>
    </w:rPr>
  </w:style>
  <w:style w:type="paragraph" w:customStyle="1" w:styleId="85">
    <w:name w:val="TOC 61"/>
    <w:basedOn w:val="1"/>
    <w:next w:val="1"/>
    <w:autoRedefine/>
    <w:qFormat/>
    <w:uiPriority w:val="0"/>
    <w:pPr>
      <w:ind w:left="1050"/>
      <w:jc w:val="left"/>
    </w:pPr>
    <w:rPr>
      <w:sz w:val="18"/>
      <w:szCs w:val="18"/>
    </w:rPr>
  </w:style>
  <w:style w:type="character" w:customStyle="1" w:styleId="86">
    <w:name w:val="正文文本缩进 3 字符"/>
    <w:link w:val="33"/>
    <w:autoRedefine/>
    <w:qFormat/>
    <w:uiPriority w:val="0"/>
    <w:rPr>
      <w:rFonts w:ascii="Times New Roman" w:hAnsi="Times New Roman" w:eastAsia="宋体" w:cs="Times New Roman"/>
      <w:kern w:val="2"/>
      <w:sz w:val="24"/>
      <w:szCs w:val="24"/>
    </w:rPr>
  </w:style>
  <w:style w:type="paragraph" w:customStyle="1" w:styleId="87">
    <w:name w:val="TOC 21"/>
    <w:basedOn w:val="1"/>
    <w:next w:val="1"/>
    <w:autoRedefine/>
    <w:qFormat/>
    <w:uiPriority w:val="39"/>
    <w:pPr>
      <w:ind w:left="210"/>
      <w:jc w:val="left"/>
    </w:pPr>
    <w:rPr>
      <w:smallCaps/>
      <w:sz w:val="20"/>
      <w:szCs w:val="20"/>
    </w:rPr>
  </w:style>
  <w:style w:type="paragraph" w:customStyle="1" w:styleId="88">
    <w:name w:val="TOC 91"/>
    <w:basedOn w:val="1"/>
    <w:next w:val="1"/>
    <w:autoRedefine/>
    <w:qFormat/>
    <w:uiPriority w:val="0"/>
    <w:pPr>
      <w:ind w:left="1680"/>
      <w:jc w:val="left"/>
    </w:pPr>
    <w:rPr>
      <w:sz w:val="18"/>
      <w:szCs w:val="18"/>
    </w:rPr>
  </w:style>
  <w:style w:type="character" w:customStyle="1" w:styleId="89">
    <w:name w:val="标题 字符"/>
    <w:link w:val="37"/>
    <w:autoRedefine/>
    <w:qFormat/>
    <w:uiPriority w:val="0"/>
    <w:rPr>
      <w:rFonts w:ascii="Arial" w:hAnsi="Arial" w:eastAsia="宋体" w:cs="Times New Roman"/>
      <w:b/>
      <w:spacing w:val="14"/>
      <w:kern w:val="24"/>
      <w:sz w:val="32"/>
    </w:rPr>
  </w:style>
  <w:style w:type="character" w:customStyle="1" w:styleId="90">
    <w:name w:val="批注主题 字符"/>
    <w:link w:val="38"/>
    <w:autoRedefine/>
    <w:qFormat/>
    <w:uiPriority w:val="0"/>
    <w:rPr>
      <w:rFonts w:ascii="Times New Roman" w:hAnsi="Times New Roman" w:eastAsia="宋体" w:cs="Times New Roman"/>
      <w:b/>
      <w:bCs/>
      <w:kern w:val="2"/>
      <w:sz w:val="21"/>
      <w:szCs w:val="24"/>
    </w:rPr>
  </w:style>
  <w:style w:type="character" w:customStyle="1" w:styleId="91">
    <w:name w:val="访问过的超链接1"/>
    <w:autoRedefine/>
    <w:qFormat/>
    <w:uiPriority w:val="0"/>
    <w:rPr>
      <w:rFonts w:ascii="Times New Roman" w:hAnsi="Times New Roman" w:eastAsia="宋体" w:cs="Times New Roman"/>
      <w:color w:val="000000"/>
      <w:sz w:val="21"/>
      <w:szCs w:val="21"/>
      <w:u w:val="none"/>
    </w:rPr>
  </w:style>
  <w:style w:type="character" w:customStyle="1" w:styleId="92">
    <w:name w:val="Default Char"/>
    <w:link w:val="93"/>
    <w:autoRedefine/>
    <w:qFormat/>
    <w:uiPriority w:val="0"/>
    <w:rPr>
      <w:rFonts w:ascii="宋体" w:hAnsi="Tahoma" w:eastAsia="宋体" w:cs="宋体"/>
      <w:b/>
      <w:bCs/>
      <w:color w:val="000000"/>
      <w:sz w:val="24"/>
      <w:szCs w:val="24"/>
      <w:lang w:val="en-US" w:eastAsia="zh-CN" w:bidi="ar-SA"/>
    </w:rPr>
  </w:style>
  <w:style w:type="paragraph" w:customStyle="1" w:styleId="93">
    <w:name w:val="Default"/>
    <w:next w:val="1"/>
    <w:link w:val="92"/>
    <w:autoRedefine/>
    <w:qFormat/>
    <w:uiPriority w:val="0"/>
    <w:pPr>
      <w:widowControl w:val="0"/>
      <w:autoSpaceDE w:val="0"/>
      <w:autoSpaceDN w:val="0"/>
      <w:adjustRightInd w:val="0"/>
    </w:pPr>
    <w:rPr>
      <w:rFonts w:ascii="宋体" w:hAnsi="Tahoma" w:eastAsia="宋体" w:cs="宋体"/>
      <w:b/>
      <w:bCs/>
      <w:color w:val="000000"/>
      <w:sz w:val="24"/>
      <w:szCs w:val="24"/>
      <w:lang w:val="en-US" w:eastAsia="zh-CN" w:bidi="ar-SA"/>
    </w:rPr>
  </w:style>
  <w:style w:type="character" w:customStyle="1" w:styleId="94">
    <w:name w:val="表格文字 Char Char"/>
    <w:link w:val="95"/>
    <w:autoRedefine/>
    <w:qFormat/>
    <w:uiPriority w:val="0"/>
    <w:rPr>
      <w:rFonts w:ascii="Times New Roman" w:hAnsi="Times New Roman" w:eastAsia="宋体" w:cs="Times New Roman"/>
      <w:kern w:val="21"/>
      <w:sz w:val="21"/>
      <w:szCs w:val="21"/>
    </w:rPr>
  </w:style>
  <w:style w:type="paragraph" w:customStyle="1" w:styleId="95">
    <w:name w:val="表格文字"/>
    <w:basedOn w:val="1"/>
    <w:next w:val="18"/>
    <w:link w:val="94"/>
    <w:autoRedefine/>
    <w:qFormat/>
    <w:uiPriority w:val="0"/>
    <w:pPr>
      <w:jc w:val="left"/>
    </w:pPr>
    <w:rPr>
      <w:kern w:val="21"/>
      <w:szCs w:val="21"/>
    </w:rPr>
  </w:style>
  <w:style w:type="character" w:customStyle="1" w:styleId="96">
    <w:name w:val="列表段落 字符"/>
    <w:link w:val="97"/>
    <w:autoRedefine/>
    <w:qFormat/>
    <w:uiPriority w:val="0"/>
    <w:rPr>
      <w:rFonts w:ascii="Calibri" w:hAnsi="Calibri" w:eastAsia="宋体" w:cs="Times New Roman"/>
      <w:kern w:val="2"/>
      <w:sz w:val="21"/>
      <w:szCs w:val="22"/>
    </w:rPr>
  </w:style>
  <w:style w:type="paragraph" w:customStyle="1" w:styleId="97">
    <w:name w:val="列表段落1"/>
    <w:basedOn w:val="1"/>
    <w:link w:val="96"/>
    <w:autoRedefine/>
    <w:qFormat/>
    <w:uiPriority w:val="0"/>
    <w:pPr>
      <w:ind w:firstLine="420" w:firstLineChars="200"/>
    </w:pPr>
    <w:rPr>
      <w:rFonts w:ascii="Calibri" w:hAnsi="Calibri"/>
      <w:kern w:val="2"/>
      <w:szCs w:val="22"/>
    </w:rPr>
  </w:style>
  <w:style w:type="paragraph" w:customStyle="1" w:styleId="98">
    <w:name w:val="编号，小四"/>
    <w:basedOn w:val="1"/>
    <w:autoRedefine/>
    <w:qFormat/>
    <w:uiPriority w:val="0"/>
    <w:pPr>
      <w:ind w:left="480"/>
    </w:pPr>
  </w:style>
  <w:style w:type="paragraph" w:customStyle="1" w:styleId="99">
    <w:name w:val="我编辑文档正文"/>
    <w:basedOn w:val="1"/>
    <w:link w:val="100"/>
    <w:autoRedefine/>
    <w:qFormat/>
    <w:uiPriority w:val="0"/>
    <w:pPr>
      <w:spacing w:line="360" w:lineRule="auto"/>
      <w:ind w:right="69" w:rightChars="33" w:firstLine="360" w:firstLineChars="150"/>
      <w:jc w:val="left"/>
    </w:pPr>
    <w:rPr>
      <w:sz w:val="24"/>
    </w:rPr>
  </w:style>
  <w:style w:type="character" w:customStyle="1" w:styleId="100">
    <w:name w:val="我编辑文档正文 Char"/>
    <w:link w:val="99"/>
    <w:autoRedefine/>
    <w:qFormat/>
    <w:uiPriority w:val="0"/>
    <w:rPr>
      <w:rFonts w:ascii="Times New Roman" w:hAnsi="Times New Roman" w:eastAsia="宋体" w:cs="Times New Roman"/>
      <w:sz w:val="24"/>
      <w:szCs w:val="24"/>
    </w:rPr>
  </w:style>
  <w:style w:type="character" w:customStyle="1" w:styleId="101">
    <w:name w:val="明显参考1"/>
    <w:autoRedefine/>
    <w:qFormat/>
    <w:uiPriority w:val="0"/>
    <w:rPr>
      <w:rFonts w:ascii="Times New Roman" w:hAnsi="Times New Roman" w:eastAsia="宋体" w:cs="Times New Roman"/>
      <w:b/>
      <w:bCs/>
      <w:smallCaps/>
      <w:color w:val="C0504D"/>
      <w:spacing w:val="5"/>
      <w:u w:val="single"/>
    </w:rPr>
  </w:style>
  <w:style w:type="character" w:customStyle="1" w:styleId="102">
    <w:name w:val="font41"/>
    <w:autoRedefine/>
    <w:qFormat/>
    <w:uiPriority w:val="0"/>
    <w:rPr>
      <w:rFonts w:hint="eastAsia" w:ascii="宋体" w:hAnsi="宋体" w:eastAsia="宋体" w:cs="宋体"/>
      <w:b/>
      <w:color w:val="000000"/>
      <w:sz w:val="28"/>
      <w:szCs w:val="28"/>
      <w:u w:val="none"/>
    </w:rPr>
  </w:style>
  <w:style w:type="paragraph" w:customStyle="1" w:styleId="103">
    <w:name w:val="P正文 Char"/>
    <w:basedOn w:val="1"/>
    <w:link w:val="104"/>
    <w:autoRedefine/>
    <w:qFormat/>
    <w:uiPriority w:val="0"/>
    <w:pPr>
      <w:spacing w:beforeLines="50" w:afterLines="50"/>
      <w:ind w:left="540" w:leftChars="257"/>
    </w:pPr>
    <w:rPr>
      <w:kern w:val="2"/>
      <w:sz w:val="24"/>
    </w:rPr>
  </w:style>
  <w:style w:type="character" w:customStyle="1" w:styleId="104">
    <w:name w:val="P正文 Char Char"/>
    <w:link w:val="103"/>
    <w:autoRedefine/>
    <w:qFormat/>
    <w:uiPriority w:val="0"/>
    <w:rPr>
      <w:rFonts w:ascii="Times New Roman" w:hAnsi="Times New Roman" w:eastAsia="宋体" w:cs="Times New Roman"/>
      <w:kern w:val="2"/>
      <w:sz w:val="24"/>
      <w:szCs w:val="24"/>
    </w:rPr>
  </w:style>
  <w:style w:type="character" w:customStyle="1" w:styleId="105">
    <w:name w:val="未处理的提及1"/>
    <w:autoRedefine/>
    <w:qFormat/>
    <w:uiPriority w:val="0"/>
    <w:rPr>
      <w:rFonts w:ascii="Times New Roman" w:hAnsi="Times New Roman" w:eastAsia="宋体" w:cs="Times New Roman"/>
      <w:color w:val="605E5C"/>
      <w:shd w:val="clear" w:color="auto" w:fill="E1DFDD"/>
    </w:rPr>
  </w:style>
  <w:style w:type="character" w:customStyle="1" w:styleId="106">
    <w:name w:val="正文文本 Char"/>
    <w:autoRedefine/>
    <w:qFormat/>
    <w:uiPriority w:val="0"/>
    <w:rPr>
      <w:rFonts w:ascii="Times New Roman" w:hAnsi="Times New Roman" w:eastAsia="宋体" w:cs="Times New Roman"/>
      <w:kern w:val="2"/>
      <w:sz w:val="21"/>
      <w:szCs w:val="24"/>
    </w:rPr>
  </w:style>
  <w:style w:type="character" w:customStyle="1" w:styleId="107">
    <w:name w:val="批注文字 字符1"/>
    <w:autoRedefine/>
    <w:qFormat/>
    <w:uiPriority w:val="0"/>
    <w:rPr>
      <w:rFonts w:ascii="Times New Roman" w:hAnsi="Times New Roman" w:eastAsia="宋体" w:cs="Times New Roman"/>
      <w:kern w:val="2"/>
      <w:sz w:val="21"/>
      <w:szCs w:val="24"/>
    </w:rPr>
  </w:style>
  <w:style w:type="paragraph" w:customStyle="1" w:styleId="108">
    <w:name w:val="标准正文格式"/>
    <w:basedOn w:val="1"/>
    <w:link w:val="109"/>
    <w:autoRedefine/>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0"/>
    </w:rPr>
  </w:style>
  <w:style w:type="character" w:customStyle="1" w:styleId="109">
    <w:name w:val="标准正文格式 Char"/>
    <w:link w:val="108"/>
    <w:autoRedefine/>
    <w:qFormat/>
    <w:uiPriority w:val="0"/>
    <w:rPr>
      <w:rFonts w:ascii="宋体" w:hAnsi="Times New Roman" w:eastAsia="仿宋_GB2312" w:cs="宋体"/>
      <w:color w:val="000000"/>
      <w:sz w:val="24"/>
    </w:rPr>
  </w:style>
  <w:style w:type="character" w:customStyle="1" w:styleId="110">
    <w:name w:val="px141"/>
    <w:autoRedefine/>
    <w:qFormat/>
    <w:uiPriority w:val="0"/>
    <w:rPr>
      <w:rFonts w:ascii="Times New Roman" w:hAnsi="Times New Roman" w:eastAsia="宋体" w:cs="Times New Roman"/>
      <w:sz w:val="21"/>
      <w:szCs w:val="21"/>
    </w:rPr>
  </w:style>
  <w:style w:type="character" w:customStyle="1" w:styleId="111">
    <w:name w:val="font21"/>
    <w:basedOn w:val="42"/>
    <w:autoRedefine/>
    <w:qFormat/>
    <w:uiPriority w:val="0"/>
    <w:rPr>
      <w:rFonts w:hint="eastAsia" w:ascii="宋体" w:hAnsi="宋体" w:eastAsia="宋体" w:cs="宋体"/>
      <w:color w:val="000000"/>
      <w:sz w:val="18"/>
      <w:szCs w:val="18"/>
      <w:u w:val="none"/>
    </w:rPr>
  </w:style>
  <w:style w:type="character" w:customStyle="1" w:styleId="112">
    <w:name w:val="b2"/>
    <w:autoRedefine/>
    <w:qFormat/>
    <w:uiPriority w:val="0"/>
    <w:rPr>
      <w:rFonts w:ascii="Times New Roman" w:hAnsi="Times New Roman" w:eastAsia="宋体" w:cs="Times New Roman"/>
    </w:rPr>
  </w:style>
  <w:style w:type="character" w:customStyle="1" w:styleId="113">
    <w:name w:val="font31"/>
    <w:basedOn w:val="42"/>
    <w:autoRedefine/>
    <w:qFormat/>
    <w:uiPriority w:val="0"/>
    <w:rPr>
      <w:rFonts w:hint="eastAsia" w:ascii="宋体" w:hAnsi="宋体" w:eastAsia="宋体" w:cs="宋体"/>
      <w:color w:val="000000"/>
      <w:sz w:val="20"/>
      <w:szCs w:val="20"/>
      <w:u w:val="none"/>
    </w:rPr>
  </w:style>
  <w:style w:type="character" w:customStyle="1" w:styleId="114">
    <w:name w:val="font81"/>
    <w:autoRedefine/>
    <w:qFormat/>
    <w:uiPriority w:val="0"/>
    <w:rPr>
      <w:rFonts w:hint="eastAsia" w:ascii="宋体" w:hAnsi="宋体" w:eastAsia="宋体" w:cs="宋体"/>
      <w:b/>
      <w:color w:val="000000"/>
      <w:sz w:val="22"/>
      <w:szCs w:val="22"/>
      <w:u w:val="none"/>
    </w:rPr>
  </w:style>
  <w:style w:type="character" w:customStyle="1" w:styleId="115">
    <w:name w:val="日期 Char1"/>
    <w:autoRedefine/>
    <w:qFormat/>
    <w:uiPriority w:val="0"/>
    <w:rPr>
      <w:rFonts w:ascii="Times New Roman" w:hAnsi="Times New Roman" w:eastAsia="宋体" w:cs="Times New Roman"/>
      <w:kern w:val="2"/>
      <w:sz w:val="21"/>
      <w:szCs w:val="24"/>
    </w:rPr>
  </w:style>
  <w:style w:type="character" w:customStyle="1" w:styleId="116">
    <w:name w:val="标题2"/>
    <w:autoRedefine/>
    <w:qFormat/>
    <w:uiPriority w:val="0"/>
    <w:rPr>
      <w:rFonts w:ascii="微软雅黑" w:hAnsi="微软雅黑" w:eastAsia="微软雅黑" w:cs="Times New Roman"/>
      <w:b/>
      <w:bCs/>
      <w:color w:val="0D0D0D"/>
      <w:sz w:val="24"/>
    </w:rPr>
  </w:style>
  <w:style w:type="character" w:customStyle="1" w:styleId="117">
    <w:name w:val="正文（首行缩进两字） Char1"/>
    <w:autoRedefine/>
    <w:qFormat/>
    <w:uiPriority w:val="0"/>
    <w:rPr>
      <w:rFonts w:ascii="Times New Roman" w:hAnsi="Times New Roman" w:eastAsia="仿宋_GB2312" w:cs="Times New Roman"/>
      <w:kern w:val="2"/>
      <w:sz w:val="28"/>
      <w:szCs w:val="24"/>
    </w:rPr>
  </w:style>
  <w:style w:type="character" w:customStyle="1" w:styleId="118">
    <w:name w:val="正文文字 Char"/>
    <w:autoRedefine/>
    <w:qFormat/>
    <w:uiPriority w:val="0"/>
    <w:rPr>
      <w:rFonts w:ascii="Times New Roman" w:hAnsi="Times New Roman" w:eastAsia="宋体" w:cs="Times New Roman"/>
      <w:kern w:val="2"/>
      <w:sz w:val="21"/>
      <w:szCs w:val="24"/>
      <w:lang w:val="en-US" w:eastAsia="zh-CN" w:bidi="ar-SA"/>
    </w:rPr>
  </w:style>
  <w:style w:type="character" w:customStyle="1" w:styleId="119">
    <w:name w:val="称呼 Char1"/>
    <w:autoRedefine/>
    <w:qFormat/>
    <w:uiPriority w:val="0"/>
    <w:rPr>
      <w:rFonts w:ascii="Times New Roman" w:hAnsi="Times New Roman" w:eastAsia="宋体" w:cs="Times New Roman"/>
      <w:kern w:val="2"/>
      <w:sz w:val="21"/>
      <w:szCs w:val="24"/>
    </w:rPr>
  </w:style>
  <w:style w:type="character" w:customStyle="1" w:styleId="120">
    <w:name w:val="font101"/>
    <w:autoRedefine/>
    <w:qFormat/>
    <w:uiPriority w:val="0"/>
    <w:rPr>
      <w:rFonts w:hint="eastAsia" w:ascii="宋体" w:hAnsi="宋体" w:eastAsia="宋体" w:cs="宋体"/>
      <w:b/>
      <w:color w:val="000000"/>
      <w:sz w:val="22"/>
      <w:szCs w:val="22"/>
      <w:u w:val="none"/>
    </w:rPr>
  </w:style>
  <w:style w:type="character" w:customStyle="1" w:styleId="121">
    <w:name w:val="页眉 Char1"/>
    <w:autoRedefine/>
    <w:qFormat/>
    <w:uiPriority w:val="0"/>
    <w:rPr>
      <w:rFonts w:ascii="Times New Roman" w:hAnsi="Times New Roman" w:eastAsia="宋体" w:cs="Times New Roman"/>
      <w:color w:val="000000"/>
      <w:kern w:val="1"/>
      <w:sz w:val="18"/>
      <w:szCs w:val="18"/>
      <w:lang w:val="zh-CN"/>
    </w:rPr>
  </w:style>
  <w:style w:type="paragraph" w:customStyle="1" w:styleId="122">
    <w:name w:val="标书正文样式"/>
    <w:basedOn w:val="1"/>
    <w:link w:val="123"/>
    <w:autoRedefine/>
    <w:qFormat/>
    <w:uiPriority w:val="0"/>
    <w:pPr>
      <w:ind w:firstLine="560" w:firstLineChars="200"/>
      <w:jc w:val="left"/>
    </w:pPr>
    <w:rPr>
      <w:rFonts w:ascii="仿宋_GB2312" w:hAnsi="Arial" w:eastAsia="仿宋_GB2312"/>
      <w:kern w:val="2"/>
      <w:sz w:val="28"/>
      <w:szCs w:val="28"/>
    </w:rPr>
  </w:style>
  <w:style w:type="character" w:customStyle="1" w:styleId="123">
    <w:name w:val="标书正文样式 Char"/>
    <w:link w:val="122"/>
    <w:autoRedefine/>
    <w:qFormat/>
    <w:uiPriority w:val="0"/>
    <w:rPr>
      <w:rFonts w:ascii="仿宋_GB2312" w:hAnsi="Arial" w:eastAsia="仿宋_GB2312" w:cs="Times New Roman"/>
      <w:kern w:val="2"/>
      <w:sz w:val="28"/>
      <w:szCs w:val="28"/>
      <w:lang w:bidi="ar-SA"/>
    </w:rPr>
  </w:style>
  <w:style w:type="character" w:customStyle="1" w:styleId="124">
    <w:name w:val="font11"/>
    <w:basedOn w:val="42"/>
    <w:autoRedefine/>
    <w:qFormat/>
    <w:uiPriority w:val="0"/>
    <w:rPr>
      <w:rFonts w:hint="eastAsia" w:ascii="宋体" w:hAnsi="宋体" w:eastAsia="宋体" w:cs="宋体"/>
      <w:color w:val="000000"/>
      <w:sz w:val="22"/>
      <w:szCs w:val="22"/>
      <w:u w:val="none"/>
    </w:rPr>
  </w:style>
  <w:style w:type="character" w:customStyle="1" w:styleId="125">
    <w:name w:val="question-title2"/>
    <w:autoRedefine/>
    <w:qFormat/>
    <w:uiPriority w:val="0"/>
    <w:rPr>
      <w:rFonts w:ascii="Times New Roman" w:hAnsi="Times New Roman" w:eastAsia="宋体" w:cs="Times New Roman"/>
    </w:rPr>
  </w:style>
  <w:style w:type="character" w:customStyle="1" w:styleId="126">
    <w:name w:val="纯文本 字符"/>
    <w:autoRedefine/>
    <w:qFormat/>
    <w:uiPriority w:val="0"/>
    <w:rPr>
      <w:rFonts w:ascii="宋体" w:hAnsi="Courier New" w:eastAsia="宋体" w:cs="Times New Roman"/>
      <w:sz w:val="21"/>
      <w:szCs w:val="21"/>
      <w:lang w:val="en-US" w:eastAsia="zh-CN" w:bidi="ar-SA"/>
    </w:rPr>
  </w:style>
  <w:style w:type="character" w:customStyle="1" w:styleId="127">
    <w:name w:val="Char Char Char"/>
    <w:autoRedefine/>
    <w:qFormat/>
    <w:uiPriority w:val="0"/>
    <w:rPr>
      <w:rFonts w:ascii="宋体" w:hAnsi="Courier New" w:eastAsia="宋体" w:cs="Times New Roman"/>
      <w:sz w:val="21"/>
      <w:szCs w:val="21"/>
      <w:lang w:val="en-US" w:eastAsia="zh-CN" w:bidi="ar-SA"/>
    </w:rPr>
  </w:style>
  <w:style w:type="paragraph" w:customStyle="1" w:styleId="128">
    <w:name w:val="无间隔1"/>
    <w:link w:val="129"/>
    <w:autoRedefine/>
    <w:qFormat/>
    <w:uiPriority w:val="1"/>
    <w:pPr>
      <w:widowControl w:val="0"/>
      <w:spacing w:line="360" w:lineRule="auto"/>
      <w:jc w:val="both"/>
    </w:pPr>
    <w:rPr>
      <w:rFonts w:ascii="Times New Roman" w:hAnsi="Times New Roman" w:eastAsia="宋体" w:cs="Times New Roman"/>
      <w:sz w:val="24"/>
      <w:szCs w:val="24"/>
      <w:lang w:val="en-US" w:eastAsia="zh-CN" w:bidi="ar-SA"/>
    </w:rPr>
  </w:style>
  <w:style w:type="character" w:customStyle="1" w:styleId="129">
    <w:name w:val="无间隔 Char"/>
    <w:link w:val="128"/>
    <w:autoRedefine/>
    <w:qFormat/>
    <w:uiPriority w:val="0"/>
    <w:rPr>
      <w:rFonts w:ascii="Times New Roman" w:hAnsi="Times New Roman" w:eastAsia="宋体" w:cs="Times New Roman"/>
      <w:sz w:val="24"/>
      <w:szCs w:val="24"/>
      <w:lang w:val="en-US" w:eastAsia="zh-CN" w:bidi="ar-SA"/>
    </w:rPr>
  </w:style>
  <w:style w:type="character" w:customStyle="1" w:styleId="130">
    <w:name w:val="Texte Char Char"/>
    <w:autoRedefine/>
    <w:qFormat/>
    <w:uiPriority w:val="0"/>
    <w:rPr>
      <w:rFonts w:ascii="宋体" w:hAnsi="Courier New" w:eastAsia="宋体" w:cs="Times New Roman"/>
      <w:sz w:val="21"/>
      <w:szCs w:val="21"/>
      <w:lang w:val="en-US" w:eastAsia="zh-CN" w:bidi="ar-SA"/>
    </w:rPr>
  </w:style>
  <w:style w:type="character" w:customStyle="1" w:styleId="131">
    <w:name w:val="chs1"/>
    <w:autoRedefine/>
    <w:qFormat/>
    <w:uiPriority w:val="0"/>
    <w:rPr>
      <w:rFonts w:hint="default" w:eastAsia="宋体" w:cs="Times New Roman"/>
      <w:sz w:val="18"/>
      <w:szCs w:val="18"/>
    </w:rPr>
  </w:style>
  <w:style w:type="paragraph" w:customStyle="1" w:styleId="132">
    <w:name w:val="样式 样式3 + 非加粗"/>
    <w:basedOn w:val="1"/>
    <w:link w:val="133"/>
    <w:autoRedefine/>
    <w:qFormat/>
    <w:uiPriority w:val="0"/>
    <w:pPr>
      <w:adjustRightInd w:val="0"/>
      <w:snapToGrid w:val="0"/>
      <w:spacing w:line="300" w:lineRule="auto"/>
    </w:pPr>
    <w:rPr>
      <w:rFonts w:ascii="宋体" w:hAnsi="宋体"/>
      <w:b/>
      <w:bCs/>
      <w:color w:val="000000"/>
      <w:kern w:val="2"/>
      <w:sz w:val="24"/>
    </w:rPr>
  </w:style>
  <w:style w:type="character" w:customStyle="1" w:styleId="133">
    <w:name w:val="样式 样式3 + 非加粗 Char"/>
    <w:link w:val="132"/>
    <w:autoRedefine/>
    <w:qFormat/>
    <w:uiPriority w:val="0"/>
    <w:rPr>
      <w:rFonts w:ascii="宋体" w:hAnsi="宋体" w:eastAsia="宋体" w:cs="Times New Roman"/>
      <w:b/>
      <w:bCs/>
      <w:color w:val="000000"/>
      <w:kern w:val="2"/>
      <w:sz w:val="24"/>
      <w:szCs w:val="24"/>
      <w:lang w:val="en-US" w:eastAsia="zh-CN" w:bidi="ar-SA"/>
    </w:rPr>
  </w:style>
  <w:style w:type="character" w:customStyle="1" w:styleId="134">
    <w:name w:val="aa1"/>
    <w:autoRedefine/>
    <w:qFormat/>
    <w:uiPriority w:val="0"/>
    <w:rPr>
      <w:rFonts w:hint="default" w:eastAsia="宋体" w:cs="Times New Roman"/>
      <w:color w:val="000000"/>
      <w:sz w:val="20"/>
      <w:szCs w:val="20"/>
      <w:u w:val="none"/>
    </w:rPr>
  </w:style>
  <w:style w:type="paragraph" w:customStyle="1" w:styleId="135">
    <w:name w:val="招标正文"/>
    <w:basedOn w:val="1"/>
    <w:link w:val="136"/>
    <w:autoRedefine/>
    <w:qFormat/>
    <w:uiPriority w:val="0"/>
    <w:pPr>
      <w:widowControl/>
      <w:spacing w:line="360" w:lineRule="auto"/>
      <w:ind w:firstLine="480" w:firstLineChars="200"/>
    </w:pPr>
    <w:rPr>
      <w:snapToGrid w:val="0"/>
      <w:sz w:val="24"/>
      <w:lang w:val="en-GB"/>
    </w:rPr>
  </w:style>
  <w:style w:type="character" w:customStyle="1" w:styleId="136">
    <w:name w:val="招标正文 Char Char"/>
    <w:link w:val="135"/>
    <w:autoRedefine/>
    <w:qFormat/>
    <w:uiPriority w:val="0"/>
    <w:rPr>
      <w:rFonts w:ascii="Times New Roman" w:hAnsi="Times New Roman" w:eastAsia="宋体" w:cs="Times New Roman"/>
      <w:snapToGrid w:val="0"/>
      <w:sz w:val="24"/>
      <w:szCs w:val="24"/>
      <w:lang w:val="en-GB" w:bidi="ar-SA"/>
    </w:rPr>
  </w:style>
  <w:style w:type="character" w:customStyle="1" w:styleId="137">
    <w:name w:val="textfont"/>
    <w:autoRedefine/>
    <w:qFormat/>
    <w:uiPriority w:val="0"/>
    <w:rPr>
      <w:rFonts w:ascii="Times New Roman" w:hAnsi="Times New Roman" w:eastAsia="宋体" w:cs="Times New Roman"/>
    </w:rPr>
  </w:style>
  <w:style w:type="character" w:customStyle="1" w:styleId="138">
    <w:name w:val="称呼 字符1"/>
    <w:autoRedefine/>
    <w:qFormat/>
    <w:uiPriority w:val="0"/>
    <w:rPr>
      <w:rFonts w:ascii="Times New Roman" w:hAnsi="Times New Roman" w:eastAsia="宋体" w:cs="Times New Roman"/>
      <w:kern w:val="2"/>
      <w:sz w:val="21"/>
      <w:szCs w:val="24"/>
    </w:rPr>
  </w:style>
  <w:style w:type="character" w:customStyle="1" w:styleId="139">
    <w:name w:val="标题 Char1"/>
    <w:autoRedefine/>
    <w:qFormat/>
    <w:uiPriority w:val="0"/>
    <w:rPr>
      <w:rFonts w:ascii="Calibri Light" w:hAnsi="Calibri Light" w:eastAsia="宋体" w:cs="Times New Roman"/>
      <w:b/>
      <w:bCs/>
      <w:kern w:val="2"/>
      <w:sz w:val="32"/>
      <w:szCs w:val="32"/>
    </w:rPr>
  </w:style>
  <w:style w:type="character" w:customStyle="1" w:styleId="140">
    <w:name w:val="unnamed51"/>
    <w:autoRedefine/>
    <w:qFormat/>
    <w:uiPriority w:val="0"/>
    <w:rPr>
      <w:rFonts w:ascii="Times New Roman" w:hAnsi="Times New Roman" w:eastAsia="宋体" w:cs="Times New Roman"/>
      <w:sz w:val="22"/>
      <w:szCs w:val="22"/>
    </w:rPr>
  </w:style>
  <w:style w:type="character" w:customStyle="1" w:styleId="141">
    <w:name w:val="title1"/>
    <w:autoRedefine/>
    <w:qFormat/>
    <w:uiPriority w:val="0"/>
    <w:rPr>
      <w:rFonts w:hint="eastAsia" w:ascii="宋体" w:hAnsi="宋体" w:eastAsia="宋体" w:cs="Times New Roman"/>
      <w:b/>
      <w:bCs/>
      <w:sz w:val="22"/>
      <w:szCs w:val="22"/>
    </w:rPr>
  </w:style>
  <w:style w:type="character" w:customStyle="1" w:styleId="142">
    <w:name w:val="15"/>
    <w:autoRedefine/>
    <w:qFormat/>
    <w:uiPriority w:val="0"/>
    <w:rPr>
      <w:rFonts w:hint="default" w:ascii="Times New Roman" w:hAnsi="Times New Roman" w:eastAsia="宋体" w:cs="Times New Roman"/>
      <w:b/>
      <w:bCs/>
      <w:spacing w:val="-2"/>
      <w:sz w:val="24"/>
      <w:szCs w:val="24"/>
    </w:rPr>
  </w:style>
  <w:style w:type="character" w:customStyle="1" w:styleId="143">
    <w:name w:val="font51"/>
    <w:basedOn w:val="42"/>
    <w:autoRedefine/>
    <w:qFormat/>
    <w:uiPriority w:val="0"/>
    <w:rPr>
      <w:rFonts w:hint="eastAsia" w:ascii="宋体" w:hAnsi="宋体" w:eastAsia="宋体" w:cs="宋体"/>
      <w:color w:val="000000"/>
      <w:sz w:val="22"/>
      <w:szCs w:val="22"/>
      <w:u w:val="none"/>
    </w:rPr>
  </w:style>
  <w:style w:type="character" w:customStyle="1" w:styleId="144">
    <w:name w:val="font01"/>
    <w:autoRedefine/>
    <w:qFormat/>
    <w:uiPriority w:val="0"/>
    <w:rPr>
      <w:rFonts w:hint="eastAsia" w:ascii="宋体" w:hAnsi="宋体" w:eastAsia="宋体" w:cs="宋体"/>
      <w:b/>
      <w:color w:val="000000"/>
      <w:sz w:val="28"/>
      <w:szCs w:val="28"/>
      <w:u w:val="none"/>
    </w:rPr>
  </w:style>
  <w:style w:type="character" w:customStyle="1" w:styleId="145">
    <w:name w:val="bt11"/>
    <w:autoRedefine/>
    <w:qFormat/>
    <w:uiPriority w:val="0"/>
    <w:rPr>
      <w:rFonts w:ascii="Times New Roman" w:hAnsi="Times New Roman" w:eastAsia="仿宋_GB2312" w:cs="Times New Roman"/>
      <w:b/>
      <w:color w:val="000000"/>
      <w:sz w:val="30"/>
      <w:szCs w:val="20"/>
      <w:u w:val="none"/>
    </w:rPr>
  </w:style>
  <w:style w:type="character" w:customStyle="1" w:styleId="146">
    <w:name w:val="f16b1"/>
    <w:autoRedefine/>
    <w:qFormat/>
    <w:uiPriority w:val="0"/>
    <w:rPr>
      <w:rFonts w:ascii="Times New Roman" w:hAnsi="Times New Roman" w:eastAsia="宋体" w:cs="Times New Roman"/>
      <w:b/>
      <w:bCs/>
      <w:color w:val="333333"/>
      <w:sz w:val="22"/>
      <w:szCs w:val="22"/>
    </w:rPr>
  </w:style>
  <w:style w:type="character" w:customStyle="1" w:styleId="147">
    <w:name w:val="纯文本 Char1"/>
    <w:autoRedefine/>
    <w:qFormat/>
    <w:uiPriority w:val="0"/>
    <w:rPr>
      <w:rFonts w:ascii="宋体" w:hAnsi="Courier New" w:eastAsia="宋体" w:cs="Times New Roman"/>
      <w:sz w:val="21"/>
      <w:szCs w:val="21"/>
      <w:lang w:val="en-US" w:eastAsia="zh-CN" w:bidi="ar-SA"/>
    </w:rPr>
  </w:style>
  <w:style w:type="character" w:customStyle="1" w:styleId="148">
    <w:name w:val="普通文字 Char"/>
    <w:autoRedefine/>
    <w:qFormat/>
    <w:uiPriority w:val="0"/>
    <w:rPr>
      <w:rFonts w:ascii="宋体" w:hAnsi="Courier New" w:eastAsia="宋体" w:cs="Times New Roman"/>
      <w:kern w:val="2"/>
      <w:sz w:val="21"/>
      <w:lang w:bidi="ar-SA"/>
    </w:rPr>
  </w:style>
  <w:style w:type="character" w:customStyle="1" w:styleId="149">
    <w:name w:val="style13"/>
    <w:autoRedefine/>
    <w:qFormat/>
    <w:uiPriority w:val="0"/>
    <w:rPr>
      <w:rFonts w:ascii="Times New Roman" w:hAnsi="Times New Roman" w:eastAsia="宋体" w:cs="Times New Roman"/>
    </w:rPr>
  </w:style>
  <w:style w:type="character" w:customStyle="1" w:styleId="150">
    <w:name w:val="font61"/>
    <w:autoRedefine/>
    <w:qFormat/>
    <w:uiPriority w:val="0"/>
    <w:rPr>
      <w:rFonts w:hint="eastAsia" w:ascii="宋体" w:hAnsi="宋体" w:eastAsia="宋体" w:cs="宋体"/>
      <w:color w:val="000000"/>
      <w:sz w:val="22"/>
      <w:szCs w:val="22"/>
      <w:u w:val="none"/>
    </w:rPr>
  </w:style>
  <w:style w:type="paragraph" w:customStyle="1" w:styleId="151">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rPr>
  </w:style>
  <w:style w:type="paragraph" w:customStyle="1" w:styleId="152">
    <w:name w:val="Char2"/>
    <w:basedOn w:val="15"/>
    <w:next w:val="1"/>
    <w:autoRedefine/>
    <w:qFormat/>
    <w:uiPriority w:val="0"/>
    <w:rPr>
      <w:rFonts w:ascii="宋体" w:hAnsi="宋体"/>
    </w:rPr>
  </w:style>
  <w:style w:type="paragraph" w:customStyle="1" w:styleId="153">
    <w:name w:val="正文2"/>
    <w:basedOn w:val="1"/>
    <w:autoRedefine/>
    <w:qFormat/>
    <w:uiPriority w:val="0"/>
    <w:pPr>
      <w:spacing w:before="156" w:line="360" w:lineRule="auto"/>
      <w:ind w:firstLine="510" w:firstLineChars="200"/>
    </w:pPr>
    <w:rPr>
      <w:sz w:val="24"/>
      <w:szCs w:val="20"/>
    </w:rPr>
  </w:style>
  <w:style w:type="paragraph" w:customStyle="1" w:styleId="154">
    <w:name w:val="Char Char Char Char"/>
    <w:basedOn w:val="1"/>
    <w:autoRedefine/>
    <w:qFormat/>
    <w:uiPriority w:val="0"/>
    <w:pPr>
      <w:widowControl/>
      <w:spacing w:after="160" w:line="240" w:lineRule="exact"/>
      <w:jc w:val="left"/>
    </w:pPr>
    <w:rPr>
      <w:rFonts w:ascii="Verdana" w:hAnsi="Verdana"/>
      <w:sz w:val="20"/>
      <w:szCs w:val="20"/>
      <w:lang w:eastAsia="en-US"/>
    </w:rPr>
  </w:style>
  <w:style w:type="paragraph" w:customStyle="1" w:styleId="155">
    <w:name w:val="1111"/>
    <w:basedOn w:val="1"/>
    <w:autoRedefine/>
    <w:qFormat/>
    <w:uiPriority w:val="0"/>
    <w:rPr>
      <w:rFonts w:ascii="Calibri" w:hAnsi="Calibri"/>
      <w:sz w:val="18"/>
    </w:rPr>
  </w:style>
  <w:style w:type="paragraph" w:customStyle="1" w:styleId="156">
    <w:name w:val="Char Char Char1"/>
    <w:basedOn w:val="1"/>
    <w:autoRedefine/>
    <w:qFormat/>
    <w:uiPriority w:val="0"/>
    <w:rPr>
      <w:rFonts w:ascii="Tahoma" w:hAnsi="Tahoma"/>
      <w:sz w:val="24"/>
      <w:szCs w:val="20"/>
    </w:rPr>
  </w:style>
  <w:style w:type="paragraph" w:customStyle="1" w:styleId="157">
    <w:name w:val="中等深浅网格 1 - 强调文字颜色 21"/>
    <w:basedOn w:val="1"/>
    <w:autoRedefine/>
    <w:qFormat/>
    <w:uiPriority w:val="0"/>
    <w:pPr>
      <w:ind w:firstLine="420" w:firstLineChars="200"/>
    </w:pPr>
    <w:rPr>
      <w:rFonts w:ascii="等线" w:hAnsi="等线" w:eastAsia="等线" w:cs="宋体"/>
      <w:szCs w:val="21"/>
    </w:rPr>
  </w:style>
  <w:style w:type="paragraph" w:customStyle="1" w:styleId="158">
    <w:name w:val="_Style 13"/>
    <w:basedOn w:val="1"/>
    <w:next w:val="97"/>
    <w:autoRedefine/>
    <w:qFormat/>
    <w:uiPriority w:val="0"/>
    <w:pPr>
      <w:ind w:firstLine="420"/>
    </w:pPr>
    <w:rPr>
      <w:rFonts w:ascii="Calibri" w:hAnsi="Calibri"/>
      <w:color w:val="000000"/>
      <w:kern w:val="1"/>
    </w:rPr>
  </w:style>
  <w:style w:type="paragraph" w:customStyle="1" w:styleId="159">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sz w:val="24"/>
      <w:szCs w:val="20"/>
    </w:rPr>
  </w:style>
  <w:style w:type="paragraph" w:customStyle="1" w:styleId="160">
    <w:name w:val="xl55"/>
    <w:basedOn w:val="1"/>
    <w:autoRedefine/>
    <w:qFormat/>
    <w:uiPriority w:val="0"/>
    <w:pPr>
      <w:widowControl/>
      <w:spacing w:before="100" w:beforeAutospacing="1" w:after="100" w:afterAutospacing="1"/>
      <w:jc w:val="center"/>
      <w:textAlignment w:val="center"/>
    </w:pPr>
    <w:rPr>
      <w:rFonts w:ascii="Arial Unicode MS" w:hAnsi="Arial Unicode MS"/>
      <w:sz w:val="24"/>
    </w:rPr>
  </w:style>
  <w:style w:type="paragraph" w:customStyle="1" w:styleId="161">
    <w:name w:val="table_1stline"/>
    <w:basedOn w:val="1"/>
    <w:autoRedefine/>
    <w:qFormat/>
    <w:uiPriority w:val="0"/>
    <w:pPr>
      <w:widowControl/>
      <w:spacing w:before="120"/>
      <w:jc w:val="left"/>
    </w:pPr>
    <w:rPr>
      <w:bCs/>
      <w:sz w:val="20"/>
      <w:szCs w:val="20"/>
      <w:lang w:val="de-DE" w:eastAsia="de-DE"/>
    </w:rPr>
  </w:style>
  <w:style w:type="paragraph" w:customStyle="1" w:styleId="162">
    <w:name w:val="附录项目"/>
    <w:basedOn w:val="6"/>
    <w:autoRedefine/>
    <w:qFormat/>
    <w:uiPriority w:val="0"/>
    <w:pPr>
      <w:keepNext w:val="0"/>
      <w:keepLines w:val="0"/>
      <w:tabs>
        <w:tab w:val="clear" w:pos="567"/>
      </w:tabs>
      <w:snapToGrid w:val="0"/>
      <w:spacing w:beforeLines="50"/>
      <w:ind w:left="0" w:firstLine="0"/>
      <w:outlineLvl w:val="9"/>
    </w:pPr>
    <w:rPr>
      <w:rFonts w:ascii="Arial" w:hAnsi="Arial" w:eastAsia="楷体_GB2312" w:cs="Arial"/>
      <w:bCs w:val="0"/>
      <w:snapToGrid w:val="0"/>
      <w:color w:val="FF00FF"/>
      <w:kern w:val="0"/>
      <w:sz w:val="21"/>
      <w:szCs w:val="20"/>
    </w:rPr>
  </w:style>
  <w:style w:type="paragraph" w:customStyle="1" w:styleId="163">
    <w:name w:val="Proposals body"/>
    <w:basedOn w:val="1"/>
    <w:next w:val="1"/>
    <w:autoRedefine/>
    <w:qFormat/>
    <w:uiPriority w:val="0"/>
    <w:pPr>
      <w:widowControl/>
      <w:spacing w:line="360" w:lineRule="auto"/>
      <w:jc w:val="left"/>
    </w:pPr>
    <w:rPr>
      <w:rFonts w:ascii="宋体"/>
      <w:snapToGrid w:val="0"/>
      <w:color w:val="000000"/>
      <w:sz w:val="24"/>
      <w:szCs w:val="20"/>
    </w:rPr>
  </w:style>
  <w:style w:type="paragraph" w:customStyle="1" w:styleId="164">
    <w:name w:val="题注4"/>
    <w:basedOn w:val="1"/>
    <w:next w:val="13"/>
    <w:autoRedefine/>
    <w:qFormat/>
    <w:uiPriority w:val="0"/>
    <w:pPr>
      <w:ind w:left="-132" w:leftChars="-64" w:right="-105" w:hanging="2"/>
      <w:jc w:val="center"/>
    </w:pPr>
    <w:rPr>
      <w:rFonts w:ascii="宋体"/>
      <w:b/>
      <w:color w:val="FF0000"/>
      <w:sz w:val="24"/>
      <w:szCs w:val="20"/>
      <w:lang w:val="en-GB"/>
    </w:rPr>
  </w:style>
  <w:style w:type="paragraph" w:customStyle="1" w:styleId="165">
    <w:name w:val="正文，段落，小四，22磅行距"/>
    <w:autoRedefine/>
    <w:qFormat/>
    <w:uiPriority w:val="0"/>
    <w:pPr>
      <w:widowControl w:val="0"/>
      <w:spacing w:line="440" w:lineRule="exact"/>
      <w:ind w:firstLine="420"/>
      <w:jc w:val="both"/>
    </w:pPr>
    <w:rPr>
      <w:rFonts w:ascii="Times New Roman" w:hAnsi="Times New Roman" w:eastAsia="宋体" w:cs="Times New Roman"/>
      <w:sz w:val="24"/>
      <w:szCs w:val="24"/>
      <w:lang w:val="en-US" w:eastAsia="zh-CN" w:bidi="ar-SA"/>
    </w:rPr>
  </w:style>
  <w:style w:type="paragraph" w:customStyle="1" w:styleId="166">
    <w:name w:val="[Normal]"/>
    <w:autoRedefine/>
    <w:qFormat/>
    <w:uiPriority w:val="0"/>
    <w:rPr>
      <w:rFonts w:ascii="宋体" w:hAnsi="宋体" w:eastAsia="宋体" w:cs="Times New Roman"/>
      <w:sz w:val="24"/>
      <w:szCs w:val="22"/>
      <w:lang w:val="zh-CN" w:eastAsia="zh-CN" w:bidi="ar-SA"/>
    </w:rPr>
  </w:style>
  <w:style w:type="paragraph" w:customStyle="1" w:styleId="167">
    <w:name w:val="reader-word-layer reader-word-s2-5"/>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68">
    <w:name w:val="正文内容"/>
    <w:basedOn w:val="1"/>
    <w:autoRedefine/>
    <w:qFormat/>
    <w:uiPriority w:val="0"/>
    <w:pPr>
      <w:jc w:val="left"/>
    </w:pPr>
    <w:rPr>
      <w:rFonts w:ascii="微软雅黑" w:hAnsi="微软雅黑" w:eastAsia="微软雅黑" w:cs="宋体"/>
      <w:color w:val="0D0D0D"/>
      <w:sz w:val="18"/>
      <w:szCs w:val="18"/>
    </w:rPr>
  </w:style>
  <w:style w:type="paragraph" w:customStyle="1" w:styleId="169">
    <w:name w:val="彩色列表1"/>
    <w:basedOn w:val="1"/>
    <w:autoRedefine/>
    <w:qFormat/>
    <w:uiPriority w:val="0"/>
    <w:pPr>
      <w:ind w:firstLine="420" w:firstLineChars="200"/>
    </w:pPr>
    <w:rPr>
      <w:rFonts w:ascii="Calibri" w:hAnsi="Calibri"/>
    </w:rPr>
  </w:style>
  <w:style w:type="paragraph" w:customStyle="1" w:styleId="170">
    <w:name w:val="p0"/>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71">
    <w:name w:val="Char Char Char Char Char Char Char Char Char Char Char Char Char"/>
    <w:basedOn w:val="1"/>
    <w:autoRedefine/>
    <w:qFormat/>
    <w:uiPriority w:val="0"/>
    <w:rPr>
      <w:rFonts w:ascii="Tahoma" w:hAnsi="Tahoma"/>
      <w:sz w:val="24"/>
      <w:szCs w:val="20"/>
    </w:rPr>
  </w:style>
  <w:style w:type="paragraph" w:customStyle="1" w:styleId="172">
    <w:name w:val="样式1"/>
    <w:autoRedefine/>
    <w:qFormat/>
    <w:uiPriority w:val="0"/>
    <w:pPr>
      <w:keepNext/>
      <w:keepLines/>
      <w:widowControl w:val="0"/>
      <w:tabs>
        <w:tab w:val="left" w:pos="425"/>
      </w:tabs>
      <w:spacing w:beforeLines="50"/>
      <w:jc w:val="center"/>
      <w:outlineLvl w:val="0"/>
    </w:pPr>
    <w:rPr>
      <w:rFonts w:ascii="宋体" w:hAnsi="宋体" w:eastAsia="宋体" w:cs="Times New Roman"/>
      <w:kern w:val="44"/>
      <w:sz w:val="21"/>
      <w:szCs w:val="36"/>
      <w:lang w:val="en-US" w:eastAsia="zh-CN" w:bidi="ar-SA"/>
    </w:rPr>
  </w:style>
  <w:style w:type="paragraph" w:customStyle="1" w:styleId="173">
    <w:name w:val="样式 正文缩进 + 首行缩进:  2 字符"/>
    <w:basedOn w:val="11"/>
    <w:autoRedefine/>
    <w:qFormat/>
    <w:uiPriority w:val="0"/>
    <w:pPr>
      <w:adjustRightInd/>
      <w:spacing w:line="360" w:lineRule="auto"/>
      <w:ind w:firstLine="200" w:firstLineChars="200"/>
      <w:textAlignment w:val="auto"/>
    </w:pPr>
    <w:rPr>
      <w:rFonts w:cs="宋体"/>
      <w:kern w:val="2"/>
      <w:sz w:val="24"/>
    </w:rPr>
  </w:style>
  <w:style w:type="paragraph" w:customStyle="1" w:styleId="174">
    <w:name w:val="列出段落1"/>
    <w:basedOn w:val="1"/>
    <w:autoRedefine/>
    <w:qFormat/>
    <w:uiPriority w:val="0"/>
    <w:pPr>
      <w:ind w:firstLine="420" w:firstLineChars="200"/>
    </w:pPr>
    <w:rPr>
      <w:rFonts w:ascii="Calibri" w:hAnsi="Calibri"/>
      <w:szCs w:val="20"/>
    </w:rPr>
  </w:style>
  <w:style w:type="paragraph" w:customStyle="1" w:styleId="175">
    <w:name w:val="Char"/>
    <w:basedOn w:val="1"/>
    <w:autoRedefine/>
    <w:qFormat/>
    <w:uiPriority w:val="0"/>
    <w:rPr>
      <w:rFonts w:eastAsia="仿宋_GB2312"/>
      <w:sz w:val="28"/>
    </w:rPr>
  </w:style>
  <w:style w:type="paragraph" w:customStyle="1" w:styleId="176">
    <w:name w:val="Char Char Char Char Char Char Char"/>
    <w:basedOn w:val="1"/>
    <w:autoRedefine/>
    <w:qFormat/>
    <w:uiPriority w:val="0"/>
    <w:rPr>
      <w:rFonts w:ascii="仿宋_GB2312" w:eastAsia="仿宋_GB2312"/>
      <w:b/>
      <w:sz w:val="32"/>
      <w:szCs w:val="32"/>
    </w:rPr>
  </w:style>
  <w:style w:type="paragraph" w:customStyle="1" w:styleId="17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78">
    <w:name w:val="正文－恩普"/>
    <w:basedOn w:val="11"/>
    <w:autoRedefine/>
    <w:qFormat/>
    <w:uiPriority w:val="0"/>
    <w:pPr>
      <w:widowControl/>
      <w:adjustRightInd/>
      <w:spacing w:before="100" w:beforeAutospacing="1" w:afterLines="50" w:afterAutospacing="1" w:line="360" w:lineRule="auto"/>
      <w:ind w:firstLine="480" w:firstLineChars="200"/>
      <w:jc w:val="left"/>
      <w:textAlignment w:val="auto"/>
    </w:pPr>
    <w:rPr>
      <w:rFonts w:ascii="仿宋_GB2312" w:hAnsi="宋体" w:eastAsia="仿宋_GB2312" w:cs="宋体"/>
      <w:b/>
      <w:bCs/>
      <w:color w:val="000000"/>
      <w:sz w:val="24"/>
    </w:rPr>
  </w:style>
  <w:style w:type="paragraph" w:customStyle="1" w:styleId="179">
    <w:name w:val="默认"/>
    <w:autoRedefine/>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80">
    <w:name w:val="Char4"/>
    <w:basedOn w:val="1"/>
    <w:autoRedefine/>
    <w:qFormat/>
    <w:uiPriority w:val="0"/>
    <w:rPr>
      <w:szCs w:val="20"/>
    </w:rPr>
  </w:style>
  <w:style w:type="paragraph" w:customStyle="1" w:styleId="181">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82">
    <w:name w:val="默认段落字体 Para Char"/>
    <w:basedOn w:val="1"/>
    <w:autoRedefine/>
    <w:qFormat/>
    <w:uiPriority w:val="0"/>
    <w:rPr>
      <w:rFonts w:ascii="Calibri" w:hAnsi="Calibri"/>
      <w:szCs w:val="20"/>
    </w:rPr>
  </w:style>
  <w:style w:type="paragraph" w:customStyle="1" w:styleId="183">
    <w:name w:val="行间12_5号"/>
    <w:basedOn w:val="1"/>
    <w:autoRedefine/>
    <w:qFormat/>
    <w:uiPriority w:val="0"/>
    <w:pPr>
      <w:adjustRightInd w:val="0"/>
      <w:spacing w:line="240" w:lineRule="exact"/>
      <w:jc w:val="center"/>
      <w:textAlignment w:val="baseline"/>
    </w:pPr>
    <w:rPr>
      <w:szCs w:val="20"/>
    </w:rPr>
  </w:style>
  <w:style w:type="paragraph" w:customStyle="1" w:styleId="184">
    <w:name w:val="Char1"/>
    <w:basedOn w:val="1"/>
    <w:autoRedefine/>
    <w:qFormat/>
    <w:uiPriority w:val="0"/>
    <w:rPr>
      <w:rFonts w:ascii="仿宋_GB2312" w:eastAsia="仿宋_GB2312"/>
      <w:b/>
      <w:sz w:val="32"/>
      <w:szCs w:val="32"/>
    </w:rPr>
  </w:style>
  <w:style w:type="paragraph" w:customStyle="1" w:styleId="185">
    <w:name w:val="Char3"/>
    <w:basedOn w:val="15"/>
    <w:autoRedefine/>
    <w:qFormat/>
    <w:uiPriority w:val="0"/>
  </w:style>
  <w:style w:type="paragraph" w:customStyle="1" w:styleId="186">
    <w:name w:val="reader-word-layer reader-word-s3-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87">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Char Char Char Char Char Char"/>
    <w:basedOn w:val="1"/>
    <w:autoRedefine/>
    <w:qFormat/>
    <w:uiPriority w:val="0"/>
    <w:rPr>
      <w:rFonts w:ascii="Tahoma" w:hAnsi="Tahoma"/>
      <w:sz w:val="24"/>
      <w:szCs w:val="20"/>
    </w:rPr>
  </w:style>
  <w:style w:type="paragraph" w:customStyle="1" w:styleId="189">
    <w:name w:val="表内文字"/>
    <w:basedOn w:val="1"/>
    <w:autoRedefine/>
    <w:qFormat/>
    <w:uiPriority w:val="0"/>
    <w:pPr>
      <w:spacing w:line="240" w:lineRule="atLeast"/>
      <w:jc w:val="center"/>
    </w:pPr>
    <w:rPr>
      <w:rFonts w:ascii="Arial" w:hAnsi="Arial" w:cs="Arial"/>
      <w:b/>
      <w:bCs/>
    </w:rPr>
  </w:style>
  <w:style w:type="paragraph" w:customStyle="1" w:styleId="190">
    <w:name w:val="Char Char"/>
    <w:basedOn w:val="1"/>
    <w:autoRedefine/>
    <w:qFormat/>
    <w:uiPriority w:val="0"/>
    <w:rPr>
      <w:rFonts w:ascii="仿宋_GB2312" w:eastAsia="仿宋_GB2312"/>
      <w:b/>
      <w:sz w:val="32"/>
      <w:szCs w:val="32"/>
    </w:rPr>
  </w:style>
  <w:style w:type="paragraph" w:customStyle="1" w:styleId="191">
    <w:name w:val="缩进"/>
    <w:basedOn w:val="1"/>
    <w:autoRedefine/>
    <w:qFormat/>
    <w:uiPriority w:val="0"/>
    <w:pPr>
      <w:tabs>
        <w:tab w:val="left" w:pos="1924"/>
      </w:tabs>
      <w:adjustRightInd w:val="0"/>
      <w:spacing w:line="300" w:lineRule="auto"/>
      <w:ind w:left="1924" w:hanging="420"/>
      <w:jc w:val="left"/>
    </w:pPr>
    <w:rPr>
      <w:rFonts w:ascii="Calibri" w:hAnsi="Calibri"/>
      <w:sz w:val="24"/>
      <w:szCs w:val="21"/>
    </w:rPr>
  </w:style>
  <w:style w:type="paragraph" w:customStyle="1" w:styleId="192">
    <w:name w:val="自动更正"/>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Char Char Char Char Char Char1"/>
    <w:basedOn w:val="1"/>
    <w:autoRedefine/>
    <w:qFormat/>
    <w:uiPriority w:val="0"/>
    <w:pPr>
      <w:ind w:firstLine="200" w:firstLineChars="200"/>
    </w:pPr>
    <w:rPr>
      <w:rFonts w:ascii="Tahoma" w:hAnsi="Tahoma" w:cs="Tahoma"/>
      <w:sz w:val="24"/>
    </w:rPr>
  </w:style>
  <w:style w:type="paragraph" w:customStyle="1" w:styleId="194">
    <w:name w:val="reader-word-layer reader-word-s2-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95">
    <w:name w:val="默认段落字体 Para Char Char Char Char Char Char Char"/>
    <w:basedOn w:val="1"/>
    <w:autoRedefine/>
    <w:qFormat/>
    <w:uiPriority w:val="0"/>
    <w:rPr>
      <w:rFonts w:ascii="Tahoma" w:hAnsi="Tahoma"/>
      <w:sz w:val="24"/>
      <w:szCs w:val="20"/>
    </w:rPr>
  </w:style>
  <w:style w:type="paragraph" w:customStyle="1" w:styleId="196">
    <w:name w:val="Char Char2 Char"/>
    <w:basedOn w:val="1"/>
    <w:autoRedefine/>
    <w:qFormat/>
    <w:uiPriority w:val="0"/>
    <w:pPr>
      <w:keepNext/>
      <w:keepLines/>
      <w:pageBreakBefore/>
      <w:tabs>
        <w:tab w:val="left" w:pos="845"/>
      </w:tabs>
      <w:ind w:left="845" w:hanging="420"/>
    </w:pPr>
    <w:rPr>
      <w:szCs w:val="20"/>
    </w:rPr>
  </w:style>
  <w:style w:type="paragraph" w:customStyle="1" w:styleId="197">
    <w:name w:val="Pa5"/>
    <w:basedOn w:val="1"/>
    <w:next w:val="1"/>
    <w:autoRedefine/>
    <w:qFormat/>
    <w:uiPriority w:val="0"/>
    <w:pPr>
      <w:autoSpaceDE w:val="0"/>
      <w:autoSpaceDN w:val="0"/>
      <w:adjustRightInd w:val="0"/>
      <w:spacing w:line="121" w:lineRule="atLeast"/>
      <w:jc w:val="left"/>
    </w:pPr>
    <w:rPr>
      <w:rFonts w:ascii="DaxPro-CondRegular" w:hAnsi="黑体" w:eastAsia="DaxPro-CondRegular"/>
      <w:sz w:val="24"/>
    </w:rPr>
  </w:style>
  <w:style w:type="paragraph" w:customStyle="1" w:styleId="198">
    <w:name w:val="Char Char Char Char Char Char Char Char Char1 Char"/>
    <w:basedOn w:val="1"/>
    <w:autoRedefine/>
    <w:qFormat/>
    <w:uiPriority w:val="0"/>
    <w:pPr>
      <w:widowControl/>
      <w:jc w:val="left"/>
    </w:pPr>
    <w:rPr>
      <w:rFonts w:ascii="仿宋_GB2312" w:hAnsi="Calibri" w:eastAsia="仿宋_GB2312"/>
      <w:b/>
      <w:sz w:val="32"/>
      <w:szCs w:val="32"/>
    </w:rPr>
  </w:style>
  <w:style w:type="paragraph" w:customStyle="1" w:styleId="199">
    <w:name w:val="纯文本 New New"/>
    <w:autoRedefine/>
    <w:qFormat/>
    <w:uiPriority w:val="0"/>
    <w:pPr>
      <w:overflowPunct w:val="0"/>
      <w:autoSpaceDE w:val="0"/>
      <w:autoSpaceDN w:val="0"/>
      <w:adjustRightInd w:val="0"/>
      <w:textAlignment w:val="baseline"/>
    </w:pPr>
    <w:rPr>
      <w:rFonts w:ascii="宋体" w:hAnsi="Courier New" w:eastAsia="宋体" w:cs="Times New Roman"/>
      <w:kern w:val="2"/>
      <w:sz w:val="21"/>
      <w:szCs w:val="21"/>
      <w:lang w:val="en-US" w:eastAsia="zh-CN" w:bidi="ar-SA"/>
    </w:rPr>
  </w:style>
  <w:style w:type="paragraph" w:customStyle="1" w:styleId="200">
    <w:name w:val="正文 A"/>
    <w:autoRedefine/>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1">
    <w:name w:val="Char Char Char Char Char Char Char1"/>
    <w:basedOn w:val="1"/>
    <w:autoRedefine/>
    <w:qFormat/>
    <w:uiPriority w:val="0"/>
    <w:pPr>
      <w:spacing w:line="360" w:lineRule="auto"/>
      <w:ind w:firstLine="200" w:firstLineChars="200"/>
    </w:pPr>
    <w:rPr>
      <w:rFonts w:ascii="宋体" w:hAnsi="宋体" w:cs="宋体"/>
      <w:sz w:val="24"/>
    </w:rPr>
  </w:style>
  <w:style w:type="paragraph" w:customStyle="1" w:styleId="202">
    <w:name w:val="默认段落字体 Para Char Char Char Char"/>
    <w:basedOn w:val="1"/>
    <w:autoRedefine/>
    <w:qFormat/>
    <w:uiPriority w:val="0"/>
    <w:rPr>
      <w:sz w:val="32"/>
      <w:szCs w:val="32"/>
    </w:rPr>
  </w:style>
  <w:style w:type="paragraph" w:customStyle="1" w:styleId="203">
    <w:name w:val="保留正文"/>
    <w:basedOn w:val="18"/>
    <w:autoRedefine/>
    <w:qFormat/>
    <w:uiPriority w:val="0"/>
    <w:pPr>
      <w:keepNext/>
      <w:spacing w:after="160"/>
    </w:pPr>
    <w:rPr>
      <w:szCs w:val="20"/>
    </w:rPr>
  </w:style>
  <w:style w:type="character" w:customStyle="1" w:styleId="204">
    <w:name w:val="正文文本 字符"/>
    <w:autoRedefine/>
    <w:qFormat/>
    <w:uiPriority w:val="99"/>
    <w:rPr>
      <w:rFonts w:ascii="Times New Roman" w:hAnsi="Times New Roman" w:eastAsia="宋体" w:cs="Times New Roman"/>
      <w:kern w:val="2"/>
      <w:sz w:val="21"/>
      <w:szCs w:val="24"/>
    </w:rPr>
  </w:style>
  <w:style w:type="character" w:customStyle="1" w:styleId="205">
    <w:name w:val="日期 字符"/>
    <w:autoRedefine/>
    <w:qFormat/>
    <w:uiPriority w:val="0"/>
    <w:rPr>
      <w:rFonts w:ascii="Times New Roman" w:hAnsi="Times New Roman" w:eastAsia="宋体" w:cs="Times New Roman"/>
      <w:color w:val="000000"/>
      <w:kern w:val="1"/>
      <w:sz w:val="30"/>
    </w:rPr>
  </w:style>
  <w:style w:type="character" w:customStyle="1" w:styleId="206">
    <w:name w:val="批注文字 字符"/>
    <w:autoRedefine/>
    <w:qFormat/>
    <w:uiPriority w:val="0"/>
    <w:rPr>
      <w:rFonts w:ascii="Times New Roman" w:hAnsi="Times New Roman" w:eastAsia="宋体" w:cs="Times New Roman"/>
      <w:kern w:val="2"/>
      <w:sz w:val="21"/>
      <w:szCs w:val="24"/>
    </w:rPr>
  </w:style>
  <w:style w:type="character" w:customStyle="1" w:styleId="207">
    <w:name w:val="NormalCharacter"/>
    <w:link w:val="208"/>
    <w:autoRedefine/>
    <w:qFormat/>
    <w:uiPriority w:val="0"/>
    <w:rPr>
      <w:rFonts w:asciiTheme="minorHAnsi" w:hAnsiTheme="minorHAnsi" w:eastAsiaTheme="minorEastAsia" w:cstheme="minorBidi"/>
      <w:sz w:val="22"/>
      <w14:ligatures w14:val="standardContextual"/>
    </w:rPr>
  </w:style>
  <w:style w:type="paragraph" w:customStyle="1" w:styleId="208">
    <w:name w:val="UserStyle_3"/>
    <w:basedOn w:val="1"/>
    <w:link w:val="207"/>
    <w:qFormat/>
    <w:uiPriority w:val="0"/>
    <w:pPr>
      <w:spacing w:after="160" w:line="240" w:lineRule="exact"/>
      <w:jc w:val="left"/>
    </w:pPr>
    <w:rPr>
      <w:rFonts w:asciiTheme="minorHAnsi" w:hAnsiTheme="minorHAnsi" w:eastAsiaTheme="minorEastAsia" w:cstheme="minorBidi"/>
      <w:sz w:val="22"/>
      <w14:ligatures w14:val="standardContextual"/>
    </w:rPr>
  </w:style>
  <w:style w:type="paragraph" w:customStyle="1" w:styleId="209">
    <w:name w:val="列出段落3"/>
    <w:basedOn w:val="1"/>
    <w:autoRedefine/>
    <w:qFormat/>
    <w:uiPriority w:val="0"/>
    <w:pPr>
      <w:ind w:firstLine="420" w:firstLineChars="200"/>
    </w:pPr>
    <w:rPr>
      <w:rFonts w:ascii="Arial" w:hAnsi="Arial" w:cs="Arial"/>
      <w:kern w:val="2"/>
    </w:rPr>
  </w:style>
  <w:style w:type="paragraph" w:customStyle="1" w:styleId="210">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11">
    <w:name w:val="修订1"/>
    <w:autoRedefine/>
    <w:qFormat/>
    <w:uiPriority w:val="0"/>
    <w:rPr>
      <w:rFonts w:ascii="Times New Roman" w:hAnsi="Times New Roman" w:eastAsia="宋体" w:cs="Times New Roman"/>
      <w:sz w:val="21"/>
      <w:szCs w:val="24"/>
      <w:lang w:val="en-US" w:eastAsia="zh-CN" w:bidi="ar-SA"/>
    </w:rPr>
  </w:style>
  <w:style w:type="character" w:customStyle="1" w:styleId="212">
    <w:name w:val="标题 4 字符1"/>
    <w:autoRedefine/>
    <w:qFormat/>
    <w:uiPriority w:val="0"/>
    <w:rPr>
      <w:rFonts w:ascii="Calibri" w:hAnsi="Calibri" w:eastAsia="Tahoma"/>
      <w:b/>
      <w:sz w:val="24"/>
      <w:lang w:val="zh-CN"/>
    </w:rPr>
  </w:style>
  <w:style w:type="paragraph" w:styleId="213">
    <w:name w:val="List Paragraph"/>
    <w:basedOn w:val="1"/>
    <w:autoRedefine/>
    <w:qFormat/>
    <w:uiPriority w:val="0"/>
    <w:pPr>
      <w:ind w:firstLine="420" w:firstLineChars="200"/>
    </w:pPr>
  </w:style>
  <w:style w:type="paragraph" w:customStyle="1" w:styleId="214">
    <w:name w:val="修订2"/>
    <w:autoRedefine/>
    <w:hidden/>
    <w:semiHidden/>
    <w:qFormat/>
    <w:uiPriority w:val="99"/>
    <w:rPr>
      <w:rFonts w:ascii="Times New Roman" w:hAnsi="Times New Roman" w:eastAsia="宋体" w:cs="Times New Roman"/>
      <w:sz w:val="21"/>
      <w:szCs w:val="24"/>
      <w:lang w:val="en-US" w:eastAsia="zh-CN" w:bidi="ar-SA"/>
    </w:rPr>
  </w:style>
  <w:style w:type="paragraph" w:customStyle="1" w:styleId="215">
    <w:name w:val="修订3"/>
    <w:autoRedefine/>
    <w:hidden/>
    <w:semiHidden/>
    <w:qFormat/>
    <w:uiPriority w:val="99"/>
    <w:rPr>
      <w:rFonts w:ascii="Times New Roman" w:hAnsi="Times New Roman" w:eastAsia="宋体" w:cs="Times New Roman"/>
      <w:sz w:val="21"/>
      <w:szCs w:val="24"/>
      <w:lang w:val="en-US" w:eastAsia="zh-CN" w:bidi="ar-SA"/>
    </w:rPr>
  </w:style>
  <w:style w:type="character" w:customStyle="1" w:styleId="216">
    <w:name w:val="未处理的提及2"/>
    <w:basedOn w:val="42"/>
    <w:autoRedefine/>
    <w:semiHidden/>
    <w:unhideWhenUsed/>
    <w:qFormat/>
    <w:uiPriority w:val="99"/>
    <w:rPr>
      <w:color w:val="605E5C"/>
      <w:shd w:val="clear" w:color="auto" w:fill="E1DFDD"/>
    </w:rPr>
  </w:style>
  <w:style w:type="character" w:customStyle="1" w:styleId="217">
    <w:name w:val="font71"/>
    <w:basedOn w:val="42"/>
    <w:autoRedefine/>
    <w:qFormat/>
    <w:uiPriority w:val="0"/>
    <w:rPr>
      <w:rFonts w:hint="default" w:ascii="华文仿宋" w:hAnsi="华文仿宋" w:eastAsia="华文仿宋" w:cs="华文仿宋"/>
      <w:b/>
      <w:bCs/>
      <w:color w:val="000000"/>
      <w:sz w:val="24"/>
      <w:szCs w:val="24"/>
      <w:u w:val="none"/>
    </w:rPr>
  </w:style>
  <w:style w:type="paragraph" w:customStyle="1" w:styleId="218">
    <w:name w:val="Table Paragraph"/>
    <w:basedOn w:val="1"/>
    <w:autoRedefine/>
    <w:qFormat/>
    <w:uiPriority w:val="1"/>
    <w:pPr>
      <w:autoSpaceDE w:val="0"/>
      <w:autoSpaceDN w:val="0"/>
      <w:jc w:val="left"/>
    </w:pPr>
    <w:rPr>
      <w:rFonts w:ascii="宋体" w:hAnsi="宋体" w:cs="宋体"/>
      <w:sz w:val="22"/>
    </w:rPr>
  </w:style>
  <w:style w:type="character" w:customStyle="1" w:styleId="219">
    <w:name w:val="content-right_8zs401"/>
    <w:basedOn w:val="42"/>
    <w:autoRedefine/>
    <w:qFormat/>
    <w:uiPriority w:val="0"/>
  </w:style>
  <w:style w:type="paragraph" w:customStyle="1" w:styleId="220">
    <w:name w:val="zsy正文"/>
    <w:basedOn w:val="1"/>
    <w:autoRedefine/>
    <w:qFormat/>
    <w:uiPriority w:val="0"/>
    <w:pPr>
      <w:ind w:firstLine="480"/>
    </w:pPr>
  </w:style>
  <w:style w:type="paragraph" w:customStyle="1" w:styleId="221">
    <w:name w:val="z正文"/>
    <w:autoRedefine/>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2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23">
    <w:name w:val="_Style 3"/>
    <w:basedOn w:val="2"/>
    <w:next w:val="1"/>
    <w:autoRedefine/>
    <w:qFormat/>
    <w:uiPriority w:val="39"/>
    <w:pPr>
      <w:keepNext w:val="0"/>
      <w:keepLines w:val="0"/>
      <w:pageBreakBefore/>
      <w:widowControl/>
      <w:tabs>
        <w:tab w:val="clear" w:pos="840"/>
      </w:tabs>
      <w:adjustRightInd/>
      <w:snapToGrid/>
      <w:spacing w:before="240" w:after="240" w:line="259" w:lineRule="auto"/>
      <w:jc w:val="left"/>
      <w:outlineLvl w:val="9"/>
    </w:pPr>
    <w:rPr>
      <w:rFonts w:ascii="Calibri Light" w:hAnsi="Calibri Light"/>
      <w:b w:val="0"/>
      <w:bCs/>
      <w:color w:val="2E74B5"/>
      <w:kern w:val="0"/>
      <w:sz w:val="36"/>
      <w:szCs w:val="32"/>
    </w:rPr>
  </w:style>
  <w:style w:type="paragraph" w:customStyle="1" w:styleId="224">
    <w:name w:val="修订4"/>
    <w:hidden/>
    <w:unhideWhenUsed/>
    <w:qFormat/>
    <w:uiPriority w:val="99"/>
    <w:rPr>
      <w:rFonts w:ascii="Times New Roman" w:hAnsi="Times New Roman" w:eastAsia="宋体" w:cs="Times New Roman"/>
      <w:sz w:val="21"/>
      <w:szCs w:val="24"/>
      <w:lang w:val="en-US" w:eastAsia="zh-CN" w:bidi="ar-SA"/>
    </w:rPr>
  </w:style>
  <w:style w:type="paragraph" w:customStyle="1" w:styleId="225">
    <w:name w:val="BZ_正文"/>
    <w:basedOn w:val="1"/>
    <w:qFormat/>
    <w:uiPriority w:val="0"/>
    <w:pPr>
      <w:widowControl/>
      <w:spacing w:line="360" w:lineRule="auto"/>
      <w:ind w:firstLine="200" w:firstLineChars="200"/>
    </w:pPr>
    <w:rPr>
      <w:sz w:val="24"/>
    </w:rPr>
  </w:style>
  <w:style w:type="paragraph" w:customStyle="1" w:styleId="226">
    <w:name w:val="BodyText1I2"/>
    <w:basedOn w:val="227"/>
    <w:qFormat/>
    <w:uiPriority w:val="0"/>
    <w:pPr>
      <w:ind w:firstLine="420" w:firstLineChars="200"/>
    </w:pPr>
  </w:style>
  <w:style w:type="paragraph" w:customStyle="1" w:styleId="227">
    <w:name w:val="BodyTextIndent"/>
    <w:basedOn w:val="1"/>
    <w:qFormat/>
    <w:uiPriority w:val="0"/>
    <w:pPr>
      <w:spacing w:after="120"/>
      <w:ind w:left="420" w:leftChars="200"/>
      <w:textAlignment w:val="baseline"/>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48</Pages>
  <Words>20303</Words>
  <Characters>21346</Characters>
  <Lines>221</Lines>
  <Paragraphs>62</Paragraphs>
  <TotalTime>12</TotalTime>
  <ScaleCrop>false</ScaleCrop>
  <LinksUpToDate>false</LinksUpToDate>
  <CharactersWithSpaces>22755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2026-02-24T02:03:00Z</dcterms:created>
  <dc:creator>hp</dc:creator>
  <cp:lastModifiedBy>liuhuicong</cp:lastModifiedBy>
  <cp:lastPrinted>2024-09-23T00:42:00Z</cp:lastPrinted>
  <dcterms:modified xsi:type="dcterms:W3CDTF">2026-05-06T03:09:56Z</dcterms:modified>
  <dc:title>温州市政府（分散）采购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F9271239F790459898C44C6ABEA6FF23_13</vt:lpwstr>
  </property>
  <property fmtid="{D5CDD505-2E9C-101B-9397-08002B2CF9AE}" pid="4" name="commondata">
    <vt:lpwstr>eyJoZGlkIjoiOWM2Y2JhMGEwNDg2YWY5ZDY5NjJlZDgyM2VkMjhhNTMifQ==</vt:lpwstr>
  </property>
  <property fmtid="{D5CDD505-2E9C-101B-9397-08002B2CF9AE}" pid="5" name="KSOTemplateDocerSaveRecord">
    <vt:lpwstr>eyJoZGlkIjoiNmNjMzZiNzczYzc5OGExMjEyMDUxOGFjMjhhMmEwNzIiLCJ1c2VySWQiOiIxNDMzNTU1MyJ9</vt:lpwstr>
  </property>
</Properties>
</file>