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3B399">
      <w:pPr>
        <w:pageBreakBefore w:val="0"/>
        <w:kinsoku/>
        <w:wordWrap w:val="0"/>
        <w:topLinePunct w:val="0"/>
        <w:bidi w:val="0"/>
        <w:spacing w:line="360" w:lineRule="auto"/>
        <w:jc w:val="both"/>
        <w:rPr>
          <w:rFonts w:hint="eastAsia" w:ascii="宋体" w:hAnsi="宋体" w:eastAsia="宋体" w:cs="宋体"/>
          <w:b/>
          <w:color w:val="auto"/>
          <w:sz w:val="84"/>
          <w:szCs w:val="84"/>
          <w:highlight w:val="none"/>
          <w:lang w:eastAsia="zh-CN"/>
        </w:rPr>
      </w:pPr>
    </w:p>
    <w:p w14:paraId="73791C53">
      <w:pPr>
        <w:pageBreakBefore w:val="0"/>
        <w:kinsoku/>
        <w:wordWrap w:val="0"/>
        <w:topLinePunct w:val="0"/>
        <w:bidi w:val="0"/>
        <w:spacing w:line="360" w:lineRule="auto"/>
        <w:jc w:val="center"/>
        <w:rPr>
          <w:rFonts w:hint="eastAsia" w:ascii="宋体" w:hAnsi="宋体" w:eastAsia="宋体" w:cs="宋体"/>
          <w:b/>
          <w:color w:val="auto"/>
          <w:spacing w:val="26"/>
          <w:sz w:val="84"/>
          <w:szCs w:val="84"/>
          <w:highlight w:val="none"/>
          <w:lang w:eastAsia="zh-CN"/>
        </w:rPr>
      </w:pPr>
      <w:r>
        <w:rPr>
          <w:rFonts w:hint="eastAsia" w:ascii="宋体" w:hAnsi="宋体" w:eastAsia="宋体" w:cs="宋体"/>
          <w:b/>
          <w:color w:val="auto"/>
          <w:sz w:val="84"/>
          <w:szCs w:val="84"/>
          <w:highlight w:val="none"/>
          <w:lang w:eastAsia="zh-CN"/>
        </w:rPr>
        <w:t>温州市第七人民医院</w:t>
      </w:r>
    </w:p>
    <w:p w14:paraId="175B6EA8">
      <w:pPr>
        <w:pageBreakBefore w:val="0"/>
        <w:kinsoku/>
        <w:wordWrap w:val="0"/>
        <w:topLinePunct w:val="0"/>
        <w:bidi w:val="0"/>
        <w:spacing w:line="400" w:lineRule="exact"/>
        <w:ind w:firstLine="1885" w:firstLineChars="235"/>
        <w:rPr>
          <w:rFonts w:hint="eastAsia" w:ascii="宋体" w:hAnsi="宋体" w:eastAsia="宋体" w:cs="宋体"/>
          <w:b/>
          <w:color w:val="auto"/>
          <w:spacing w:val="140"/>
          <w:sz w:val="52"/>
          <w:szCs w:val="52"/>
          <w:highlight w:val="none"/>
        </w:rPr>
      </w:pPr>
    </w:p>
    <w:p w14:paraId="54F305AE">
      <w:pPr>
        <w:pageBreakBefore w:val="0"/>
        <w:kinsoku/>
        <w:wordWrap w:val="0"/>
        <w:topLinePunct w:val="0"/>
        <w:bidi w:val="0"/>
        <w:spacing w:line="400" w:lineRule="exact"/>
        <w:ind w:firstLine="1885" w:firstLineChars="235"/>
        <w:rPr>
          <w:rFonts w:hint="eastAsia" w:ascii="宋体" w:hAnsi="宋体" w:eastAsia="宋体" w:cs="宋体"/>
          <w:b/>
          <w:color w:val="auto"/>
          <w:spacing w:val="140"/>
          <w:sz w:val="52"/>
          <w:szCs w:val="52"/>
          <w:highlight w:val="none"/>
        </w:rPr>
      </w:pPr>
    </w:p>
    <w:p w14:paraId="3B8BEC1B">
      <w:pPr>
        <w:pageBreakBefore w:val="0"/>
        <w:kinsoku/>
        <w:wordWrap w:val="0"/>
        <w:topLinePunct w:val="0"/>
        <w:bidi w:val="0"/>
        <w:spacing w:line="400" w:lineRule="exact"/>
        <w:ind w:firstLine="1885" w:firstLineChars="235"/>
        <w:rPr>
          <w:rFonts w:hint="eastAsia" w:ascii="宋体" w:hAnsi="宋体" w:eastAsia="宋体" w:cs="宋体"/>
          <w:b/>
          <w:color w:val="auto"/>
          <w:spacing w:val="140"/>
          <w:sz w:val="52"/>
          <w:szCs w:val="52"/>
          <w:highlight w:val="none"/>
        </w:rPr>
      </w:pPr>
    </w:p>
    <w:p w14:paraId="577E7B5C">
      <w:pPr>
        <w:pageBreakBefore w:val="0"/>
        <w:kinsoku/>
        <w:wordWrap w:val="0"/>
        <w:topLinePunct w:val="0"/>
        <w:bidi w:val="0"/>
        <w:spacing w:line="400" w:lineRule="exact"/>
        <w:ind w:firstLine="1885" w:firstLineChars="235"/>
        <w:rPr>
          <w:rFonts w:hint="eastAsia" w:ascii="宋体" w:hAnsi="宋体" w:eastAsia="宋体" w:cs="宋体"/>
          <w:b/>
          <w:color w:val="auto"/>
          <w:spacing w:val="140"/>
          <w:sz w:val="52"/>
          <w:szCs w:val="52"/>
          <w:highlight w:val="none"/>
        </w:rPr>
      </w:pPr>
    </w:p>
    <w:p w14:paraId="7CEC75DC">
      <w:pPr>
        <w:pageBreakBefore w:val="0"/>
        <w:kinsoku/>
        <w:wordWrap w:val="0"/>
        <w:topLinePunct w:val="0"/>
        <w:bidi w:val="0"/>
        <w:spacing w:line="360" w:lineRule="auto"/>
        <w:jc w:val="center"/>
        <w:rPr>
          <w:rFonts w:hint="eastAsia" w:ascii="宋体" w:hAnsi="宋体" w:eastAsia="宋体" w:cs="宋体"/>
          <w:b/>
          <w:color w:val="auto"/>
          <w:spacing w:val="140"/>
          <w:sz w:val="52"/>
          <w:szCs w:val="52"/>
          <w:highlight w:val="none"/>
        </w:rPr>
      </w:pPr>
      <w:r>
        <w:rPr>
          <w:rFonts w:hint="eastAsia" w:ascii="宋体" w:hAnsi="宋体" w:eastAsia="宋体" w:cs="宋体"/>
          <w:b/>
          <w:color w:val="auto"/>
          <w:spacing w:val="140"/>
          <w:sz w:val="52"/>
          <w:szCs w:val="52"/>
          <w:highlight w:val="none"/>
        </w:rPr>
        <w:t>招标文件</w:t>
      </w:r>
    </w:p>
    <w:p w14:paraId="0900351A">
      <w:pPr>
        <w:pageBreakBefore w:val="0"/>
        <w:widowControl/>
        <w:kinsoku/>
        <w:wordWrap w:val="0"/>
        <w:topLinePunct w:val="0"/>
        <w:bidi w:val="0"/>
        <w:spacing w:line="360" w:lineRule="auto"/>
        <w:ind w:right="-2"/>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（线上电子招投标）</w:t>
      </w:r>
    </w:p>
    <w:p w14:paraId="0EFAF235">
      <w:pPr>
        <w:pageBreakBefore w:val="0"/>
        <w:kinsoku/>
        <w:wordWrap w:val="0"/>
        <w:topLinePunct w:val="0"/>
        <w:bidi w:val="0"/>
        <w:spacing w:line="400" w:lineRule="exact"/>
        <w:rPr>
          <w:rFonts w:hint="eastAsia" w:ascii="宋体" w:hAnsi="宋体" w:eastAsia="宋体" w:cs="宋体"/>
          <w:b/>
          <w:color w:val="auto"/>
          <w:sz w:val="24"/>
          <w:highlight w:val="none"/>
        </w:rPr>
      </w:pPr>
    </w:p>
    <w:p w14:paraId="7BD26ED3">
      <w:pPr>
        <w:pageBreakBefore w:val="0"/>
        <w:kinsoku/>
        <w:wordWrap w:val="0"/>
        <w:topLinePunct w:val="0"/>
        <w:bidi w:val="0"/>
        <w:spacing w:line="400" w:lineRule="exact"/>
        <w:rPr>
          <w:rFonts w:hint="eastAsia" w:ascii="宋体" w:hAnsi="宋体" w:eastAsia="宋体" w:cs="宋体"/>
          <w:b/>
          <w:color w:val="auto"/>
          <w:sz w:val="24"/>
          <w:highlight w:val="none"/>
        </w:rPr>
      </w:pPr>
    </w:p>
    <w:p w14:paraId="070866E5">
      <w:pPr>
        <w:pageBreakBefore w:val="0"/>
        <w:kinsoku/>
        <w:wordWrap w:val="0"/>
        <w:topLinePunct w:val="0"/>
        <w:bidi w:val="0"/>
        <w:spacing w:line="360" w:lineRule="auto"/>
        <w:ind w:firstLine="2100" w:firstLineChars="700"/>
        <w:jc w:val="left"/>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项目编号：</w:t>
      </w:r>
      <w:r>
        <w:rPr>
          <w:rFonts w:hint="eastAsia" w:ascii="宋体" w:hAnsi="宋体" w:cs="宋体"/>
          <w:color w:val="auto"/>
          <w:sz w:val="30"/>
          <w:highlight w:val="none"/>
          <w:lang w:eastAsia="zh-CN"/>
        </w:rPr>
        <w:t>ZJYC2026080（GK）</w:t>
      </w:r>
    </w:p>
    <w:p w14:paraId="77FD3EA5">
      <w:pPr>
        <w:pageBreakBefore w:val="0"/>
        <w:tabs>
          <w:tab w:val="left" w:pos="9240"/>
        </w:tabs>
        <w:kinsoku/>
        <w:wordWrap w:val="0"/>
        <w:topLinePunct w:val="0"/>
        <w:bidi w:val="0"/>
        <w:spacing w:line="360" w:lineRule="auto"/>
        <w:ind w:left="3587" w:leftChars="994" w:hanging="1500" w:hangingChars="500"/>
        <w:jc w:val="left"/>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招标项目：</w:t>
      </w:r>
      <w:r>
        <w:rPr>
          <w:rFonts w:hint="eastAsia" w:ascii="宋体" w:hAnsi="宋体" w:eastAsia="宋体" w:cs="宋体"/>
          <w:color w:val="auto"/>
          <w:sz w:val="30"/>
          <w:highlight w:val="none"/>
          <w:lang w:eastAsia="zh-CN"/>
        </w:rPr>
        <w:t>手写信息数字签名终端（无线）和PDA</w:t>
      </w:r>
    </w:p>
    <w:p w14:paraId="19628C14">
      <w:pPr>
        <w:pageBreakBefore w:val="0"/>
        <w:kinsoku/>
        <w:wordWrap w:val="0"/>
        <w:topLinePunct w:val="0"/>
        <w:bidi w:val="0"/>
        <w:spacing w:line="360" w:lineRule="auto"/>
        <w:ind w:firstLine="2100" w:firstLineChars="700"/>
        <w:jc w:val="left"/>
        <w:rPr>
          <w:rFonts w:hint="eastAsia" w:ascii="宋体" w:hAnsi="宋体" w:eastAsia="宋体" w:cs="宋体"/>
          <w:color w:val="auto"/>
          <w:sz w:val="22"/>
          <w:highlight w:val="none"/>
        </w:rPr>
      </w:pPr>
      <w:r>
        <w:rPr>
          <w:rFonts w:hint="eastAsia" w:ascii="宋体" w:hAnsi="宋体" w:eastAsia="宋体" w:cs="宋体"/>
          <w:color w:val="auto"/>
          <w:sz w:val="30"/>
          <w:highlight w:val="none"/>
        </w:rPr>
        <w:t>招标方式：公 开 招 标</w:t>
      </w:r>
    </w:p>
    <w:p w14:paraId="4CF41B9E">
      <w:pPr>
        <w:pageBreakBefore w:val="0"/>
        <w:kinsoku/>
        <w:wordWrap w:val="0"/>
        <w:topLinePunct w:val="0"/>
        <w:bidi w:val="0"/>
        <w:spacing w:line="360" w:lineRule="auto"/>
        <w:ind w:firstLine="1080" w:firstLineChars="300"/>
        <w:jc w:val="center"/>
        <w:rPr>
          <w:rFonts w:hint="eastAsia" w:ascii="宋体" w:hAnsi="宋体" w:eastAsia="宋体" w:cs="宋体"/>
          <w:color w:val="auto"/>
          <w:spacing w:val="40"/>
          <w:sz w:val="28"/>
          <w:szCs w:val="28"/>
          <w:highlight w:val="none"/>
        </w:rPr>
      </w:pPr>
    </w:p>
    <w:p w14:paraId="167A85D1">
      <w:pPr>
        <w:pageBreakBefore w:val="0"/>
        <w:kinsoku/>
        <w:wordWrap w:val="0"/>
        <w:topLinePunct w:val="0"/>
        <w:bidi w:val="0"/>
        <w:spacing w:line="360" w:lineRule="auto"/>
        <w:ind w:firstLine="1080" w:firstLineChars="300"/>
        <w:jc w:val="center"/>
        <w:rPr>
          <w:rFonts w:hint="eastAsia" w:ascii="宋体" w:hAnsi="宋体" w:eastAsia="宋体" w:cs="宋体"/>
          <w:color w:val="auto"/>
          <w:spacing w:val="40"/>
          <w:sz w:val="28"/>
          <w:szCs w:val="28"/>
          <w:highlight w:val="none"/>
        </w:rPr>
      </w:pPr>
    </w:p>
    <w:p w14:paraId="53CB9851">
      <w:pPr>
        <w:pageBreakBefore w:val="0"/>
        <w:kinsoku/>
        <w:wordWrap w:val="0"/>
        <w:topLinePunct w:val="0"/>
        <w:bidi w:val="0"/>
        <w:spacing w:line="360" w:lineRule="auto"/>
        <w:jc w:val="center"/>
        <w:rPr>
          <w:rFonts w:hint="eastAsia" w:ascii="宋体" w:hAnsi="宋体" w:eastAsia="宋体" w:cs="宋体"/>
          <w:color w:val="auto"/>
          <w:kern w:val="0"/>
          <w:sz w:val="30"/>
          <w:highlight w:val="none"/>
          <w:lang w:eastAsia="zh-CN"/>
        </w:rPr>
      </w:pPr>
      <w:r>
        <w:rPr>
          <w:rFonts w:hint="eastAsia" w:ascii="宋体" w:hAnsi="宋体" w:eastAsia="宋体" w:cs="宋体"/>
          <w:color w:val="auto"/>
          <w:kern w:val="0"/>
          <w:sz w:val="30"/>
          <w:highlight w:val="none"/>
        </w:rPr>
        <w:t>采购人：</w:t>
      </w:r>
      <w:r>
        <w:rPr>
          <w:rFonts w:hint="eastAsia" w:ascii="宋体" w:hAnsi="宋体" w:eastAsia="宋体" w:cs="宋体"/>
          <w:color w:val="auto"/>
          <w:kern w:val="0"/>
          <w:sz w:val="30"/>
          <w:highlight w:val="none"/>
          <w:lang w:eastAsia="zh-CN"/>
        </w:rPr>
        <w:t>温州市第七人民医院</w:t>
      </w:r>
    </w:p>
    <w:p w14:paraId="0551BBFE">
      <w:pPr>
        <w:pageBreakBefore w:val="0"/>
        <w:kinsoku/>
        <w:wordWrap w:val="0"/>
        <w:topLinePunct w:val="0"/>
        <w:bidi w:val="0"/>
        <w:spacing w:line="360" w:lineRule="auto"/>
        <w:jc w:val="center"/>
        <w:rPr>
          <w:rFonts w:hint="eastAsia" w:ascii="宋体" w:hAnsi="宋体" w:eastAsia="宋体" w:cs="宋体"/>
          <w:color w:val="auto"/>
          <w:spacing w:val="40"/>
          <w:sz w:val="24"/>
          <w:szCs w:val="24"/>
          <w:highlight w:val="none"/>
        </w:rPr>
      </w:pPr>
      <w:r>
        <w:rPr>
          <w:rFonts w:hint="eastAsia" w:ascii="宋体" w:hAnsi="宋体" w:eastAsia="宋体" w:cs="宋体"/>
          <w:color w:val="auto"/>
          <w:kern w:val="0"/>
          <w:sz w:val="30"/>
          <w:highlight w:val="none"/>
        </w:rPr>
        <w:t>采购代理机构：浙江乐诚工程咨询有限公司</w:t>
      </w:r>
    </w:p>
    <w:p w14:paraId="24137BDA">
      <w:pPr>
        <w:pageBreakBefore w:val="0"/>
        <w:kinsoku/>
        <w:wordWrap w:val="0"/>
        <w:topLinePunct w:val="0"/>
        <w:bidi w:val="0"/>
        <w:spacing w:line="360" w:lineRule="auto"/>
        <w:jc w:val="center"/>
        <w:rPr>
          <w:rFonts w:hint="eastAsia" w:ascii="宋体" w:hAnsi="宋体" w:eastAsia="宋体" w:cs="宋体"/>
          <w:color w:val="auto"/>
          <w:spacing w:val="40"/>
          <w:sz w:val="28"/>
          <w:highlight w:val="none"/>
        </w:rPr>
      </w:pPr>
    </w:p>
    <w:p w14:paraId="55ECF7DC">
      <w:pPr>
        <w:pageBreakBefore w:val="0"/>
        <w:kinsoku/>
        <w:wordWrap w:val="0"/>
        <w:topLinePunct w:val="0"/>
        <w:bidi w:val="0"/>
        <w:spacing w:line="360" w:lineRule="auto"/>
        <w:jc w:val="center"/>
        <w:rPr>
          <w:rFonts w:hint="eastAsia" w:ascii="宋体" w:hAnsi="宋体" w:eastAsia="宋体" w:cs="宋体"/>
          <w:color w:val="auto"/>
          <w:spacing w:val="40"/>
          <w:sz w:val="28"/>
          <w:highlight w:val="none"/>
        </w:rPr>
      </w:pPr>
    </w:p>
    <w:p w14:paraId="1926556E">
      <w:pPr>
        <w:pageBreakBefore w:val="0"/>
        <w:kinsoku/>
        <w:wordWrap w:val="0"/>
        <w:topLinePunct w:val="0"/>
        <w:bidi w:val="0"/>
        <w:spacing w:line="360" w:lineRule="auto"/>
        <w:jc w:val="center"/>
        <w:rPr>
          <w:rFonts w:hint="eastAsia" w:ascii="宋体" w:hAnsi="宋体" w:eastAsia="宋体" w:cs="宋体"/>
          <w:color w:val="auto"/>
          <w:spacing w:val="40"/>
          <w:sz w:val="28"/>
          <w:highlight w:val="none"/>
        </w:rPr>
      </w:pPr>
      <w:r>
        <w:rPr>
          <w:rFonts w:hint="eastAsia" w:ascii="宋体" w:hAnsi="宋体" w:eastAsia="宋体" w:cs="宋体"/>
          <w:color w:val="auto"/>
          <w:spacing w:val="40"/>
          <w:sz w:val="28"/>
          <w:highlight w:val="none"/>
          <w:lang w:eastAsia="zh-CN"/>
        </w:rPr>
        <w:t>二〇二</w:t>
      </w:r>
      <w:r>
        <w:rPr>
          <w:rFonts w:hint="eastAsia" w:ascii="宋体" w:hAnsi="宋体" w:cs="宋体"/>
          <w:color w:val="auto"/>
          <w:spacing w:val="40"/>
          <w:sz w:val="28"/>
          <w:highlight w:val="none"/>
          <w:lang w:eastAsia="zh-CN"/>
        </w:rPr>
        <w:t>六</w:t>
      </w:r>
      <w:r>
        <w:rPr>
          <w:rFonts w:hint="eastAsia" w:ascii="宋体" w:hAnsi="宋体" w:eastAsia="宋体" w:cs="宋体"/>
          <w:color w:val="auto"/>
          <w:spacing w:val="40"/>
          <w:sz w:val="28"/>
          <w:highlight w:val="none"/>
        </w:rPr>
        <w:t>年</w:t>
      </w:r>
    </w:p>
    <w:p w14:paraId="60FB5604">
      <w:pPr>
        <w:pageBreakBefore w:val="0"/>
        <w:kinsoku/>
        <w:wordWrap w:val="0"/>
        <w:topLinePunct w:val="0"/>
        <w:bidi w:val="0"/>
        <w:spacing w:line="400" w:lineRule="exact"/>
        <w:jc w:val="center"/>
        <w:rPr>
          <w:rFonts w:hint="eastAsia" w:ascii="宋体" w:hAnsi="宋体" w:eastAsia="宋体" w:cs="宋体"/>
          <w:b/>
          <w:color w:val="auto"/>
          <w:sz w:val="32"/>
          <w:highlight w:val="none"/>
        </w:rPr>
      </w:pPr>
    </w:p>
    <w:p w14:paraId="274BA2B8">
      <w:pPr>
        <w:pageBreakBefore w:val="0"/>
        <w:kinsoku/>
        <w:wordWrap w:val="0"/>
        <w:topLinePunct w:val="0"/>
        <w:bidi w:val="0"/>
        <w:spacing w:line="400" w:lineRule="exact"/>
        <w:jc w:val="center"/>
        <w:rPr>
          <w:rFonts w:hint="eastAsia" w:ascii="宋体" w:hAnsi="宋体" w:eastAsia="宋体" w:cs="宋体"/>
          <w:b/>
          <w:color w:val="auto"/>
          <w:sz w:val="32"/>
          <w:highlight w:val="none"/>
        </w:rPr>
      </w:pPr>
    </w:p>
    <w:p w14:paraId="35386BC7">
      <w:pPr>
        <w:pageBreakBefore w:val="0"/>
        <w:kinsoku/>
        <w:wordWrap w:val="0"/>
        <w:topLinePunct w:val="0"/>
        <w:bidi w:val="0"/>
        <w:spacing w:line="400" w:lineRule="exact"/>
        <w:jc w:val="center"/>
        <w:rPr>
          <w:rFonts w:hint="eastAsia" w:ascii="宋体" w:hAnsi="宋体" w:eastAsia="宋体" w:cs="宋体"/>
          <w:b/>
          <w:color w:val="auto"/>
          <w:sz w:val="32"/>
          <w:highlight w:val="none"/>
        </w:rPr>
      </w:pPr>
    </w:p>
    <w:p w14:paraId="6AD9F5A8">
      <w:pPr>
        <w:pageBreakBefore w:val="0"/>
        <w:kinsoku/>
        <w:wordWrap w:val="0"/>
        <w:topLinePunct w:val="0"/>
        <w:bidi w:val="0"/>
        <w:spacing w:line="400" w:lineRule="exact"/>
        <w:jc w:val="center"/>
        <w:rPr>
          <w:rFonts w:hint="eastAsia" w:ascii="宋体" w:hAnsi="宋体" w:eastAsia="宋体" w:cs="宋体"/>
          <w:color w:val="auto"/>
          <w:highlight w:val="none"/>
        </w:rPr>
      </w:pPr>
      <w:r>
        <w:rPr>
          <w:rFonts w:hint="eastAsia" w:ascii="宋体" w:hAnsi="宋体" w:eastAsia="宋体" w:cs="宋体"/>
          <w:b/>
          <w:color w:val="auto"/>
          <w:sz w:val="32"/>
          <w:highlight w:val="none"/>
        </w:rPr>
        <w:t>目 录</w:t>
      </w:r>
    </w:p>
    <w:p w14:paraId="2207798E">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7D10F9A1">
      <w:pPr>
        <w:pStyle w:val="2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_Toc29910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第一部分</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公开招标公告</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_Toc29910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4C0EC61">
      <w:pPr>
        <w:pStyle w:val="2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_Toc6104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第二部分</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投标人须知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_Toc6104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59C0F0F">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_Toc20227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投标人须知前附表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_Toc20227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81B87A2">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_Toc2276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一、说明</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_Toc2276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CAAFCE9">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_Toc15689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二、招标文件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_Toc15689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16</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0126B87">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_Toc14702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三、投标文件的编制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_Toc14702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18</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365C6737">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_Toc31408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四、投标文件的递交</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_Toc31408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20</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DD42817">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_Toc20677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五、开标和评标</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_Toc20677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54D4A7F">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_Toc4136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六、授予合同</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_Toc4136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26</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23BFF29">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_Toc8073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七、可中止电子交易活动的情形</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_Toc8073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27</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FC4FCCA">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_Toc4471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八、验收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_Toc4471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27</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627AC50F">
      <w:pPr>
        <w:pStyle w:val="2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_Toc363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第三部分</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拟签订的合同文本</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_Toc363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28</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1CEA037A">
      <w:pPr>
        <w:pStyle w:val="2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_Toc11909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第四部分</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附件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_Toc11909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1C7CD272">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_Toc1475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一、报价文件部分格式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_Toc1475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4A7C8A0">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_Toc9236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二、资格文件部分封面格式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_Toc9236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37</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666B3FF">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_Toc24047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三、商务和技术文件部分封面格式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_Toc24047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8BFA386">
      <w:pPr>
        <w:pStyle w:val="2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_Toc12070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第五部分 采购需求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_Toc12070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61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CDD218C">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_Toc18332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lang w:val="en-US" w:eastAsia="zh-CN"/>
        </w:rPr>
        <w:t>标项1：手写信息数字签名终端（无线）</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_Toc18332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61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184E377C">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_Toc155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lang w:val="en-US" w:eastAsia="zh-CN"/>
        </w:rPr>
        <w:t>标项2：PDA</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_Toc155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64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75BCFAC">
      <w:pPr>
        <w:pStyle w:val="2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_Toc6759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第六部分</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评标原则及方法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_Toc6759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67</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0C2B639">
      <w:pPr>
        <w:pStyle w:val="20"/>
        <w:keepNext w:val="0"/>
        <w:keepLines w:val="0"/>
        <w:pageBreakBefore w:val="0"/>
        <w:widowControl w:val="0"/>
        <w:tabs>
          <w:tab w:val="right" w:leader="dot" w:pos="935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_Toc4458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第七部分 附表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_Toc4458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72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3C8E3C98">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_Toc3850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附表1</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_Toc3850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72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B9DA64C">
      <w:pPr>
        <w:pStyle w:val="26"/>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_Toc8965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附表2</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_Toc8965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73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17F1B643">
      <w:pPr>
        <w:pStyle w:val="9"/>
        <w:pageBreakBefore w:val="0"/>
        <w:kinsoku/>
        <w:wordWrap w:val="0"/>
        <w:topLinePunct w:val="0"/>
        <w:bidi w:val="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fldChar w:fldCharType="end"/>
      </w:r>
    </w:p>
    <w:p w14:paraId="6308170A">
      <w:pPr>
        <w:pageBreakBefore w:val="0"/>
        <w:kinsoku/>
        <w:wordWrap w:val="0"/>
        <w:topLinePunct w:val="0"/>
        <w:bidi w:val="0"/>
        <w:spacing w:line="400" w:lineRule="exact"/>
        <w:rPr>
          <w:rFonts w:hint="eastAsia" w:ascii="宋体" w:hAnsi="宋体" w:eastAsia="宋体" w:cs="宋体"/>
          <w:color w:val="auto"/>
          <w:sz w:val="22"/>
          <w:highlight w:val="none"/>
        </w:rPr>
      </w:pPr>
      <w:r>
        <w:rPr>
          <w:rFonts w:hint="eastAsia" w:ascii="宋体" w:hAnsi="宋体" w:eastAsia="宋体" w:cs="宋体"/>
          <w:b/>
          <w:color w:val="auto"/>
          <w:sz w:val="24"/>
          <w:highlight w:val="none"/>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14:paraId="659D16E6">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2F076004">
      <w:pPr>
        <w:pageBreakBefore w:val="0"/>
        <w:kinsoku/>
        <w:wordWrap w:val="0"/>
        <w:topLinePunct w:val="0"/>
        <w:bidi w:val="0"/>
        <w:spacing w:line="400" w:lineRule="exact"/>
        <w:jc w:val="center"/>
        <w:outlineLvl w:val="0"/>
        <w:rPr>
          <w:rFonts w:hint="eastAsia" w:ascii="宋体" w:hAnsi="宋体" w:eastAsia="宋体" w:cs="宋体"/>
          <w:b/>
          <w:color w:val="auto"/>
          <w:sz w:val="32"/>
          <w:highlight w:val="none"/>
        </w:rPr>
      </w:pPr>
      <w:bookmarkStart w:id="0" w:name="_Toc29910"/>
      <w:r>
        <w:rPr>
          <w:rFonts w:hint="eastAsia" w:ascii="宋体" w:hAnsi="宋体" w:eastAsia="宋体" w:cs="宋体"/>
          <w:b/>
          <w:color w:val="auto"/>
          <w:sz w:val="32"/>
          <w:highlight w:val="none"/>
        </w:rPr>
        <w:t>第一部分</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公开招标公告</w:t>
      </w:r>
      <w:bookmarkEnd w:id="0"/>
    </w:p>
    <w:p w14:paraId="0C7B20CE">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项目概况</w:t>
      </w:r>
      <w:r>
        <w:rPr>
          <w:rFonts w:hint="eastAsia" w:ascii="宋体" w:hAnsi="宋体" w:eastAsia="宋体" w:cs="宋体"/>
          <w:color w:val="auto"/>
          <w:sz w:val="22"/>
          <w:szCs w:val="22"/>
          <w:highlight w:val="none"/>
        </w:rPr>
        <w:t>        </w:t>
      </w:r>
    </w:p>
    <w:p w14:paraId="5CAABB1F">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手写信息数字签名终端（无线）和PDA</w:t>
      </w:r>
      <w:r>
        <w:rPr>
          <w:rFonts w:hint="eastAsia" w:ascii="宋体" w:hAnsi="宋体" w:eastAsia="宋体" w:cs="宋体"/>
          <w:color w:val="auto"/>
          <w:sz w:val="22"/>
          <w:szCs w:val="22"/>
          <w:highlight w:val="none"/>
        </w:rPr>
        <w:t>招标项目的潜在投标人应在</w:t>
      </w:r>
      <w:r>
        <w:rPr>
          <w:rFonts w:hint="eastAsia" w:ascii="宋体" w:hAnsi="宋体" w:eastAsia="宋体" w:cs="宋体"/>
          <w:b w:val="0"/>
          <w:bCs w:val="0"/>
          <w:color w:val="auto"/>
          <w:sz w:val="22"/>
          <w:szCs w:val="22"/>
          <w:highlight w:val="none"/>
        </w:rPr>
        <w:t>乐采云平台(https://www.lecaiyun.com/)</w:t>
      </w:r>
      <w:r>
        <w:rPr>
          <w:rFonts w:hint="eastAsia" w:ascii="宋体" w:hAnsi="宋体" w:eastAsia="宋体" w:cs="宋体"/>
          <w:color w:val="auto"/>
          <w:sz w:val="22"/>
          <w:szCs w:val="22"/>
          <w:highlight w:val="none"/>
        </w:rPr>
        <w:t>线上获取（下载）招标文件，并于</w:t>
      </w:r>
      <w:r>
        <w:rPr>
          <w:rFonts w:hint="eastAsia" w:cs="宋体"/>
          <w:color w:val="auto"/>
          <w:sz w:val="22"/>
          <w:szCs w:val="22"/>
          <w:highlight w:val="none"/>
          <w:lang w:eastAsia="zh-CN"/>
        </w:rPr>
        <w:t>2026年06月12日09:30</w:t>
      </w:r>
      <w:r>
        <w:rPr>
          <w:rFonts w:hint="eastAsia" w:ascii="宋体" w:hAnsi="宋体" w:eastAsia="宋体" w:cs="宋体"/>
          <w:color w:val="auto"/>
          <w:sz w:val="22"/>
          <w:szCs w:val="22"/>
          <w:highlight w:val="none"/>
        </w:rPr>
        <w:t>（北京时间）前递交（上传）投标文件。</w:t>
      </w:r>
    </w:p>
    <w:p w14:paraId="31FED0C5">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一、项目基本情况</w:t>
      </w:r>
    </w:p>
    <w:p w14:paraId="06D9183F">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项目编号：</w:t>
      </w:r>
      <w:r>
        <w:rPr>
          <w:rFonts w:hint="eastAsia" w:cs="宋体"/>
          <w:color w:val="auto"/>
          <w:sz w:val="22"/>
          <w:szCs w:val="22"/>
          <w:highlight w:val="none"/>
          <w:lang w:eastAsia="zh-CN"/>
        </w:rPr>
        <w:t>ZJYC2026080（GK）</w:t>
      </w:r>
    </w:p>
    <w:p w14:paraId="257399C7">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手写信息数字签名终端（无线）和PDA</w:t>
      </w:r>
    </w:p>
    <w:p w14:paraId="3F92E595">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预算金额（元）：</w:t>
      </w:r>
      <w:r>
        <w:rPr>
          <w:rFonts w:hint="eastAsia" w:ascii="宋体" w:hAnsi="宋体" w:eastAsia="宋体" w:cs="宋体"/>
          <w:color w:val="auto"/>
          <w:sz w:val="22"/>
          <w:szCs w:val="22"/>
          <w:highlight w:val="none"/>
          <w:lang w:val="en-US" w:eastAsia="zh-CN"/>
        </w:rPr>
        <w:t>432000.00</w:t>
      </w:r>
    </w:p>
    <w:p w14:paraId="65E00C70">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最高限价（元）：</w:t>
      </w:r>
      <w:r>
        <w:rPr>
          <w:rFonts w:hint="eastAsia" w:ascii="宋体" w:hAnsi="宋体" w:eastAsia="宋体" w:cs="宋体"/>
          <w:color w:val="auto"/>
          <w:kern w:val="0"/>
          <w:sz w:val="22"/>
          <w:szCs w:val="22"/>
          <w:highlight w:val="none"/>
          <w:lang w:val="en-US" w:eastAsia="zh-CN" w:bidi="ar-SA"/>
        </w:rPr>
        <w:t>222000.00，</w:t>
      </w:r>
      <w:r>
        <w:rPr>
          <w:rFonts w:hint="eastAsia" w:ascii="宋体" w:hAnsi="宋体" w:eastAsia="宋体" w:cs="宋体"/>
          <w:color w:val="auto"/>
          <w:sz w:val="22"/>
          <w:szCs w:val="22"/>
          <w:highlight w:val="none"/>
          <w:lang w:val="en-US" w:eastAsia="zh-CN"/>
        </w:rPr>
        <w:t>210000.00</w:t>
      </w:r>
    </w:p>
    <w:p w14:paraId="08DE51C4">
      <w:pPr>
        <w:keepNext w:val="0"/>
        <w:keepLines w:val="0"/>
        <w:pageBreakBefore w:val="0"/>
        <w:widowControl/>
        <w:kinsoku/>
        <w:wordWrap w:val="0"/>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采购需求： </w:t>
      </w:r>
    </w:p>
    <w:p w14:paraId="54ED589E">
      <w:pPr>
        <w:keepNext w:val="0"/>
        <w:keepLines w:val="0"/>
        <w:pageBreakBefore w:val="0"/>
        <w:widowControl/>
        <w:kinsoku/>
        <w:wordWrap w:val="0"/>
        <w:overflowPunct/>
        <w:topLinePunct w:val="0"/>
        <w:autoSpaceDE/>
        <w:autoSpaceDN/>
        <w:bidi w:val="0"/>
        <w:adjustRightInd w:val="0"/>
        <w:snapToGrid w:val="0"/>
        <w:spacing w:line="360" w:lineRule="auto"/>
        <w:ind w:firstLine="440" w:firstLineChars="200"/>
        <w:jc w:val="left"/>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标项1</w:t>
      </w:r>
      <w:r>
        <w:rPr>
          <w:rFonts w:hint="eastAsia" w:ascii="宋体" w:hAnsi="宋体" w:eastAsia="宋体" w:cs="宋体"/>
          <w:color w:val="auto"/>
          <w:kern w:val="0"/>
          <w:sz w:val="22"/>
          <w:szCs w:val="22"/>
          <w:highlight w:val="none"/>
          <w:lang w:bidi="ar"/>
        </w:rPr>
        <w:t> </w:t>
      </w:r>
    </w:p>
    <w:p w14:paraId="2BB9C532">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标项名称：手写信息数字签名终端（无线）    </w:t>
      </w:r>
    </w:p>
    <w:p w14:paraId="66E4B2EF">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数量：60台 </w:t>
      </w:r>
    </w:p>
    <w:p w14:paraId="62FBB4F0">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预算金额（元）：222000.00 </w:t>
      </w:r>
    </w:p>
    <w:p w14:paraId="621CD104">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简要规格描述或项目基本概况介绍、用途：详见招标文件    </w:t>
      </w:r>
    </w:p>
    <w:p w14:paraId="6EEEBF57">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备注：    </w:t>
      </w:r>
    </w:p>
    <w:p w14:paraId="2EF48028">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p>
    <w:p w14:paraId="598EB58E">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标项2</w:t>
      </w:r>
    </w:p>
    <w:p w14:paraId="76DC6AFA">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标项名称：PDA    </w:t>
      </w:r>
    </w:p>
    <w:p w14:paraId="71DF4531">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数量：</w:t>
      </w:r>
      <w:r>
        <w:rPr>
          <w:rFonts w:hint="eastAsia" w:ascii="宋体" w:hAnsi="宋体" w:eastAsia="宋体" w:cs="宋体"/>
          <w:b w:val="0"/>
          <w:bCs w:val="0"/>
          <w:color w:val="auto"/>
          <w:sz w:val="22"/>
          <w:szCs w:val="22"/>
          <w:highlight w:val="none"/>
          <w:lang w:val="en-US" w:eastAsia="zh-CN"/>
        </w:rPr>
        <w:t>70台</w:t>
      </w:r>
      <w:r>
        <w:rPr>
          <w:rFonts w:hint="eastAsia" w:ascii="宋体" w:hAnsi="宋体" w:eastAsia="宋体" w:cs="宋体"/>
          <w:b w:val="0"/>
          <w:bCs w:val="0"/>
          <w:color w:val="auto"/>
          <w:sz w:val="22"/>
          <w:szCs w:val="22"/>
          <w:highlight w:val="none"/>
        </w:rPr>
        <w:t xml:space="preserve">  </w:t>
      </w:r>
    </w:p>
    <w:p w14:paraId="1D153BB6">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r>
        <w:rPr>
          <w:rFonts w:hint="eastAsia" w:ascii="宋体" w:hAnsi="宋体" w:eastAsia="宋体" w:cs="宋体"/>
          <w:b w:val="0"/>
          <w:bCs/>
          <w:color w:val="auto"/>
          <w:sz w:val="22"/>
          <w:szCs w:val="22"/>
          <w:highlight w:val="none"/>
        </w:rPr>
        <w:t>（元）</w:t>
      </w:r>
      <w:r>
        <w:rPr>
          <w:rFonts w:hint="eastAsia" w:ascii="宋体" w:hAnsi="宋体" w:eastAsia="宋体" w:cs="宋体"/>
          <w:color w:val="auto"/>
          <w:sz w:val="22"/>
          <w:szCs w:val="22"/>
          <w:highlight w:val="none"/>
          <w:lang w:val="en-US" w:eastAsia="zh-CN"/>
        </w:rPr>
        <w:t>：210000.00</w:t>
      </w:r>
    </w:p>
    <w:p w14:paraId="104FA1E8">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简要规格描述或项目基本概况介绍、用途：详见招标文件</w:t>
      </w:r>
    </w:p>
    <w:p w14:paraId="47789A16">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p>
    <w:p w14:paraId="23565426">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合同履约期限：标项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标项 </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，详见招标文件</w:t>
      </w:r>
    </w:p>
    <w:p w14:paraId="0A62E004">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二、申请人的资格要求：</w:t>
      </w:r>
    </w:p>
    <w:p w14:paraId="6B225094">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45AB3576">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落实</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政策需满足的资格要求：项目专门面向中小企业采购，货物全部由符合政策要求的中小企业制造，提供中小企业声明函</w:t>
      </w:r>
      <w:r>
        <w:rPr>
          <w:rFonts w:hint="eastAsia" w:ascii="宋体" w:hAnsi="宋体" w:eastAsia="宋体" w:cs="宋体"/>
          <w:color w:val="auto"/>
          <w:sz w:val="22"/>
          <w:szCs w:val="22"/>
          <w:highlight w:val="none"/>
          <w:lang w:val="en-US" w:eastAsia="zh-CN"/>
        </w:rPr>
        <w:t>；</w:t>
      </w:r>
    </w:p>
    <w:p w14:paraId="338C93A2">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3.本项目的特定资格要求：</w:t>
      </w:r>
      <w:r>
        <w:rPr>
          <w:rFonts w:hint="eastAsia" w:ascii="宋体" w:hAnsi="宋体" w:eastAsia="宋体" w:cs="宋体"/>
          <w:color w:val="auto"/>
          <w:sz w:val="22"/>
          <w:szCs w:val="22"/>
          <w:highlight w:val="none"/>
          <w:lang w:val="en-US" w:eastAsia="zh-CN"/>
        </w:rPr>
        <w:t>无；</w:t>
      </w:r>
    </w:p>
    <w:p w14:paraId="63A8B8CA">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本项目接受联合体投标</w:t>
      </w:r>
      <w:r>
        <w:rPr>
          <w:rFonts w:hint="eastAsia" w:ascii="宋体" w:hAnsi="宋体" w:eastAsia="宋体" w:cs="宋体"/>
          <w:color w:val="auto"/>
          <w:sz w:val="22"/>
          <w:szCs w:val="22"/>
          <w:highlight w:val="none"/>
          <w:lang w:eastAsia="zh-CN"/>
        </w:rPr>
        <w:t>。</w:t>
      </w:r>
    </w:p>
    <w:p w14:paraId="67A8A1B5">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三、获取招标文件</w:t>
      </w:r>
    </w:p>
    <w:p w14:paraId="7B2F6336">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r>
        <w:rPr>
          <w:rFonts w:hint="eastAsia" w:cs="宋体"/>
          <w:color w:val="auto"/>
          <w:sz w:val="22"/>
          <w:szCs w:val="22"/>
          <w:highlight w:val="none"/>
          <w:lang w:eastAsia="zh-CN"/>
        </w:rPr>
        <w:t>2026年05月22日</w:t>
      </w:r>
      <w:r>
        <w:rPr>
          <w:rFonts w:hint="eastAsia" w:ascii="宋体" w:hAnsi="宋体" w:eastAsia="宋体" w:cs="宋体"/>
          <w:color w:val="auto"/>
          <w:sz w:val="22"/>
          <w:szCs w:val="22"/>
          <w:highlight w:val="none"/>
        </w:rPr>
        <w:t>至投标截止时间，每天上午00:00至12:00 ，下午12:00至23:59（北京时间，线上获取法定节假日均可，线下获取文件法定节假日除外）</w:t>
      </w:r>
    </w:p>
    <w:p w14:paraId="3FEDFE07">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地点（网址）：</w:t>
      </w:r>
      <w:r>
        <w:rPr>
          <w:rFonts w:hint="eastAsia" w:ascii="宋体" w:hAnsi="宋体" w:eastAsia="宋体" w:cs="宋体"/>
          <w:b w:val="0"/>
          <w:bCs w:val="0"/>
          <w:color w:val="auto"/>
          <w:sz w:val="22"/>
          <w:szCs w:val="22"/>
          <w:highlight w:val="none"/>
        </w:rPr>
        <w:t>乐采云平台(https://www.lecaiyun.com/)线上</w:t>
      </w:r>
      <w:r>
        <w:rPr>
          <w:rFonts w:hint="eastAsia" w:ascii="宋体" w:hAnsi="宋体" w:eastAsia="宋体" w:cs="宋体"/>
          <w:color w:val="auto"/>
          <w:sz w:val="22"/>
          <w:szCs w:val="22"/>
          <w:highlight w:val="none"/>
        </w:rPr>
        <w:t>获取</w:t>
      </w:r>
    </w:p>
    <w:p w14:paraId="7F308D5A">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方式：投标人登录</w:t>
      </w:r>
      <w:r>
        <w:rPr>
          <w:rFonts w:hint="eastAsia" w:ascii="宋体" w:hAnsi="宋体" w:eastAsia="宋体" w:cs="宋体"/>
          <w:b w:val="0"/>
          <w:bCs w:val="0"/>
          <w:color w:val="auto"/>
          <w:sz w:val="22"/>
          <w:szCs w:val="22"/>
          <w:highlight w:val="none"/>
        </w:rPr>
        <w:t>乐采云平台(https://www.lecaiyun.com/)线上</w:t>
      </w:r>
      <w:r>
        <w:rPr>
          <w:rFonts w:hint="eastAsia" w:ascii="宋体" w:hAnsi="宋体" w:eastAsia="宋体" w:cs="宋体"/>
          <w:color w:val="auto"/>
          <w:sz w:val="22"/>
          <w:szCs w:val="22"/>
          <w:highlight w:val="none"/>
        </w:rPr>
        <w:t>在线申请获取采购文件（进入“项目采购”应用，在获取采购文件菜单中选择项目，申请获取采购文件）</w:t>
      </w:r>
    </w:p>
    <w:p w14:paraId="71F3EBAD">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售价（元）：0</w:t>
      </w:r>
    </w:p>
    <w:p w14:paraId="661067D2">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四、提交投标文件截止时间、开标时间和地点</w:t>
      </w:r>
    </w:p>
    <w:p w14:paraId="67B38B6A">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提交投标文件截止时间：</w:t>
      </w:r>
      <w:r>
        <w:rPr>
          <w:rFonts w:hint="eastAsia" w:cs="宋体"/>
          <w:color w:val="auto"/>
          <w:sz w:val="22"/>
          <w:szCs w:val="22"/>
          <w:highlight w:val="none"/>
          <w:lang w:eastAsia="zh-CN"/>
        </w:rPr>
        <w:t>2026年06月12日09:30</w:t>
      </w:r>
      <w:r>
        <w:rPr>
          <w:rFonts w:hint="eastAsia" w:ascii="宋体" w:hAnsi="宋体" w:eastAsia="宋体" w:cs="宋体"/>
          <w:color w:val="auto"/>
          <w:sz w:val="22"/>
          <w:szCs w:val="22"/>
          <w:highlight w:val="none"/>
        </w:rPr>
        <w:t>（北京时间）</w:t>
      </w:r>
    </w:p>
    <w:p w14:paraId="4F4750BB">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投标地点（网址）：请登录</w:t>
      </w:r>
      <w:r>
        <w:rPr>
          <w:rFonts w:hint="eastAsia" w:ascii="宋体" w:hAnsi="宋体" w:eastAsia="宋体" w:cs="宋体"/>
          <w:b w:val="0"/>
          <w:bCs w:val="0"/>
          <w:color w:val="auto"/>
          <w:sz w:val="22"/>
          <w:szCs w:val="22"/>
          <w:highlight w:val="none"/>
        </w:rPr>
        <w:t>乐采云</w:t>
      </w:r>
      <w:r>
        <w:rPr>
          <w:rFonts w:hint="eastAsia" w:ascii="宋体" w:hAnsi="宋体" w:eastAsia="宋体" w:cs="宋体"/>
          <w:color w:val="auto"/>
          <w:sz w:val="22"/>
          <w:szCs w:val="22"/>
          <w:highlight w:val="none"/>
        </w:rPr>
        <w:t>投标客户端投标</w:t>
      </w:r>
    </w:p>
    <w:p w14:paraId="3219EA75">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cs="宋体"/>
          <w:color w:val="auto"/>
          <w:sz w:val="22"/>
          <w:szCs w:val="22"/>
          <w:highlight w:val="none"/>
          <w:lang w:eastAsia="zh-CN"/>
        </w:rPr>
        <w:t>2026年06月12日09:30</w:t>
      </w:r>
      <w:r>
        <w:rPr>
          <w:rFonts w:hint="eastAsia" w:ascii="宋体" w:hAnsi="宋体" w:eastAsia="宋体" w:cs="宋体"/>
          <w:color w:val="auto"/>
          <w:sz w:val="22"/>
          <w:szCs w:val="22"/>
          <w:highlight w:val="none"/>
        </w:rPr>
        <w:t xml:space="preserve">  </w:t>
      </w:r>
    </w:p>
    <w:p w14:paraId="3F223B52">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开标地点（网址）：浙江乐诚工程咨询有限公司评审室（温州市瓯海区三垟街道桥头河大桥温州生命健康小镇B03)（</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https://www.lecaiyun.com/</w:t>
      </w:r>
      <w:r>
        <w:rPr>
          <w:rFonts w:hint="eastAsia" w:ascii="宋体" w:hAnsi="宋体" w:eastAsia="宋体" w:cs="宋体"/>
          <w:color w:val="auto"/>
          <w:sz w:val="22"/>
          <w:szCs w:val="22"/>
          <w:highlight w:val="none"/>
        </w:rPr>
        <w:t>））</w:t>
      </w:r>
    </w:p>
    <w:p w14:paraId="74D96FBF">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五、公告期限</w:t>
      </w:r>
    </w:p>
    <w:p w14:paraId="5B40CD55">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476B9C4E">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六、其他补充事宜</w:t>
      </w:r>
    </w:p>
    <w:p w14:paraId="52C879A3">
      <w:pPr>
        <w:keepNext w:val="0"/>
        <w:keepLines w:val="0"/>
        <w:pageBreakBefore w:val="0"/>
        <w:widowControl w:val="0"/>
        <w:tabs>
          <w:tab w:val="left" w:pos="360"/>
        </w:tabs>
        <w:kinsoku/>
        <w:wordWrap w:val="0"/>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rPr>
        <w:t>供应商认为招标文件使自己的权益受到损害的，可以自获取到招标文件之日（公告期限截止日之后获取到招标文件的，以公告期限截止日为准）起7个工作日内，且应当在投标截止时间之前以书面形式向招标人和招标代理机构提出质疑。质疑供应商对招标人、招标代理机构的答复不满意或者招标人、招标代理机构未在规定的时间内作出答复的，可以在答复期满后十五个工作日内向采购监督管理部门投诉。</w:t>
      </w:r>
    </w:p>
    <w:p w14:paraId="3CE1A2A3">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color w:val="auto"/>
          <w:sz w:val="22"/>
          <w:szCs w:val="22"/>
          <w:highlight w:val="none"/>
        </w:rPr>
        <w:t>其他事项：无</w:t>
      </w:r>
    </w:p>
    <w:p w14:paraId="3DC0DF87">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七、对本次采购提出询问、质疑、投诉，请按以下方式联系</w:t>
      </w:r>
    </w:p>
    <w:p w14:paraId="01B5E90A">
      <w:pPr>
        <w:keepNext w:val="0"/>
        <w:keepLines w:val="0"/>
        <w:pageBreakBefore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招标人</w:t>
      </w:r>
      <w:r>
        <w:rPr>
          <w:rFonts w:hint="eastAsia" w:ascii="宋体" w:hAnsi="宋体" w:eastAsia="宋体" w:cs="宋体"/>
          <w:color w:val="auto"/>
          <w:sz w:val="22"/>
          <w:szCs w:val="22"/>
          <w:highlight w:val="none"/>
        </w:rPr>
        <w:t>信息</w:t>
      </w:r>
    </w:p>
    <w:p w14:paraId="4FB0B3BA">
      <w:pPr>
        <w:keepNext w:val="0"/>
        <w:keepLines w:val="0"/>
        <w:pageBreakBefore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温州市第七人民医院</w:t>
      </w:r>
    </w:p>
    <w:p w14:paraId="61ABC8AC">
      <w:pPr>
        <w:keepNext w:val="0"/>
        <w:keepLines w:val="0"/>
        <w:pageBreakBefore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温州市瓯海区学士前路</w:t>
      </w:r>
      <w:r>
        <w:rPr>
          <w:rFonts w:hint="eastAsia" w:ascii="宋体" w:hAnsi="宋体" w:eastAsia="宋体" w:cs="宋体"/>
          <w:color w:val="auto"/>
          <w:sz w:val="22"/>
          <w:szCs w:val="22"/>
          <w:highlight w:val="none"/>
          <w:lang w:val="en-US" w:eastAsia="zh-CN"/>
        </w:rPr>
        <w:t>158号</w:t>
      </w:r>
    </w:p>
    <w:p w14:paraId="2C240D6B">
      <w:pPr>
        <w:keepNext w:val="0"/>
        <w:keepLines w:val="0"/>
        <w:pageBreakBefore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14:paraId="537B4407">
      <w:pPr>
        <w:keepNext w:val="0"/>
        <w:keepLines w:val="0"/>
        <w:pageBreakBefore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项目联系人（询问）：</w:t>
      </w:r>
      <w:r>
        <w:rPr>
          <w:rFonts w:hint="eastAsia" w:ascii="宋体" w:hAnsi="宋体" w:eastAsia="宋体" w:cs="宋体"/>
          <w:color w:val="auto"/>
          <w:sz w:val="22"/>
          <w:szCs w:val="22"/>
          <w:highlight w:val="none"/>
          <w:lang w:eastAsia="zh-CN"/>
        </w:rPr>
        <w:t>朱先生</w:t>
      </w:r>
    </w:p>
    <w:p w14:paraId="21C69C7B">
      <w:pPr>
        <w:keepNext w:val="0"/>
        <w:keepLines w:val="0"/>
        <w:pageBreakBefore w:val="0"/>
        <w:kinsoku/>
        <w:wordWrap w:val="0"/>
        <w:overflowPunct/>
        <w:topLinePunct w:val="0"/>
        <w:autoSpaceDE/>
        <w:autoSpaceDN/>
        <w:bidi w:val="0"/>
        <w:adjustRightIn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项目联系方式（询问）：0577-8987015</w:t>
      </w:r>
      <w:r>
        <w:rPr>
          <w:rFonts w:hint="eastAsia" w:ascii="宋体" w:hAnsi="宋体" w:eastAsia="宋体" w:cs="宋体"/>
          <w:color w:val="auto"/>
          <w:sz w:val="22"/>
          <w:szCs w:val="22"/>
          <w:highlight w:val="none"/>
          <w:lang w:val="en-US" w:eastAsia="zh-CN"/>
        </w:rPr>
        <w:t>3</w:t>
      </w:r>
    </w:p>
    <w:p w14:paraId="05186BFC">
      <w:pPr>
        <w:keepNext w:val="0"/>
        <w:keepLines w:val="0"/>
        <w:pageBreakBefore w:val="0"/>
        <w:kinsoku/>
        <w:wordWrap w:val="0"/>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质疑联系人：王女士</w:t>
      </w:r>
    </w:p>
    <w:p w14:paraId="59F8112F">
      <w:pPr>
        <w:keepNext w:val="0"/>
        <w:keepLines w:val="0"/>
        <w:pageBreakBefore w:val="0"/>
        <w:kinsoku/>
        <w:wordWrap w:val="0"/>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质疑联系方式：0577-8987015</w:t>
      </w:r>
      <w:r>
        <w:rPr>
          <w:rFonts w:hint="eastAsia" w:ascii="宋体" w:hAnsi="宋体" w:eastAsia="宋体" w:cs="宋体"/>
          <w:color w:val="auto"/>
          <w:sz w:val="22"/>
          <w:szCs w:val="22"/>
          <w:highlight w:val="none"/>
          <w:lang w:val="en-US" w:eastAsia="zh-CN"/>
        </w:rPr>
        <w:t>3</w:t>
      </w:r>
    </w:p>
    <w:p w14:paraId="2A8D194B">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2.采购代理机构信息</w:t>
      </w:r>
    </w:p>
    <w:p w14:paraId="7A7D2D75">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称：浙江乐诚工程咨询有限公司</w:t>
      </w:r>
    </w:p>
    <w:p w14:paraId="1CCA328A">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址：温州市瓯海区三垟街道桥头河大桥温州生命健康小镇B03</w:t>
      </w:r>
    </w:p>
    <w:p w14:paraId="1A9F4A37">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14:paraId="1DC8D808">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项目联系人（询问）：王纪凤、陈素芳</w:t>
      </w:r>
    </w:p>
    <w:p w14:paraId="14EA2ACF">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项目联系方式（询问）：15356271770/0577-86077700</w:t>
      </w:r>
    </w:p>
    <w:p w14:paraId="50BCF2DA">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质疑联系人：钱学丰</w:t>
      </w:r>
    </w:p>
    <w:p w14:paraId="53C51625">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质疑联系方式：15805779720 </w:t>
      </w:r>
    </w:p>
    <w:p w14:paraId="515C6F9C">
      <w:pPr>
        <w:keepNext w:val="0"/>
        <w:keepLines w:val="0"/>
        <w:pageBreakBefore w:val="0"/>
        <w:kinsoku/>
        <w:wordWrap w:val="0"/>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3.同级采购监督管理部门</w:t>
      </w:r>
    </w:p>
    <w:p w14:paraId="2756EEBA">
      <w:pPr>
        <w:keepNext w:val="0"/>
        <w:keepLines w:val="0"/>
        <w:pageBreakBefore w:val="0"/>
        <w:kinsoku/>
        <w:wordWrap w:val="0"/>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称：温州市第七人民医院纪检监察室</w:t>
      </w:r>
    </w:p>
    <w:p w14:paraId="50B67DFA">
      <w:pPr>
        <w:keepNext w:val="0"/>
        <w:keepLines w:val="0"/>
        <w:pageBreakBefore w:val="0"/>
        <w:kinsoku/>
        <w:wordWrap w:val="0"/>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val="en-US" w:eastAsia="zh-CN"/>
        </w:rPr>
        <w:t>温州市瓯海区学士前路</w:t>
      </w:r>
    </w:p>
    <w:p w14:paraId="6926881B">
      <w:pPr>
        <w:keepNext w:val="0"/>
        <w:keepLines w:val="0"/>
        <w:pageBreakBefore w:val="0"/>
        <w:kinsoku/>
        <w:wordWrap w:val="0"/>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14:paraId="13673A25">
      <w:pPr>
        <w:keepNext w:val="0"/>
        <w:keepLines w:val="0"/>
        <w:pageBreakBefore w:val="0"/>
        <w:kinsoku/>
        <w:wordWrap w:val="0"/>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val="en-US" w:eastAsia="zh-CN"/>
        </w:rPr>
        <w:t>/</w:t>
      </w:r>
    </w:p>
    <w:p w14:paraId="38B84831">
      <w:pPr>
        <w:keepNext w:val="0"/>
        <w:keepLines w:val="0"/>
        <w:pageBreakBefore w:val="0"/>
        <w:kinsoku/>
        <w:wordWrap w:val="0"/>
        <w:overflowPunct/>
        <w:topLinePunct w:val="0"/>
        <w:autoSpaceDE/>
        <w:autoSpaceDN/>
        <w:bidi w:val="0"/>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监督投诉电话：</w:t>
      </w:r>
      <w:r>
        <w:rPr>
          <w:rFonts w:hint="eastAsia" w:ascii="宋体" w:hAnsi="宋体" w:eastAsia="宋体" w:cs="宋体"/>
          <w:color w:val="auto"/>
          <w:sz w:val="22"/>
          <w:szCs w:val="22"/>
          <w:highlight w:val="none"/>
          <w:lang w:eastAsia="zh-CN"/>
        </w:rPr>
        <w:t>0577-89870113</w:t>
      </w:r>
    </w:p>
    <w:p w14:paraId="5FD74F4C">
      <w:pPr>
        <w:keepNext w:val="0"/>
        <w:keepLines w:val="0"/>
        <w:pageBreakBefore w:val="0"/>
        <w:widowControl/>
        <w:kinsoku/>
        <w:wordWrap w:val="0"/>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w:t>
      </w: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2"/>
          <w:szCs w:val="22"/>
          <w:highlight w:val="none"/>
        </w:rPr>
        <w:t>若对项目采购电子交易系统操作有疑问，可登录</w:t>
      </w:r>
      <w:r>
        <w:rPr>
          <w:rFonts w:hint="eastAsia" w:ascii="宋体" w:hAnsi="宋体" w:eastAsia="宋体" w:cs="宋体"/>
          <w:color w:val="auto"/>
          <w:sz w:val="22"/>
          <w:szCs w:val="22"/>
          <w:highlight w:val="none"/>
          <w:lang w:eastAsia="zh-CN"/>
        </w:rPr>
        <w:t>乐采云</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https://www.lecaiyun.com/</w:t>
      </w:r>
      <w:r>
        <w:rPr>
          <w:rFonts w:hint="eastAsia" w:ascii="宋体" w:hAnsi="宋体" w:eastAsia="宋体" w:cs="宋体"/>
          <w:color w:val="auto"/>
          <w:sz w:val="22"/>
          <w:szCs w:val="22"/>
          <w:highlight w:val="none"/>
        </w:rPr>
        <w:t>），点击右侧咨询小采，获取采小蜜智能服务管家帮助，或拨打</w:t>
      </w:r>
      <w:r>
        <w:rPr>
          <w:rFonts w:hint="eastAsia" w:ascii="宋体" w:hAnsi="宋体" w:eastAsia="宋体" w:cs="宋体"/>
          <w:color w:val="auto"/>
          <w:sz w:val="22"/>
          <w:szCs w:val="22"/>
          <w:highlight w:val="none"/>
          <w:lang w:eastAsia="zh-CN"/>
        </w:rPr>
        <w:t>乐采云</w:t>
      </w:r>
      <w:r>
        <w:rPr>
          <w:rFonts w:hint="eastAsia" w:ascii="宋体" w:hAnsi="宋体" w:eastAsia="宋体" w:cs="宋体"/>
          <w:color w:val="auto"/>
          <w:sz w:val="22"/>
          <w:szCs w:val="22"/>
          <w:highlight w:val="none"/>
        </w:rPr>
        <w:t>服务热线95763获取热线服务帮助。</w:t>
      </w:r>
    </w:p>
    <w:p w14:paraId="3ED74017">
      <w:pPr>
        <w:pStyle w:val="2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0" w:firstLineChars="0"/>
        <w:textAlignment w:val="auto"/>
        <w:rPr>
          <w:rFonts w:hint="eastAsia" w:ascii="宋体" w:hAnsi="宋体" w:eastAsia="宋体" w:cs="宋体"/>
          <w:b/>
          <w:color w:val="auto"/>
          <w:sz w:val="32"/>
          <w:highlight w:val="none"/>
        </w:rPr>
      </w:pPr>
      <w:r>
        <w:rPr>
          <w:rFonts w:hint="eastAsia" w:ascii="宋体" w:hAnsi="宋体" w:eastAsia="宋体" w:cs="宋体"/>
          <w:color w:val="auto"/>
          <w:sz w:val="22"/>
          <w:szCs w:val="22"/>
          <w:highlight w:val="none"/>
        </w:rPr>
        <w:t>CA问题联系电话（人工）：汇信CA 400-888-4636；天谷CA 400-087-8198。</w:t>
      </w:r>
    </w:p>
    <w:p w14:paraId="12368F56">
      <w:pPr>
        <w:pageBreakBefore w:val="0"/>
        <w:kinsoku/>
        <w:wordWrap w:val="0"/>
        <w:topLinePunct w:val="0"/>
        <w:bidi w:val="0"/>
        <w:spacing w:line="400" w:lineRule="exact"/>
        <w:jc w:val="center"/>
        <w:outlineLvl w:val="0"/>
        <w:rPr>
          <w:rFonts w:hint="eastAsia" w:ascii="宋体" w:hAnsi="宋体" w:eastAsia="宋体" w:cs="宋体"/>
          <w:b/>
          <w:color w:val="auto"/>
          <w:sz w:val="32"/>
          <w:highlight w:val="none"/>
        </w:rPr>
      </w:pPr>
    </w:p>
    <w:p w14:paraId="0A25ADD5">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305ABD9B">
      <w:pPr>
        <w:pageBreakBefore w:val="0"/>
        <w:kinsoku/>
        <w:wordWrap w:val="0"/>
        <w:topLinePunct w:val="0"/>
        <w:bidi w:val="0"/>
        <w:spacing w:line="400" w:lineRule="exact"/>
        <w:jc w:val="center"/>
        <w:outlineLvl w:val="0"/>
        <w:rPr>
          <w:rFonts w:hint="eastAsia" w:ascii="宋体" w:hAnsi="宋体" w:eastAsia="宋体" w:cs="宋体"/>
          <w:b/>
          <w:color w:val="auto"/>
          <w:sz w:val="32"/>
          <w:highlight w:val="none"/>
        </w:rPr>
      </w:pPr>
      <w:bookmarkStart w:id="1" w:name="_Toc6104"/>
      <w:r>
        <w:rPr>
          <w:rFonts w:hint="eastAsia" w:ascii="宋体" w:hAnsi="宋体" w:eastAsia="宋体" w:cs="宋体"/>
          <w:b/>
          <w:color w:val="auto"/>
          <w:sz w:val="32"/>
          <w:highlight w:val="none"/>
        </w:rPr>
        <w:t>第二部分</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投标人须知</w:t>
      </w:r>
      <w:bookmarkEnd w:id="1"/>
    </w:p>
    <w:p w14:paraId="7C22A247">
      <w:pPr>
        <w:pageBreakBefore w:val="0"/>
        <w:kinsoku/>
        <w:wordWrap w:val="0"/>
        <w:topLinePunct w:val="0"/>
        <w:bidi w:val="0"/>
        <w:spacing w:line="360" w:lineRule="exact"/>
        <w:jc w:val="center"/>
        <w:outlineLvl w:val="1"/>
        <w:rPr>
          <w:rFonts w:hint="eastAsia" w:ascii="宋体" w:hAnsi="宋体" w:eastAsia="宋体" w:cs="宋体"/>
          <w:b/>
          <w:bCs/>
          <w:color w:val="auto"/>
          <w:sz w:val="28"/>
          <w:szCs w:val="28"/>
          <w:highlight w:val="none"/>
        </w:rPr>
      </w:pPr>
      <w:bookmarkStart w:id="2" w:name="_Toc20227"/>
      <w:r>
        <w:rPr>
          <w:rFonts w:hint="eastAsia" w:ascii="宋体" w:hAnsi="宋体" w:eastAsia="宋体" w:cs="宋体"/>
          <w:b/>
          <w:bCs/>
          <w:color w:val="auto"/>
          <w:sz w:val="28"/>
          <w:szCs w:val="28"/>
          <w:highlight w:val="none"/>
        </w:rPr>
        <w:t>投标人须知前附表</w:t>
      </w:r>
      <w:bookmarkEnd w:id="2"/>
    </w:p>
    <w:tbl>
      <w:tblPr>
        <w:tblStyle w:val="32"/>
        <w:tblW w:w="9280" w:type="dxa"/>
        <w:jc w:val="center"/>
        <w:tblLayout w:type="fixed"/>
        <w:tblCellMar>
          <w:top w:w="0" w:type="dxa"/>
          <w:left w:w="108" w:type="dxa"/>
          <w:bottom w:w="0" w:type="dxa"/>
          <w:right w:w="108" w:type="dxa"/>
        </w:tblCellMar>
      </w:tblPr>
      <w:tblGrid>
        <w:gridCol w:w="766"/>
        <w:gridCol w:w="1796"/>
        <w:gridCol w:w="6718"/>
      </w:tblGrid>
      <w:tr w14:paraId="46298D46">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A2CEB15">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序号</w:t>
            </w:r>
          </w:p>
        </w:tc>
        <w:tc>
          <w:tcPr>
            <w:tcW w:w="1796" w:type="dxa"/>
            <w:tcBorders>
              <w:top w:val="single" w:color="auto" w:sz="4" w:space="0"/>
              <w:left w:val="single" w:color="auto" w:sz="4" w:space="0"/>
              <w:bottom w:val="single" w:color="auto" w:sz="4" w:space="0"/>
              <w:right w:val="single" w:color="auto" w:sz="4" w:space="0"/>
            </w:tcBorders>
            <w:vAlign w:val="center"/>
          </w:tcPr>
          <w:p w14:paraId="42A818D3">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14:paraId="6A70B89E">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编列内容</w:t>
            </w:r>
          </w:p>
        </w:tc>
      </w:tr>
      <w:tr w14:paraId="58067B7B">
        <w:tblPrEx>
          <w:tblCellMar>
            <w:top w:w="0" w:type="dxa"/>
            <w:left w:w="108" w:type="dxa"/>
            <w:bottom w:w="0" w:type="dxa"/>
            <w:right w:w="108" w:type="dxa"/>
          </w:tblCellMar>
        </w:tblPrEx>
        <w:trPr>
          <w:trHeight w:val="4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34BADFB">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w:t>
            </w:r>
          </w:p>
        </w:tc>
        <w:tc>
          <w:tcPr>
            <w:tcW w:w="1796" w:type="dxa"/>
            <w:tcBorders>
              <w:top w:val="single" w:color="auto" w:sz="4" w:space="0"/>
              <w:left w:val="single" w:color="auto" w:sz="4" w:space="0"/>
              <w:bottom w:val="single" w:color="auto" w:sz="4" w:space="0"/>
              <w:right w:val="single" w:color="auto" w:sz="4" w:space="0"/>
            </w:tcBorders>
            <w:vAlign w:val="center"/>
          </w:tcPr>
          <w:p w14:paraId="1AA23D33">
            <w:pPr>
              <w:pageBreakBefore w:val="0"/>
              <w:kinsoku/>
              <w:wordWrap w:val="0"/>
              <w:topLinePunct w:val="0"/>
              <w:bidi w:val="0"/>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14:paraId="623C697D">
            <w:pPr>
              <w:pageBreakBefore w:val="0"/>
              <w:kinsoku/>
              <w:wordWrap w:val="0"/>
              <w:topLinePunct w:val="0"/>
              <w:bidi w:val="0"/>
              <w:spacing w:line="400" w:lineRule="exact"/>
              <w:ind w:right="416"/>
              <w:rPr>
                <w:rFonts w:hint="eastAsia" w:ascii="宋体" w:hAnsi="宋体" w:eastAsia="宋体" w:cs="宋体"/>
                <w:color w:val="auto"/>
                <w:spacing w:val="-6"/>
                <w:sz w:val="22"/>
                <w:highlight w:val="none"/>
                <w:lang w:val="zh-CN"/>
              </w:rPr>
            </w:pPr>
            <w:r>
              <w:rPr>
                <w:rFonts w:hint="eastAsia" w:ascii="宋体" w:hAnsi="宋体" w:eastAsia="宋体" w:cs="宋体"/>
                <w:color w:val="auto"/>
                <w:spacing w:val="-6"/>
                <w:sz w:val="22"/>
                <w:highlight w:val="none"/>
                <w:lang w:val="zh-CN"/>
              </w:rPr>
              <w:t>温州市第七人民医院</w:t>
            </w:r>
          </w:p>
        </w:tc>
      </w:tr>
      <w:tr w14:paraId="58F3507D">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0E7BB76">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w:t>
            </w:r>
          </w:p>
        </w:tc>
        <w:tc>
          <w:tcPr>
            <w:tcW w:w="1796" w:type="dxa"/>
            <w:tcBorders>
              <w:top w:val="single" w:color="auto" w:sz="4" w:space="0"/>
              <w:left w:val="single" w:color="auto" w:sz="4" w:space="0"/>
              <w:bottom w:val="single" w:color="auto" w:sz="4" w:space="0"/>
              <w:right w:val="single" w:color="auto" w:sz="4" w:space="0"/>
            </w:tcBorders>
            <w:vAlign w:val="center"/>
          </w:tcPr>
          <w:p w14:paraId="2FB2BB56">
            <w:pPr>
              <w:pageBreakBefore w:val="0"/>
              <w:kinsoku/>
              <w:wordWrap w:val="0"/>
              <w:topLinePunct w:val="0"/>
              <w:bidi w:val="0"/>
              <w:spacing w:line="360" w:lineRule="exact"/>
              <w:jc w:val="center"/>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14:paraId="7A49F1DC">
            <w:pPr>
              <w:pageBreakBefore w:val="0"/>
              <w:kinsoku/>
              <w:wordWrap w:val="0"/>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lang w:val="zh-CN"/>
              </w:rPr>
              <w:t>浙江乐诚工程咨询有限公司</w:t>
            </w:r>
          </w:p>
        </w:tc>
      </w:tr>
      <w:tr w14:paraId="24EC6536">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53DF21F">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25453981">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预算金额</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4ACE32C0">
            <w:pPr>
              <w:pStyle w:val="19"/>
              <w:pageBreakBefore w:val="0"/>
              <w:kinsoku/>
              <w:wordWrap w:val="0"/>
              <w:topLinePunct w:val="0"/>
              <w:bidi w:val="0"/>
              <w:spacing w:line="360" w:lineRule="exact"/>
              <w:jc w:val="left"/>
              <w:rPr>
                <w:rFonts w:hint="eastAsia" w:ascii="宋体" w:hAnsi="宋体" w:eastAsia="宋体" w:cs="宋体"/>
                <w:color w:val="auto"/>
                <w:kern w:val="2"/>
                <w:sz w:val="18"/>
                <w:szCs w:val="22"/>
                <w:highlight w:val="none"/>
                <w:lang w:val="zh-CN" w:eastAsia="zh-CN" w:bidi="ar-SA"/>
              </w:rPr>
            </w:pPr>
            <w:r>
              <w:rPr>
                <w:rFonts w:hint="eastAsia" w:ascii="宋体" w:hAnsi="宋体" w:eastAsia="宋体" w:cs="宋体"/>
                <w:color w:val="auto"/>
                <w:sz w:val="22"/>
                <w:highlight w:val="none"/>
                <w:u w:val="single"/>
              </w:rPr>
              <w:t>▲本项目</w:t>
            </w:r>
            <w:r>
              <w:rPr>
                <w:rFonts w:hint="eastAsia" w:ascii="宋体" w:hAnsi="宋体" w:eastAsia="宋体" w:cs="宋体"/>
                <w:color w:val="auto"/>
                <w:sz w:val="22"/>
                <w:highlight w:val="none"/>
                <w:u w:val="single"/>
                <w:lang w:val="en-US" w:eastAsia="zh-CN"/>
              </w:rPr>
              <w:t>标项1</w:t>
            </w:r>
            <w:r>
              <w:rPr>
                <w:rFonts w:hint="eastAsia" w:ascii="宋体" w:hAnsi="宋体" w:eastAsia="宋体" w:cs="宋体"/>
                <w:color w:val="auto"/>
                <w:sz w:val="22"/>
                <w:highlight w:val="none"/>
                <w:u w:val="single"/>
              </w:rPr>
              <w:t>预算金额：</w:t>
            </w:r>
            <w:r>
              <w:rPr>
                <w:rFonts w:hint="eastAsia" w:ascii="宋体" w:hAnsi="宋体" w:eastAsia="宋体" w:cs="宋体"/>
                <w:color w:val="auto"/>
                <w:sz w:val="22"/>
                <w:highlight w:val="none"/>
                <w:u w:val="single"/>
                <w:lang w:val="en-US" w:eastAsia="zh-CN"/>
              </w:rPr>
              <w:t>222000.00</w:t>
            </w:r>
            <w:r>
              <w:rPr>
                <w:rFonts w:hint="eastAsia" w:ascii="宋体" w:hAnsi="宋体" w:eastAsia="宋体" w:cs="宋体"/>
                <w:color w:val="auto"/>
                <w:sz w:val="22"/>
                <w:highlight w:val="none"/>
                <w:u w:val="single"/>
              </w:rPr>
              <w:t>元；本项目</w:t>
            </w:r>
            <w:r>
              <w:rPr>
                <w:rFonts w:hint="eastAsia" w:ascii="宋体" w:hAnsi="宋体" w:eastAsia="宋体" w:cs="宋体"/>
                <w:color w:val="auto"/>
                <w:sz w:val="22"/>
                <w:highlight w:val="none"/>
                <w:u w:val="single"/>
                <w:lang w:val="en-US" w:eastAsia="zh-CN"/>
              </w:rPr>
              <w:t>标项2</w:t>
            </w:r>
            <w:r>
              <w:rPr>
                <w:rFonts w:hint="eastAsia" w:ascii="宋体" w:hAnsi="宋体" w:eastAsia="宋体" w:cs="宋体"/>
                <w:color w:val="auto"/>
                <w:sz w:val="22"/>
                <w:highlight w:val="none"/>
                <w:u w:val="single"/>
              </w:rPr>
              <w:t>预算金额：</w:t>
            </w:r>
            <w:r>
              <w:rPr>
                <w:rFonts w:hint="eastAsia" w:ascii="宋体" w:hAnsi="宋体" w:eastAsia="宋体" w:cs="宋体"/>
                <w:color w:val="auto"/>
                <w:sz w:val="22"/>
                <w:highlight w:val="none"/>
                <w:u w:val="single"/>
                <w:lang w:val="en-US" w:eastAsia="zh-CN"/>
              </w:rPr>
              <w:t>210000.00</w:t>
            </w:r>
            <w:r>
              <w:rPr>
                <w:rFonts w:hint="eastAsia" w:ascii="宋体" w:hAnsi="宋体" w:eastAsia="宋体" w:cs="宋体"/>
                <w:color w:val="auto"/>
                <w:sz w:val="22"/>
                <w:highlight w:val="none"/>
                <w:u w:val="single"/>
              </w:rPr>
              <w:t>元；投标人报价高于</w:t>
            </w:r>
            <w:r>
              <w:rPr>
                <w:rFonts w:hint="eastAsia" w:ascii="宋体" w:hAnsi="宋体" w:eastAsia="宋体" w:cs="宋体"/>
                <w:color w:val="auto"/>
                <w:sz w:val="22"/>
                <w:highlight w:val="none"/>
                <w:u w:val="single"/>
                <w:lang w:val="en-US" w:eastAsia="zh-CN"/>
              </w:rPr>
              <w:t>预算</w:t>
            </w:r>
            <w:r>
              <w:rPr>
                <w:rFonts w:hint="eastAsia" w:ascii="宋体" w:hAnsi="宋体" w:eastAsia="宋体" w:cs="宋体"/>
                <w:color w:val="auto"/>
                <w:sz w:val="22"/>
                <w:highlight w:val="none"/>
                <w:u w:val="single"/>
              </w:rPr>
              <w:t>金额的投标无效。</w:t>
            </w:r>
          </w:p>
        </w:tc>
      </w:tr>
      <w:tr w14:paraId="591ABBF6">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2F58543">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4</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54D5E748">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rPr>
              <w:t>采购需求</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7C43529A">
            <w:pPr>
              <w:pageBreakBefore w:val="0"/>
              <w:kinsoku/>
              <w:wordWrap w:val="0"/>
              <w:topLinePunct w:val="0"/>
              <w:bidi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rPr>
              <w:t>详见第五部分</w:t>
            </w:r>
          </w:p>
        </w:tc>
      </w:tr>
      <w:tr w14:paraId="1705C335">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0D43090">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5F591FE3">
            <w:pPr>
              <w:pageBreakBefore w:val="0"/>
              <w:kinsoku/>
              <w:wordWrap w:val="0"/>
              <w:topLinePunct w:val="0"/>
              <w:autoSpaceDE w:val="0"/>
              <w:autoSpaceDN w:val="0"/>
              <w:bidi w:val="0"/>
              <w:adjustRightIn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投标报价</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511CFA65">
            <w:pPr>
              <w:pageBreakBefore w:val="0"/>
              <w:kinsoku/>
              <w:wordWrap w:val="0"/>
              <w:topLinePunct w:val="0"/>
              <w:autoSpaceDE w:val="0"/>
              <w:autoSpaceDN w:val="0"/>
              <w:bidi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1.投标报价是指一次性报出不得更改的价格；</w:t>
            </w:r>
          </w:p>
          <w:p w14:paraId="1E92D3B9">
            <w:pPr>
              <w:pageBreakBefore w:val="0"/>
              <w:kinsoku/>
              <w:wordWrap w:val="0"/>
              <w:topLinePunct w:val="0"/>
              <w:bidi w:val="0"/>
              <w:adjustRightInd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2.</w:t>
            </w:r>
            <w:r>
              <w:rPr>
                <w:rFonts w:hint="eastAsia" w:ascii="宋体" w:hAnsi="宋体" w:eastAsia="宋体" w:cs="宋体"/>
                <w:b/>
                <w:color w:val="auto"/>
                <w:sz w:val="22"/>
                <w:highlight w:val="none"/>
              </w:rPr>
              <w:t>采用含税人民币报价。</w:t>
            </w:r>
          </w:p>
        </w:tc>
      </w:tr>
      <w:tr w14:paraId="54324C93">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5BB07D6">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6</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24FE6735">
            <w:pPr>
              <w:pageBreakBefore w:val="0"/>
              <w:kinsoku/>
              <w:wordWrap w:val="0"/>
              <w:topLinePunct w:val="0"/>
              <w:autoSpaceDE w:val="0"/>
              <w:autoSpaceDN w:val="0"/>
              <w:bidi w:val="0"/>
              <w:adjustRightIn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投标费用</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62824DE1">
            <w:pPr>
              <w:pageBreakBefore w:val="0"/>
              <w:kinsoku/>
              <w:wordWrap w:val="0"/>
              <w:topLinePunct w:val="0"/>
              <w:autoSpaceDE w:val="0"/>
              <w:autoSpaceDN w:val="0"/>
              <w:bidi w:val="0"/>
              <w:adjustRightIn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不论投标结果如何，投标人均应自行承担所有与投标有关的全部费用</w:t>
            </w:r>
          </w:p>
        </w:tc>
      </w:tr>
      <w:tr w14:paraId="60E641C5">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756D9AC">
            <w:pPr>
              <w:pageBreakBefore w:val="0"/>
              <w:kinsoku/>
              <w:wordWrap w:val="0"/>
              <w:topLinePunct w:val="0"/>
              <w:bidi w:val="0"/>
              <w:spacing w:line="36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2E1BCCB8">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rPr>
              <w:t>投标人资格要求</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7978221D">
            <w:pPr>
              <w:pageBreakBefore w:val="0"/>
              <w:kinsoku/>
              <w:wordWrap w:val="0"/>
              <w:topLinePunct w:val="0"/>
              <w:autoSpaceDE w:val="0"/>
              <w:autoSpaceDN w:val="0"/>
              <w:bidi w:val="0"/>
              <w:adjustRightIn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highlight w:val="none"/>
              </w:rPr>
              <w:t>详见</w:t>
            </w:r>
            <w:r>
              <w:rPr>
                <w:rFonts w:hint="eastAsia" w:ascii="宋体" w:hAnsi="宋体" w:eastAsia="宋体" w:cs="宋体"/>
                <w:color w:val="auto"/>
                <w:sz w:val="22"/>
                <w:highlight w:val="none"/>
                <w:lang w:eastAsia="zh-CN"/>
              </w:rPr>
              <w:t>公开招标公告</w:t>
            </w:r>
          </w:p>
        </w:tc>
      </w:tr>
      <w:tr w14:paraId="337C0F6B">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CA1723B">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8</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5DA004F3">
            <w:pPr>
              <w:spacing w:line="40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投标保证金</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7D3E8F0D">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1.被财政部门列入不良行为记录名单的供应商，参加本项目采购活动的，缴纳投标保证金。</w:t>
            </w:r>
          </w:p>
          <w:p w14:paraId="62E9D2E5">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1.1投标保证金金额：所投标项预算金额的2%；</w:t>
            </w:r>
          </w:p>
          <w:p w14:paraId="29982583">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1.2投标保证金缴纳方式：以支票、汇票、本票或者金融机构、担保机构出具的保函等非现金形式提交；（备注栏里注明项目名称、项目编号和用途）</w:t>
            </w:r>
          </w:p>
          <w:p w14:paraId="1B4DBC1A">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1.3投标保证金的形式：投标保证金由供应商的银行账户汇出转入以下账号，不得通过供应商的分支机构或第三者账户转入；</w:t>
            </w:r>
          </w:p>
          <w:p w14:paraId="41553480">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1.4保证金账号：</w:t>
            </w:r>
          </w:p>
          <w:p w14:paraId="1D9A78B8">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户名：浙江乐诚工程咨询有限公司</w:t>
            </w:r>
          </w:p>
          <w:p w14:paraId="11292171">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账号：76060122000323292</w:t>
            </w:r>
          </w:p>
          <w:p w14:paraId="5ADC1104">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开户银行：宁波银行温州瓯海支行</w:t>
            </w:r>
          </w:p>
          <w:p w14:paraId="19D6E833">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1.5投标保证金缴纳截止时间：于投标文件递交截止时间前到账。</w:t>
            </w:r>
          </w:p>
          <w:p w14:paraId="64FDB9F9">
            <w:pPr>
              <w:autoSpaceDE w:val="0"/>
              <w:autoSpaceDN w:val="0"/>
              <w:adjustRightInd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highlight w:val="none"/>
              </w:rPr>
              <w:t>2.未被财政部门列入不良行为记录名单的供应商不需缴纳投标保证金。</w:t>
            </w:r>
          </w:p>
        </w:tc>
      </w:tr>
      <w:tr w14:paraId="39B1D44E">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C0370AF">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9</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5AC879B">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rPr>
              <w:t>是否接受联合体投标</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1CDDB2ED">
            <w:pPr>
              <w:pageBreakBefore w:val="0"/>
              <w:kinsoku/>
              <w:wordWrap w:val="0"/>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接受，但必须满足以下条件：</w:t>
            </w:r>
          </w:p>
          <w:p w14:paraId="11E30431">
            <w:pPr>
              <w:pageBreakBefore w:val="0"/>
              <w:kinsoku/>
              <w:wordWrap w:val="0"/>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1.只允许两个的自然人、法人或者其他组织可以组成一个联合体，以一个投标人的身份共同参加</w:t>
            </w:r>
            <w:r>
              <w:rPr>
                <w:rFonts w:hint="eastAsia" w:ascii="宋体" w:hAnsi="宋体" w:eastAsia="宋体" w:cs="宋体"/>
                <w:b/>
                <w:bCs/>
                <w:snapToGrid w:val="0"/>
                <w:color w:val="auto"/>
                <w:sz w:val="22"/>
                <w:highlight w:val="none"/>
                <w:lang w:eastAsia="zh-CN"/>
              </w:rPr>
              <w:t>采购</w:t>
            </w:r>
            <w:r>
              <w:rPr>
                <w:rFonts w:hint="eastAsia" w:ascii="宋体" w:hAnsi="宋体" w:eastAsia="宋体" w:cs="宋体"/>
                <w:b/>
                <w:bCs/>
                <w:snapToGrid w:val="0"/>
                <w:color w:val="auto"/>
                <w:sz w:val="22"/>
                <w:highlight w:val="none"/>
              </w:rPr>
              <w:t>。</w:t>
            </w:r>
          </w:p>
          <w:p w14:paraId="061EEF4F">
            <w:pPr>
              <w:pageBreakBefore w:val="0"/>
              <w:kinsoku/>
              <w:wordWrap w:val="0"/>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2.以联合体形式进行</w:t>
            </w:r>
            <w:r>
              <w:rPr>
                <w:rFonts w:hint="eastAsia" w:ascii="宋体" w:hAnsi="宋体" w:eastAsia="宋体" w:cs="宋体"/>
                <w:b/>
                <w:bCs/>
                <w:snapToGrid w:val="0"/>
                <w:color w:val="auto"/>
                <w:sz w:val="22"/>
                <w:highlight w:val="none"/>
                <w:lang w:eastAsia="zh-CN"/>
              </w:rPr>
              <w:t>采购</w:t>
            </w:r>
            <w:r>
              <w:rPr>
                <w:rFonts w:hint="eastAsia" w:ascii="宋体" w:hAnsi="宋体" w:eastAsia="宋体" w:cs="宋体"/>
                <w:b/>
                <w:bCs/>
                <w:snapToGrid w:val="0"/>
                <w:color w:val="auto"/>
                <w:sz w:val="22"/>
                <w:highlight w:val="none"/>
              </w:rPr>
              <w:t>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1045D620">
            <w:pPr>
              <w:pageBreakBefore w:val="0"/>
              <w:kinsoku/>
              <w:wordWrap w:val="0"/>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 xml:space="preserve">3.投标人以联合体形式参加采购活动的，联合体各方中至少应有一方符合招标文件规定的特定资质条件。如由同一专业的投标人组成的联合体的，评审时应以资质最低的一方为依据。 </w:t>
            </w:r>
          </w:p>
          <w:p w14:paraId="4A9F6AFA">
            <w:pPr>
              <w:pageBreakBefore w:val="0"/>
              <w:kinsoku/>
              <w:wordWrap w:val="0"/>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4.联合体中有同类资质的投标人按照联合体分工承担相同工作的，按照资质等级较低的投标人确定资质等级。</w:t>
            </w:r>
          </w:p>
          <w:p w14:paraId="2B480012">
            <w:pPr>
              <w:pageBreakBefore w:val="0"/>
              <w:kinsoku/>
              <w:wordWrap w:val="0"/>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5.联合体各方指定其中一家企业为牵头人，由牵头人之法定代表人或其委托代理人为联合体授权代表执行联合体有关的决议，以联合体名义处理与本项目相关的事务。</w:t>
            </w:r>
          </w:p>
          <w:p w14:paraId="7A93085C">
            <w:pPr>
              <w:pageBreakBefore w:val="0"/>
              <w:kinsoku/>
              <w:wordWrap w:val="0"/>
              <w:topLinePunct w:val="0"/>
              <w:bidi w:val="0"/>
              <w:adjustRightInd w:val="0"/>
              <w:snapToGrid w:val="0"/>
              <w:spacing w:line="360" w:lineRule="exact"/>
              <w:jc w:val="left"/>
              <w:rPr>
                <w:rFonts w:hint="eastAsia" w:ascii="宋体" w:hAnsi="宋体" w:eastAsia="宋体" w:cs="宋体"/>
                <w:b/>
                <w:bCs/>
                <w:snapToGrid w:val="0"/>
                <w:color w:val="auto"/>
                <w:sz w:val="22"/>
                <w:highlight w:val="none"/>
              </w:rPr>
            </w:pPr>
            <w:r>
              <w:rPr>
                <w:rFonts w:hint="eastAsia" w:ascii="宋体" w:hAnsi="宋体" w:eastAsia="宋体" w:cs="宋体"/>
                <w:b/>
                <w:bCs/>
                <w:snapToGrid w:val="0"/>
                <w:color w:val="auto"/>
                <w:sz w:val="22"/>
                <w:highlight w:val="none"/>
              </w:rPr>
              <w:t>6.以联合体形式参加采购活动的，联合体各方不得再单独参加或者与其他投标人另外组成联合体参加同一合同项下的采购活动。</w:t>
            </w:r>
          </w:p>
          <w:p w14:paraId="513B2F9B">
            <w:pPr>
              <w:pageBreakBefore w:val="0"/>
              <w:kinsoku/>
              <w:wordWrap w:val="0"/>
              <w:topLinePunct w:val="0"/>
              <w:autoSpaceDE w:val="0"/>
              <w:autoSpaceDN w:val="0"/>
              <w:bidi w:val="0"/>
              <w:adjustRightIn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b/>
                <w:bCs/>
                <w:snapToGrid w:val="0"/>
                <w:color w:val="auto"/>
                <w:sz w:val="22"/>
                <w:highlight w:val="none"/>
              </w:rPr>
              <w:t>7.投标文件中需要签章或签字的内容（资格文件等其他另有要求的除外）可只需加盖联合体牵头人有效公章及联合体牵头人授权代表（或其法定代表人）签字或盖章。</w:t>
            </w:r>
          </w:p>
        </w:tc>
      </w:tr>
      <w:tr w14:paraId="52120D18">
        <w:tblPrEx>
          <w:tblCellMar>
            <w:top w:w="0" w:type="dxa"/>
            <w:left w:w="108" w:type="dxa"/>
            <w:bottom w:w="0" w:type="dxa"/>
            <w:right w:w="108" w:type="dxa"/>
          </w:tblCellMar>
        </w:tblPrEx>
        <w:trPr>
          <w:trHeight w:val="31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7F4C183">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10</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07170894">
            <w:pPr>
              <w:pageBreakBefore w:val="0"/>
              <w:kinsoku/>
              <w:topLinePunct w:val="0"/>
              <w:bidi w:val="0"/>
              <w:spacing w:line="360" w:lineRule="exact"/>
              <w:ind w:left="0" w:leftChars="0" w:right="0" w:rightChars="0"/>
              <w:jc w:val="center"/>
              <w:textAlignment w:val="auto"/>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highlight w:val="none"/>
              </w:rPr>
              <w:t>踏勘现场</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69FC256D">
            <w:pPr>
              <w:pageBreakBefore w:val="0"/>
              <w:kinsoku/>
              <w:topLinePunct w:val="0"/>
              <w:autoSpaceDE w:val="0"/>
              <w:autoSpaceDN w:val="0"/>
              <w:bidi w:val="0"/>
              <w:spacing w:line="360" w:lineRule="exact"/>
              <w:ind w:left="0" w:leftChars="0" w:right="0" w:rightChars="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b/>
                <w:bCs/>
                <w:color w:val="auto"/>
                <w:kern w:val="0"/>
                <w:sz w:val="22"/>
                <w:highlight w:val="none"/>
                <w:lang w:val="en-US" w:eastAsia="zh-CN"/>
              </w:rPr>
              <w:t>不</w:t>
            </w:r>
            <w:r>
              <w:rPr>
                <w:rFonts w:hint="eastAsia" w:ascii="宋体" w:hAnsi="宋体" w:eastAsia="宋体" w:cs="宋体"/>
                <w:b/>
                <w:bCs/>
                <w:color w:val="auto"/>
                <w:kern w:val="0"/>
                <w:sz w:val="22"/>
                <w:highlight w:val="none"/>
              </w:rPr>
              <w:t>组织</w:t>
            </w:r>
            <w:r>
              <w:rPr>
                <w:rFonts w:hint="eastAsia" w:ascii="宋体" w:hAnsi="宋体" w:eastAsia="宋体" w:cs="宋体"/>
                <w:color w:val="auto"/>
                <w:highlight w:val="none"/>
                <w:lang w:eastAsia="zh-CN"/>
              </w:rPr>
              <w:t>：</w:t>
            </w:r>
            <w:r>
              <w:rPr>
                <w:rFonts w:hint="eastAsia" w:ascii="宋体" w:hAnsi="宋体" w:eastAsia="宋体" w:cs="宋体"/>
                <w:b/>
                <w:bCs/>
                <w:snapToGrid w:val="0"/>
                <w:color w:val="auto"/>
                <w:sz w:val="22"/>
                <w:highlight w:val="none"/>
                <w:lang w:val="en-US" w:eastAsia="zh-CN"/>
              </w:rPr>
              <w:t>如有需要自行前往</w:t>
            </w:r>
            <w:r>
              <w:rPr>
                <w:rFonts w:hint="eastAsia" w:ascii="宋体" w:hAnsi="宋体" w:eastAsia="宋体" w:cs="宋体"/>
                <w:b/>
                <w:bCs/>
                <w:snapToGrid w:val="0"/>
                <w:color w:val="auto"/>
                <w:sz w:val="22"/>
                <w:highlight w:val="none"/>
                <w:lang w:val="zh-CN"/>
              </w:rPr>
              <w:t>，</w:t>
            </w:r>
            <w:r>
              <w:rPr>
                <w:rFonts w:hint="eastAsia" w:ascii="宋体" w:hAnsi="宋体" w:eastAsia="宋体" w:cs="宋体"/>
                <w:b/>
                <w:bCs/>
                <w:snapToGrid w:val="0"/>
                <w:color w:val="auto"/>
                <w:sz w:val="22"/>
                <w:highlight w:val="none"/>
              </w:rPr>
              <w:t>投标人</w:t>
            </w:r>
            <w:r>
              <w:rPr>
                <w:rFonts w:hint="eastAsia" w:ascii="宋体" w:hAnsi="宋体" w:eastAsia="宋体" w:cs="宋体"/>
                <w:b/>
                <w:bCs/>
                <w:snapToGrid w:val="0"/>
                <w:color w:val="auto"/>
                <w:sz w:val="22"/>
                <w:highlight w:val="none"/>
                <w:lang w:val="zh-CN"/>
              </w:rPr>
              <w:t>因现场踏勘影响投标报价、方案编制的，由</w:t>
            </w:r>
            <w:r>
              <w:rPr>
                <w:rFonts w:hint="eastAsia" w:ascii="宋体" w:hAnsi="宋体" w:eastAsia="宋体" w:cs="宋体"/>
                <w:b/>
                <w:bCs/>
                <w:snapToGrid w:val="0"/>
                <w:color w:val="auto"/>
                <w:sz w:val="22"/>
                <w:highlight w:val="none"/>
              </w:rPr>
              <w:t>投标人</w:t>
            </w:r>
            <w:r>
              <w:rPr>
                <w:rFonts w:hint="eastAsia" w:ascii="宋体" w:hAnsi="宋体" w:eastAsia="宋体" w:cs="宋体"/>
                <w:b/>
                <w:bCs/>
                <w:snapToGrid w:val="0"/>
                <w:color w:val="auto"/>
                <w:sz w:val="22"/>
                <w:highlight w:val="none"/>
                <w:lang w:val="zh-CN"/>
              </w:rPr>
              <w:t>自行承担。因投标人自身不能参加现场勘察或现场踏勘不全面的，投标人不得因此提出修改投标报价或提出索赔等要求。</w:t>
            </w:r>
          </w:p>
        </w:tc>
      </w:tr>
      <w:tr w14:paraId="53AF0D4E">
        <w:tblPrEx>
          <w:tblCellMar>
            <w:top w:w="0" w:type="dxa"/>
            <w:left w:w="108" w:type="dxa"/>
            <w:bottom w:w="0" w:type="dxa"/>
            <w:right w:w="108" w:type="dxa"/>
          </w:tblCellMar>
        </w:tblPrEx>
        <w:trPr>
          <w:trHeight w:val="49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9EDF0EE">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587E2E91">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rPr>
              <w:t>投标预备会</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59FE598A">
            <w:pPr>
              <w:pageBreakBefore w:val="0"/>
              <w:kinsoku/>
              <w:wordWrap w:val="0"/>
              <w:topLinePunct w:val="0"/>
              <w:autoSpaceDE w:val="0"/>
              <w:autoSpaceDN w:val="0"/>
              <w:bidi w:val="0"/>
              <w:adjustRightIn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不召开</w:t>
            </w:r>
          </w:p>
        </w:tc>
      </w:tr>
      <w:tr w14:paraId="7AFFEF29">
        <w:tblPrEx>
          <w:tblCellMar>
            <w:top w:w="0" w:type="dxa"/>
            <w:left w:w="108" w:type="dxa"/>
            <w:bottom w:w="0" w:type="dxa"/>
            <w:right w:w="108" w:type="dxa"/>
          </w:tblCellMar>
        </w:tblPrEx>
        <w:trPr>
          <w:trHeight w:val="512"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082AAAD">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12</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3ADEC5D6">
            <w:pP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分包和转包</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7FC026F2">
            <w:pPr>
              <w:autoSpaceDE w:val="0"/>
              <w:autoSpaceDN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本项目不允许转包</w:t>
            </w:r>
          </w:p>
          <w:p w14:paraId="1DD7892A">
            <w:pPr>
              <w:spacing w:line="360" w:lineRule="exac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2.分包</w:t>
            </w:r>
            <w:r>
              <w:rPr>
                <w:rFonts w:hint="eastAsia" w:ascii="宋体" w:hAnsi="宋体" w:eastAsia="宋体" w:cs="宋体"/>
                <w:color w:val="auto"/>
                <w:sz w:val="22"/>
                <w:highlight w:val="none"/>
              </w:rPr>
              <w:t>：同意将非主体、非关键性的</w:t>
            </w:r>
            <w:r>
              <w:rPr>
                <w:rFonts w:hint="eastAsia" w:ascii="宋体" w:hAnsi="宋体" w:eastAsia="宋体" w:cs="宋体"/>
                <w:color w:val="auto"/>
                <w:sz w:val="22"/>
                <w:highlight w:val="none"/>
                <w:lang w:val="en-US" w:eastAsia="zh-CN"/>
              </w:rPr>
              <w:t>货物运输</w:t>
            </w:r>
            <w:r>
              <w:rPr>
                <w:rFonts w:hint="eastAsia" w:ascii="宋体" w:hAnsi="宋体" w:eastAsia="宋体" w:cs="宋体"/>
                <w:color w:val="auto"/>
                <w:sz w:val="22"/>
                <w:highlight w:val="none"/>
              </w:rPr>
              <w:t>工作分包</w:t>
            </w:r>
            <w:r>
              <w:rPr>
                <w:rFonts w:hint="eastAsia" w:ascii="宋体" w:hAnsi="宋体" w:eastAsia="宋体" w:cs="宋体"/>
                <w:bCs/>
                <w:color w:val="auto"/>
                <w:kern w:val="0"/>
                <w:sz w:val="22"/>
                <w:highlight w:val="none"/>
              </w:rPr>
              <w:t>。</w:t>
            </w:r>
          </w:p>
          <w:p w14:paraId="249D1769">
            <w:pPr>
              <w:autoSpaceDE w:val="0"/>
              <w:autoSpaceDN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6BBD21D">
            <w:pPr>
              <w:autoSpaceDE w:val="0"/>
              <w:autoSpaceDN w:val="0"/>
              <w:adjustRightInd w:val="0"/>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14:paraId="34E995FE">
            <w:pPr>
              <w:autoSpaceDE w:val="0"/>
              <w:autoSpaceDN w:val="0"/>
              <w:adjustRightIn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小微企业不得将合同分包给大中型企业，中型企业不得将合同分包给大型企业。</w:t>
            </w:r>
          </w:p>
        </w:tc>
      </w:tr>
      <w:tr w14:paraId="6A0BD6FD">
        <w:tblPrEx>
          <w:tblCellMar>
            <w:top w:w="0" w:type="dxa"/>
            <w:left w:w="108" w:type="dxa"/>
            <w:bottom w:w="0" w:type="dxa"/>
            <w:right w:w="108" w:type="dxa"/>
          </w:tblCellMar>
        </w:tblPrEx>
        <w:trPr>
          <w:trHeight w:val="43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5A54085">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20E97C54">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偏离</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5FE657FD">
            <w:pPr>
              <w:pageBreakBefore w:val="0"/>
              <w:kinsoku/>
              <w:wordWrap w:val="0"/>
              <w:topLinePunct w:val="0"/>
              <w:autoSpaceDE w:val="0"/>
              <w:autoSpaceDN w:val="0"/>
              <w:bidi w:val="0"/>
              <w:adjustRightIn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14:paraId="0E21FE7B">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CD7EBE9">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14</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73B1198B">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投标有效期</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248BB6E3">
            <w:pPr>
              <w:pageBreakBefore w:val="0"/>
              <w:widowControl/>
              <w:kinsoku/>
              <w:wordWrap w:val="0"/>
              <w:topLinePunct w:val="0"/>
              <w:bidi w:val="0"/>
              <w:spacing w:line="360" w:lineRule="exac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highlight w:val="none"/>
              </w:rPr>
              <w:t>从提交投标文件的截止时间之日起90天。</w:t>
            </w:r>
          </w:p>
        </w:tc>
      </w:tr>
      <w:tr w14:paraId="12CDD6B7">
        <w:tblPrEx>
          <w:tblCellMar>
            <w:top w:w="0" w:type="dxa"/>
            <w:left w:w="108" w:type="dxa"/>
            <w:bottom w:w="0" w:type="dxa"/>
            <w:right w:w="108" w:type="dxa"/>
          </w:tblCellMar>
        </w:tblPrEx>
        <w:trPr>
          <w:trHeight w:val="512"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53BC893">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15</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32452D89">
            <w:pPr>
              <w:pageBreakBefore w:val="0"/>
              <w:kinsoku/>
              <w:wordWrap w:val="0"/>
              <w:topLinePunct w:val="0"/>
              <w:bidi w:val="0"/>
              <w:snapToGrid w:val="0"/>
              <w:spacing w:line="3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kern w:val="0"/>
                <w:sz w:val="22"/>
                <w:highlight w:val="none"/>
              </w:rPr>
              <w:t>投标文件形式、制作及组成</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5360697C">
            <w:pPr>
              <w:pStyle w:val="14"/>
              <w:pageBreakBefore w:val="0"/>
              <w:kinsoku/>
              <w:wordWrap w:val="0"/>
              <w:topLinePunct w:val="0"/>
              <w:bidi w:val="0"/>
              <w:snapToGrid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本项目实行网上电子投标。</w:t>
            </w:r>
          </w:p>
          <w:p w14:paraId="227E1750">
            <w:pPr>
              <w:pStyle w:val="14"/>
              <w:pageBreakBefore w:val="0"/>
              <w:kinsoku/>
              <w:wordWrap w:val="0"/>
              <w:topLinePunct w:val="0"/>
              <w:bidi w:val="0"/>
              <w:snapToGrid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投标人应准备电子投标文件、以介质存储的数据电文形式的备份投标文件二类：</w:t>
            </w:r>
          </w:p>
          <w:p w14:paraId="671E8E8C">
            <w:pPr>
              <w:pStyle w:val="14"/>
              <w:pageBreakBefore w:val="0"/>
              <w:kinsoku/>
              <w:wordWrap w:val="0"/>
              <w:topLinePunct w:val="0"/>
              <w:bidi w:val="0"/>
              <w:snapToGrid w:val="0"/>
              <w:spacing w:line="360" w:lineRule="exact"/>
              <w:ind w:firstLine="221" w:firstLineChars="1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（1）电子投标文件：通过</w:t>
            </w:r>
            <w:r>
              <w:rPr>
                <w:rFonts w:hint="eastAsia" w:ascii="宋体" w:hAnsi="宋体" w:eastAsia="宋体" w:cs="宋体"/>
                <w:b/>
                <w:bCs/>
                <w:color w:val="auto"/>
                <w:sz w:val="22"/>
                <w:highlight w:val="none"/>
                <w:lang w:val="en-US" w:eastAsia="zh-CN"/>
              </w:rPr>
              <w:t>乐</w:t>
            </w:r>
            <w:r>
              <w:rPr>
                <w:rFonts w:hint="eastAsia" w:ascii="宋体" w:hAnsi="宋体" w:eastAsia="宋体" w:cs="宋体"/>
                <w:b/>
                <w:bCs/>
                <w:color w:val="auto"/>
                <w:sz w:val="22"/>
                <w:highlight w:val="none"/>
              </w:rPr>
              <w:t>采云电子交易客户端（</w:t>
            </w:r>
            <w:r>
              <w:rPr>
                <w:rFonts w:hint="eastAsia" w:ascii="宋体" w:hAnsi="宋体" w:eastAsia="宋体" w:cs="宋体"/>
                <w:b/>
                <w:bCs/>
                <w:color w:val="auto"/>
                <w:sz w:val="22"/>
                <w:highlight w:val="none"/>
                <w:lang w:eastAsia="zh-CN"/>
              </w:rPr>
              <w:t>乐采云</w:t>
            </w:r>
            <w:r>
              <w:rPr>
                <w:rFonts w:hint="eastAsia" w:ascii="宋体" w:hAnsi="宋体" w:eastAsia="宋体" w:cs="宋体"/>
                <w:b/>
                <w:bCs/>
                <w:color w:val="auto"/>
                <w:sz w:val="22"/>
                <w:highlight w:val="none"/>
              </w:rPr>
              <w:t>投标客户端）完成投标文件编制后生成并加密的数据电文形式的投标文件（文件扩展名为.jmbs）1份</w:t>
            </w:r>
            <w:r>
              <w:rPr>
                <w:rFonts w:hint="eastAsia" w:ascii="宋体" w:hAnsi="宋体" w:eastAsia="宋体" w:cs="宋体"/>
                <w:b/>
                <w:bCs/>
                <w:color w:val="auto"/>
                <w:sz w:val="22"/>
                <w:highlight w:val="none"/>
                <w:lang w:val="zh-CN"/>
              </w:rPr>
              <w:t>。</w:t>
            </w:r>
          </w:p>
          <w:p w14:paraId="52E4B1D9">
            <w:pPr>
              <w:pStyle w:val="14"/>
              <w:pageBreakBefore w:val="0"/>
              <w:kinsoku/>
              <w:wordWrap w:val="0"/>
              <w:topLinePunct w:val="0"/>
              <w:bidi w:val="0"/>
              <w:snapToGrid w:val="0"/>
              <w:spacing w:line="360" w:lineRule="exact"/>
              <w:ind w:firstLine="221" w:firstLineChars="1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（2）以介质存储的数据电文形式的备份投标文件（如有）：与“电子投标文件”同时生成的数据电文形式的备份投标文件(文件扩展名为.bfbs)</w:t>
            </w:r>
            <w:r>
              <w:rPr>
                <w:rFonts w:hint="eastAsia" w:ascii="宋体" w:hAnsi="宋体" w:eastAsia="宋体" w:cs="宋体"/>
                <w:b/>
                <w:bCs/>
                <w:color w:val="auto"/>
                <w:sz w:val="22"/>
                <w:highlight w:val="none"/>
                <w:lang w:eastAsia="zh-CN"/>
              </w:rPr>
              <w:t>，在</w:t>
            </w:r>
            <w:r>
              <w:rPr>
                <w:rFonts w:hint="eastAsia" w:ascii="宋体" w:hAnsi="宋体" w:eastAsia="宋体" w:cs="宋体"/>
                <w:b/>
                <w:bCs/>
                <w:color w:val="auto"/>
                <w:sz w:val="22"/>
                <w:highlight w:val="none"/>
              </w:rPr>
              <w:t>投标文件提交截止时间前以</w:t>
            </w:r>
            <w:r>
              <w:rPr>
                <w:rFonts w:hint="eastAsia" w:ascii="宋体" w:hAnsi="宋体" w:eastAsia="宋体" w:cs="宋体"/>
                <w:b/>
                <w:bCs/>
                <w:color w:val="auto"/>
                <w:sz w:val="22"/>
                <w:highlight w:val="none"/>
                <w:lang w:val="zh-CN"/>
              </w:rPr>
              <w:t>电子邮件方式传送至浙江乐诚工程咨询有限公司电子邮箱</w:t>
            </w:r>
            <w:r>
              <w:rPr>
                <w:rFonts w:hint="eastAsia" w:ascii="宋体" w:hAnsi="宋体" w:eastAsia="宋体" w:cs="宋体"/>
                <w:b/>
                <w:bCs/>
                <w:color w:val="auto"/>
                <w:sz w:val="22"/>
                <w:highlight w:val="none"/>
                <w:lang w:eastAsia="zh-CN"/>
              </w:rPr>
              <w:t>58000634</w:t>
            </w:r>
            <w:r>
              <w:rPr>
                <w:rFonts w:hint="eastAsia" w:ascii="宋体" w:hAnsi="宋体" w:eastAsia="宋体" w:cs="宋体"/>
                <w:b/>
                <w:bCs/>
                <w:color w:val="auto"/>
                <w:sz w:val="22"/>
                <w:highlight w:val="none"/>
              </w:rPr>
              <w:t>@qq.com，</w:t>
            </w:r>
            <w:r>
              <w:rPr>
                <w:rFonts w:hint="eastAsia" w:ascii="宋体" w:hAnsi="宋体" w:eastAsia="宋体" w:cs="宋体"/>
                <w:b/>
                <w:bCs/>
                <w:color w:val="auto"/>
                <w:sz w:val="22"/>
                <w:highlight w:val="none"/>
                <w:lang w:val="zh-CN"/>
              </w:rPr>
              <w:t>递交</w:t>
            </w:r>
            <w:r>
              <w:rPr>
                <w:rFonts w:hint="eastAsia" w:ascii="宋体" w:hAnsi="宋体" w:eastAsia="宋体" w:cs="宋体"/>
                <w:b/>
                <w:bCs/>
                <w:color w:val="auto"/>
                <w:sz w:val="22"/>
                <w:highlight w:val="none"/>
              </w:rPr>
              <w:t>1</w:t>
            </w:r>
            <w:r>
              <w:rPr>
                <w:rFonts w:hint="eastAsia" w:ascii="宋体" w:hAnsi="宋体" w:eastAsia="宋体" w:cs="宋体"/>
                <w:b/>
                <w:bCs/>
                <w:color w:val="auto"/>
                <w:sz w:val="22"/>
                <w:highlight w:val="none"/>
                <w:lang w:val="zh-CN"/>
              </w:rPr>
              <w:t>份</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传送的备份投标文件需打包压缩并加密</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val="zh-CN"/>
              </w:rPr>
              <w:t>加密密码由投标人自行保管</w:t>
            </w:r>
            <w:r>
              <w:rPr>
                <w:rFonts w:hint="eastAsia" w:ascii="宋体" w:hAnsi="宋体" w:eastAsia="宋体" w:cs="宋体"/>
                <w:b/>
                <w:bCs/>
                <w:color w:val="auto"/>
                <w:sz w:val="22"/>
                <w:highlight w:val="none"/>
              </w:rPr>
              <w:t>，未加密导致投标信息泄露的风险由投标人自行承担。</w:t>
            </w:r>
          </w:p>
          <w:p w14:paraId="55D5A13E">
            <w:pPr>
              <w:pStyle w:val="14"/>
              <w:pageBreakBefore w:val="0"/>
              <w:kinsoku/>
              <w:wordWrap w:val="0"/>
              <w:topLinePunct w:val="0"/>
              <w:bidi w:val="0"/>
              <w:snapToGrid w:val="0"/>
              <w:spacing w:line="360" w:lineRule="exact"/>
              <w:ind w:firstLine="221" w:firstLineChars="1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投标文件由报价文件、资格文件、商务和技术文件三部分组成。</w:t>
            </w:r>
          </w:p>
          <w:p w14:paraId="02865828">
            <w:pPr>
              <w:pStyle w:val="14"/>
              <w:pageBreakBefore w:val="0"/>
              <w:kinsoku/>
              <w:wordWrap w:val="0"/>
              <w:topLinePunct w:val="0"/>
              <w:bidi w:val="0"/>
              <w:snapToGrid w:val="0"/>
              <w:spacing w:line="360" w:lineRule="exact"/>
              <w:ind w:firstLine="221" w:firstLineChars="100"/>
              <w:rPr>
                <w:rFonts w:hint="eastAsia" w:ascii="宋体" w:hAnsi="宋体" w:eastAsia="宋体" w:cs="宋体"/>
                <w:b/>
                <w:bCs/>
                <w:color w:val="auto"/>
                <w:kern w:val="2"/>
                <w:sz w:val="22"/>
                <w:szCs w:val="22"/>
                <w:highlight w:val="none"/>
                <w:lang w:val="zh-CN" w:eastAsia="zh-CN" w:bidi="ar-SA"/>
              </w:rPr>
            </w:pPr>
            <w:r>
              <w:rPr>
                <w:rFonts w:hint="eastAsia" w:ascii="宋体" w:hAnsi="宋体" w:eastAsia="宋体" w:cs="宋体"/>
                <w:b/>
                <w:bCs/>
                <w:color w:val="auto"/>
                <w:sz w:val="22"/>
                <w:highlight w:val="none"/>
              </w:rPr>
              <w:t>注：中标人在领取中标通知书时按采购人要求提供全套纸质投标文件</w:t>
            </w:r>
            <w:r>
              <w:rPr>
                <w:rFonts w:hint="eastAsia" w:ascii="宋体" w:hAnsi="宋体" w:eastAsia="宋体" w:cs="宋体"/>
                <w:b/>
                <w:bCs/>
                <w:color w:val="auto"/>
                <w:sz w:val="22"/>
                <w:highlight w:val="none"/>
                <w:lang w:val="en-US" w:eastAsia="zh-CN"/>
              </w:rPr>
              <w:t>两</w:t>
            </w:r>
            <w:r>
              <w:rPr>
                <w:rFonts w:hint="eastAsia" w:ascii="宋体" w:hAnsi="宋体" w:eastAsia="宋体" w:cs="宋体"/>
                <w:b/>
                <w:bCs/>
                <w:color w:val="auto"/>
                <w:sz w:val="22"/>
                <w:highlight w:val="none"/>
              </w:rPr>
              <w:t>份。</w:t>
            </w:r>
          </w:p>
        </w:tc>
      </w:tr>
      <w:tr w14:paraId="6AEB23CD">
        <w:tblPrEx>
          <w:tblCellMar>
            <w:top w:w="0" w:type="dxa"/>
            <w:left w:w="108" w:type="dxa"/>
            <w:bottom w:w="0" w:type="dxa"/>
            <w:right w:w="108" w:type="dxa"/>
          </w:tblCellMar>
        </w:tblPrEx>
        <w:trPr>
          <w:trHeight w:val="482"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32C2E4A">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16</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5102E18">
            <w:pPr>
              <w:pageBreakBefore w:val="0"/>
              <w:kinsoku/>
              <w:wordWrap w:val="0"/>
              <w:topLinePunct w:val="0"/>
              <w:bidi w:val="0"/>
              <w:jc w:val="left"/>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color w:val="auto"/>
                <w:kern w:val="0"/>
                <w:sz w:val="22"/>
                <w:highlight w:val="none"/>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62036607">
            <w:pPr>
              <w:pageBreakBefore w:val="0"/>
              <w:kinsoku/>
              <w:wordWrap w:val="0"/>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本项目采用</w:t>
            </w:r>
            <w:r>
              <w:rPr>
                <w:rFonts w:hint="eastAsia" w:ascii="宋体" w:hAnsi="宋体" w:eastAsia="宋体" w:cs="宋体"/>
                <w:b/>
                <w:bCs/>
                <w:color w:val="auto"/>
                <w:sz w:val="22"/>
                <w:highlight w:val="none"/>
                <w:lang w:eastAsia="zh-CN"/>
              </w:rPr>
              <w:t>乐采云</w:t>
            </w:r>
            <w:r>
              <w:rPr>
                <w:rFonts w:hint="eastAsia" w:ascii="宋体" w:hAnsi="宋体" w:eastAsia="宋体" w:cs="宋体"/>
                <w:b/>
                <w:bCs/>
                <w:color w:val="auto"/>
                <w:sz w:val="22"/>
                <w:highlight w:val="none"/>
              </w:rPr>
              <w:t>电子招投标开标及评审程序，遇以下特殊情形的，按以下方式处理：</w:t>
            </w:r>
          </w:p>
          <w:p w14:paraId="1C195FA1">
            <w:pPr>
              <w:pageBreakBefore w:val="0"/>
              <w:kinsoku/>
              <w:wordWrap w:val="0"/>
              <w:topLinePunct w:val="0"/>
              <w:bidi w:val="0"/>
              <w:spacing w:line="360" w:lineRule="exact"/>
              <w:rPr>
                <w:rFonts w:hint="eastAsia" w:ascii="宋体" w:hAnsi="宋体" w:eastAsia="宋体" w:cs="宋体"/>
                <w:b/>
                <w:bCs/>
                <w:color w:val="auto"/>
                <w:kern w:val="2"/>
                <w:sz w:val="22"/>
                <w:szCs w:val="22"/>
                <w:highlight w:val="none"/>
                <w:lang w:val="zh-CN" w:eastAsia="zh-CN" w:bidi="ar-SA"/>
              </w:rPr>
            </w:pPr>
            <w:r>
              <w:rPr>
                <w:rFonts w:hint="eastAsia" w:ascii="宋体" w:hAnsi="宋体" w:eastAsia="宋体" w:cs="宋体"/>
                <w:b/>
                <w:bCs/>
                <w:color w:val="auto"/>
                <w:sz w:val="22"/>
                <w:highlight w:val="none"/>
              </w:rPr>
              <w:t>若投标人在规定时间内无法解密或解密失败，采购代理机构将开启所有投标人递交的以介质存储的数据电文形式的备份投标文件，上传至</w:t>
            </w:r>
            <w:r>
              <w:rPr>
                <w:rFonts w:hint="eastAsia" w:ascii="宋体" w:hAnsi="宋体" w:eastAsia="宋体" w:cs="宋体"/>
                <w:b/>
                <w:bCs/>
                <w:color w:val="auto"/>
                <w:sz w:val="22"/>
                <w:highlight w:val="none"/>
                <w:lang w:eastAsia="zh-CN"/>
              </w:rPr>
              <w:t>乐采云</w:t>
            </w:r>
            <w:r>
              <w:rPr>
                <w:rFonts w:hint="eastAsia" w:ascii="宋体" w:hAnsi="宋体" w:eastAsia="宋体" w:cs="宋体"/>
                <w:b/>
                <w:bCs/>
                <w:color w:val="auto"/>
                <w:sz w:val="22"/>
                <w:highlight w:val="none"/>
              </w:rPr>
              <w:t>平台项目采购模块，以完成开标，电子投标文件自动失效。</w:t>
            </w:r>
          </w:p>
        </w:tc>
      </w:tr>
      <w:tr w14:paraId="3CE7A248">
        <w:tblPrEx>
          <w:tblCellMar>
            <w:top w:w="0" w:type="dxa"/>
            <w:left w:w="108" w:type="dxa"/>
            <w:bottom w:w="0" w:type="dxa"/>
            <w:right w:w="108" w:type="dxa"/>
          </w:tblCellMar>
        </w:tblPrEx>
        <w:trPr>
          <w:trHeight w:val="341"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6FAA810">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17</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00D1C7EA">
            <w:pPr>
              <w:spacing w:line="360" w:lineRule="exact"/>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highlight w:val="none"/>
              </w:rPr>
              <w:t>投标委托</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523934DD">
            <w:pPr>
              <w:adjustRightInd w:val="0"/>
              <w:snapToGrid w:val="0"/>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▲1.投标委托（适用于非联合体投标）：</w:t>
            </w:r>
          </w:p>
          <w:p w14:paraId="036CC85C">
            <w:pPr>
              <w:adjustRightInd w:val="0"/>
              <w:snapToGrid w:val="0"/>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1.1投标人代表是法定代表人（单位负责人、自然人本人）的，提供法定代表人、单位负责人或自然人本人的身份证明（格式见招标文件第四部分）。</w:t>
            </w:r>
          </w:p>
          <w:p w14:paraId="54CF5084">
            <w:pPr>
              <w:adjustRightInd w:val="0"/>
              <w:snapToGrid w:val="0"/>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1.2投标人代表不是法定代表人（单位负责人、自然人本人）的，提供授权委托书（格式见招标文件第四部分）和</w:t>
            </w:r>
            <w:r>
              <w:rPr>
                <w:rFonts w:hint="eastAsia" w:ascii="宋体" w:hAnsi="宋体" w:eastAsia="宋体" w:cs="宋体"/>
                <w:color w:val="auto"/>
                <w:sz w:val="22"/>
                <w:highlight w:val="none"/>
                <w:u w:val="single"/>
                <w:lang w:val="en-US" w:eastAsia="zh-CN"/>
              </w:rPr>
              <w:t>其为</w:t>
            </w:r>
            <w:r>
              <w:rPr>
                <w:rFonts w:hint="eastAsia" w:ascii="宋体" w:hAnsi="宋体" w:eastAsia="宋体" w:cs="宋体"/>
                <w:color w:val="auto"/>
                <w:sz w:val="22"/>
                <w:highlight w:val="none"/>
                <w:u w:val="single"/>
              </w:rPr>
              <w:t>授权代表社保缴纳证明（202</w:t>
            </w:r>
            <w:r>
              <w:rPr>
                <w:rFonts w:hint="eastAsia" w:ascii="宋体" w:hAnsi="宋体" w:eastAsia="宋体" w:cs="宋体"/>
                <w:color w:val="auto"/>
                <w:sz w:val="22"/>
                <w:highlight w:val="none"/>
                <w:u w:val="single"/>
                <w:lang w:val="en-US" w:eastAsia="zh-CN"/>
              </w:rPr>
              <w:t>6</w:t>
            </w:r>
            <w:r>
              <w:rPr>
                <w:rFonts w:hint="eastAsia" w:ascii="宋体" w:hAnsi="宋体" w:eastAsia="宋体" w:cs="宋体"/>
                <w:color w:val="auto"/>
                <w:sz w:val="22"/>
                <w:highlight w:val="none"/>
                <w:u w:val="single"/>
              </w:rPr>
              <w:t>年0</w:t>
            </w:r>
            <w:r>
              <w:rPr>
                <w:rFonts w:hint="eastAsia" w:ascii="宋体" w:hAnsi="宋体" w:eastAsia="宋体" w:cs="宋体"/>
                <w:color w:val="auto"/>
                <w:sz w:val="22"/>
                <w:highlight w:val="none"/>
                <w:u w:val="single"/>
                <w:lang w:val="en-US" w:eastAsia="zh-CN"/>
              </w:rPr>
              <w:t>2</w:t>
            </w:r>
            <w:r>
              <w:rPr>
                <w:rFonts w:hint="eastAsia" w:ascii="宋体" w:hAnsi="宋体" w:eastAsia="宋体" w:cs="宋体"/>
                <w:color w:val="auto"/>
                <w:sz w:val="22"/>
                <w:highlight w:val="none"/>
                <w:u w:val="single"/>
              </w:rPr>
              <w:t>月01日（含）至本项目投标文件提交截止时间止任意</w:t>
            </w:r>
            <w:r>
              <w:rPr>
                <w:rFonts w:hint="eastAsia" w:ascii="宋体" w:hAnsi="宋体" w:eastAsia="宋体" w:cs="宋体"/>
                <w:color w:val="auto"/>
                <w:sz w:val="22"/>
                <w:highlight w:val="none"/>
                <w:u w:val="single"/>
                <w:lang w:eastAsia="zh-CN"/>
              </w:rPr>
              <w:t>一个月</w:t>
            </w:r>
            <w:r>
              <w:rPr>
                <w:rFonts w:hint="eastAsia" w:ascii="宋体" w:hAnsi="宋体" w:eastAsia="宋体" w:cs="宋体"/>
                <w:color w:val="auto"/>
                <w:sz w:val="22"/>
                <w:highlight w:val="none"/>
                <w:u w:val="single"/>
              </w:rPr>
              <w:t>）；</w:t>
            </w:r>
          </w:p>
          <w:p w14:paraId="7BD48634">
            <w:pPr>
              <w:adjustRightInd w:val="0"/>
              <w:snapToGrid w:val="0"/>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1.3投标人委派不在本单位缴纳社保的人员作为授权代表的，应当在投标文件中，说明具体原因、授权代表缴纳社保的单位，并附列该授权代表缴纳社保证明（</w:t>
            </w:r>
            <w:r>
              <w:rPr>
                <w:rFonts w:hint="eastAsia" w:ascii="宋体" w:hAnsi="宋体" w:eastAsia="宋体" w:cs="宋体"/>
                <w:color w:val="auto"/>
                <w:sz w:val="22"/>
                <w:highlight w:val="none"/>
                <w:u w:val="single"/>
                <w:lang w:eastAsia="zh-CN"/>
              </w:rPr>
              <w:t>2026年02月01日</w:t>
            </w:r>
            <w:r>
              <w:rPr>
                <w:rFonts w:hint="eastAsia" w:ascii="宋体" w:hAnsi="宋体" w:eastAsia="宋体" w:cs="宋体"/>
                <w:color w:val="auto"/>
                <w:sz w:val="22"/>
                <w:highlight w:val="none"/>
                <w:u w:val="single"/>
              </w:rPr>
              <w:t>（含）至本项目投标文件提交截止时间止任意</w:t>
            </w:r>
            <w:r>
              <w:rPr>
                <w:rFonts w:hint="eastAsia" w:ascii="宋体" w:hAnsi="宋体" w:eastAsia="宋体" w:cs="宋体"/>
                <w:color w:val="auto"/>
                <w:sz w:val="22"/>
                <w:highlight w:val="none"/>
                <w:u w:val="single"/>
                <w:lang w:eastAsia="zh-CN"/>
              </w:rPr>
              <w:t>一个月</w:t>
            </w:r>
            <w:r>
              <w:rPr>
                <w:rFonts w:hint="eastAsia" w:ascii="宋体" w:hAnsi="宋体" w:eastAsia="宋体" w:cs="宋体"/>
                <w:color w:val="auto"/>
                <w:sz w:val="22"/>
                <w:highlight w:val="none"/>
                <w:u w:val="single"/>
              </w:rPr>
              <w:t>）。</w:t>
            </w:r>
          </w:p>
          <w:p w14:paraId="2C493F7B">
            <w:pPr>
              <w:adjustRightInd w:val="0"/>
              <w:snapToGrid w:val="0"/>
              <w:spacing w:line="360" w:lineRule="exact"/>
              <w:rPr>
                <w:rFonts w:hint="eastAsia" w:ascii="宋体" w:hAnsi="宋体" w:eastAsia="宋体" w:cs="宋体"/>
                <w:color w:val="auto"/>
                <w:sz w:val="22"/>
                <w:highlight w:val="none"/>
                <w:u w:val="single"/>
              </w:rPr>
            </w:pPr>
          </w:p>
          <w:p w14:paraId="5388DC87">
            <w:pPr>
              <w:adjustRightInd w:val="0"/>
              <w:snapToGrid w:val="0"/>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▲2.投标委托（适用于联合体投标）：</w:t>
            </w:r>
          </w:p>
          <w:p w14:paraId="724006E8">
            <w:pPr>
              <w:adjustRightInd w:val="0"/>
              <w:snapToGrid w:val="0"/>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2.1投标人代表是联合体成员中法定代表人（单位负责人、自然人本人）的，提供联合投标授权委托书（格式见招标文件第四部分）。</w:t>
            </w:r>
          </w:p>
          <w:p w14:paraId="7F8E4537">
            <w:pPr>
              <w:adjustRightInd w:val="0"/>
              <w:snapToGrid w:val="0"/>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2.2投标人代表不是联合体成员中法定代表人（单位负责人、自然人本人）的，提供联合投标授权委托书（格式见招标文件第四部分）和</w:t>
            </w:r>
            <w:r>
              <w:rPr>
                <w:rFonts w:hint="eastAsia" w:ascii="宋体" w:hAnsi="宋体" w:eastAsia="宋体" w:cs="宋体"/>
                <w:color w:val="auto"/>
                <w:sz w:val="22"/>
                <w:highlight w:val="none"/>
                <w:u w:val="single"/>
                <w:lang w:val="en-US" w:eastAsia="zh-CN"/>
              </w:rPr>
              <w:t>其为</w:t>
            </w:r>
            <w:r>
              <w:rPr>
                <w:rFonts w:hint="eastAsia" w:ascii="宋体" w:hAnsi="宋体" w:eastAsia="宋体" w:cs="宋体"/>
                <w:color w:val="auto"/>
                <w:sz w:val="22"/>
                <w:highlight w:val="none"/>
                <w:u w:val="single"/>
              </w:rPr>
              <w:t>授权代表社保缴纳证明（</w:t>
            </w:r>
            <w:r>
              <w:rPr>
                <w:rFonts w:hint="eastAsia" w:ascii="宋体" w:hAnsi="宋体" w:eastAsia="宋体" w:cs="宋体"/>
                <w:color w:val="auto"/>
                <w:sz w:val="22"/>
                <w:highlight w:val="none"/>
                <w:u w:val="single"/>
                <w:lang w:eastAsia="zh-CN"/>
              </w:rPr>
              <w:t>2026年02月01日</w:t>
            </w:r>
            <w:r>
              <w:rPr>
                <w:rFonts w:hint="eastAsia" w:ascii="宋体" w:hAnsi="宋体" w:eastAsia="宋体" w:cs="宋体"/>
                <w:color w:val="auto"/>
                <w:sz w:val="22"/>
                <w:highlight w:val="none"/>
                <w:u w:val="single"/>
              </w:rPr>
              <w:t>（含）至本项目投标文件提交截止时间止任意</w:t>
            </w:r>
            <w:r>
              <w:rPr>
                <w:rFonts w:hint="eastAsia" w:ascii="宋体" w:hAnsi="宋体" w:eastAsia="宋体" w:cs="宋体"/>
                <w:color w:val="auto"/>
                <w:sz w:val="22"/>
                <w:highlight w:val="none"/>
                <w:u w:val="single"/>
                <w:lang w:eastAsia="zh-CN"/>
              </w:rPr>
              <w:t>一个月</w:t>
            </w:r>
            <w:r>
              <w:rPr>
                <w:rFonts w:hint="eastAsia" w:ascii="宋体" w:hAnsi="宋体" w:eastAsia="宋体" w:cs="宋体"/>
                <w:color w:val="auto"/>
                <w:sz w:val="22"/>
                <w:highlight w:val="none"/>
                <w:u w:val="single"/>
              </w:rPr>
              <w:t>）；</w:t>
            </w:r>
          </w:p>
          <w:p w14:paraId="33202BF1">
            <w:pPr>
              <w:adjustRightInd w:val="0"/>
              <w:snapToGrid w:val="0"/>
              <w:spacing w:line="360" w:lineRule="exact"/>
              <w:rPr>
                <w:rFonts w:hint="eastAsia" w:ascii="宋体" w:hAnsi="宋体" w:eastAsia="宋体" w:cs="宋体"/>
                <w:color w:val="auto"/>
                <w:kern w:val="2"/>
                <w:sz w:val="22"/>
                <w:szCs w:val="22"/>
                <w:highlight w:val="none"/>
                <w:u w:val="single"/>
                <w:lang w:val="zh-CN" w:eastAsia="zh-CN" w:bidi="ar-SA"/>
              </w:rPr>
            </w:pPr>
            <w:r>
              <w:rPr>
                <w:rFonts w:hint="eastAsia" w:ascii="宋体" w:hAnsi="宋体" w:eastAsia="宋体" w:cs="宋体"/>
                <w:color w:val="auto"/>
                <w:sz w:val="22"/>
                <w:highlight w:val="none"/>
                <w:u w:val="single"/>
              </w:rPr>
              <w:t>2.3投标人委派不在本单位缴纳社保的人员作为授权代表的，应当在投标文件中，说明具体原因、授权代表缴纳社保的单位，并附列该授权代表缴纳社保证明（</w:t>
            </w:r>
            <w:r>
              <w:rPr>
                <w:rFonts w:hint="eastAsia" w:ascii="宋体" w:hAnsi="宋体" w:eastAsia="宋体" w:cs="宋体"/>
                <w:color w:val="auto"/>
                <w:sz w:val="22"/>
                <w:highlight w:val="none"/>
                <w:u w:val="single"/>
                <w:lang w:eastAsia="zh-CN"/>
              </w:rPr>
              <w:t>2026年02月01日</w:t>
            </w:r>
            <w:r>
              <w:rPr>
                <w:rFonts w:hint="eastAsia" w:ascii="宋体" w:hAnsi="宋体" w:eastAsia="宋体" w:cs="宋体"/>
                <w:color w:val="auto"/>
                <w:sz w:val="22"/>
                <w:highlight w:val="none"/>
                <w:u w:val="single"/>
              </w:rPr>
              <w:t>（含）至本项目投标文件提交截止时间止任意</w:t>
            </w:r>
            <w:r>
              <w:rPr>
                <w:rFonts w:hint="eastAsia" w:ascii="宋体" w:hAnsi="宋体" w:eastAsia="宋体" w:cs="宋体"/>
                <w:color w:val="auto"/>
                <w:sz w:val="22"/>
                <w:highlight w:val="none"/>
                <w:u w:val="single"/>
                <w:lang w:eastAsia="zh-CN"/>
              </w:rPr>
              <w:t>一个月</w:t>
            </w:r>
            <w:r>
              <w:rPr>
                <w:rFonts w:hint="eastAsia" w:ascii="宋体" w:hAnsi="宋体" w:eastAsia="宋体" w:cs="宋体"/>
                <w:color w:val="auto"/>
                <w:sz w:val="22"/>
                <w:highlight w:val="none"/>
                <w:u w:val="single"/>
              </w:rPr>
              <w:t>）。</w:t>
            </w:r>
          </w:p>
        </w:tc>
      </w:tr>
      <w:tr w14:paraId="7851352D">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CBB8FA3">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18</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A7CCEF6">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评审小组的组建</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28954CB3">
            <w:pPr>
              <w:pageBreakBefore w:val="0"/>
              <w:kinsoku/>
              <w:wordWrap w:val="0"/>
              <w:topLinePunct w:val="0"/>
              <w:autoSpaceDE w:val="0"/>
              <w:autoSpaceDN w:val="0"/>
              <w:bidi w:val="0"/>
              <w:adjustRightInd w:val="0"/>
              <w:spacing w:line="360" w:lineRule="exact"/>
              <w:ind w:firstLine="31" w:firstLineChars="0"/>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0"/>
                <w:sz w:val="22"/>
                <w:highlight w:val="none"/>
                <w:lang w:val="zh-CN"/>
              </w:rPr>
              <w:t>评审小组成员由采购人代表和评审专家组成，成员人数应当为5人以上单数，其中评审专家不得少于成员总数的三分之二</w:t>
            </w:r>
          </w:p>
        </w:tc>
      </w:tr>
      <w:tr w14:paraId="32973715">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AD4E656">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19</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38145B07">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评审地点</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3672E12D">
            <w:pPr>
              <w:pageBreakBefore w:val="0"/>
              <w:kinsoku/>
              <w:wordWrap w:val="0"/>
              <w:topLinePunct w:val="0"/>
              <w:autoSpaceDE w:val="0"/>
              <w:autoSpaceDN w:val="0"/>
              <w:bidi w:val="0"/>
              <w:adjustRightInd w:val="0"/>
              <w:spacing w:line="360" w:lineRule="exact"/>
              <w:ind w:firstLine="31" w:firstLineChars="0"/>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highlight w:val="none"/>
                <w:lang w:val="zh-CN"/>
              </w:rPr>
              <w:t>浙江乐诚工程咨询有限公司评审室（温州市瓯海区三垟街道桥头河大桥温州生命健康小镇B03)</w:t>
            </w:r>
          </w:p>
        </w:tc>
      </w:tr>
      <w:tr w14:paraId="5CFCB602">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39F136A">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20</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686B4428">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项目属性与核心产品</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3FD1360E">
            <w:pPr>
              <w:pageBreakBefore w:val="0"/>
              <w:kinsoku/>
              <w:wordWrap w:val="0"/>
              <w:topLinePunct w:val="0"/>
              <w:autoSpaceDE w:val="0"/>
              <w:autoSpaceDN w:val="0"/>
              <w:bidi w:val="0"/>
              <w:adjustRightInd w:val="0"/>
              <w:spacing w:line="360" w:lineRule="exact"/>
              <w:ind w:firstLine="31"/>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项目属性：货物类</w:t>
            </w:r>
          </w:p>
          <w:p w14:paraId="129D2588">
            <w:pPr>
              <w:pageBreakBefore w:val="0"/>
              <w:kinsoku/>
              <w:wordWrap w:val="0"/>
              <w:topLinePunct w:val="0"/>
              <w:autoSpaceDE w:val="0"/>
              <w:autoSpaceDN w:val="0"/>
              <w:bidi w:val="0"/>
              <w:adjustRightInd w:val="0"/>
              <w:spacing w:line="360" w:lineRule="exact"/>
              <w:ind w:firstLine="31"/>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核心产品</w:t>
            </w:r>
          </w:p>
          <w:p w14:paraId="31078FE2">
            <w:pPr>
              <w:pageBreakBefore w:val="0"/>
              <w:kinsoku/>
              <w:wordWrap w:val="0"/>
              <w:topLinePunct w:val="0"/>
              <w:autoSpaceDE w:val="0"/>
              <w:autoSpaceDN w:val="0"/>
              <w:bidi w:val="0"/>
              <w:adjustRightInd w:val="0"/>
              <w:spacing w:line="360" w:lineRule="exact"/>
              <w:ind w:firstLine="31"/>
              <w:rPr>
                <w:rFonts w:hint="eastAsia" w:ascii="宋体" w:hAnsi="宋体" w:eastAsia="宋体" w:cs="宋体"/>
                <w:color w:val="auto"/>
                <w:kern w:val="0"/>
                <w:sz w:val="22"/>
                <w:highlight w:val="none"/>
                <w:lang w:val="zh-CN" w:eastAsia="zh-CN"/>
              </w:rPr>
            </w:pPr>
            <w:r>
              <w:rPr>
                <w:rFonts w:hint="eastAsia" w:ascii="宋体" w:hAnsi="宋体" w:eastAsia="宋体" w:cs="宋体"/>
                <w:color w:val="auto"/>
                <w:kern w:val="0"/>
                <w:sz w:val="22"/>
                <w:highlight w:val="none"/>
                <w:lang w:val="en-US" w:eastAsia="zh-CN"/>
              </w:rPr>
              <w:t>标项1：</w:t>
            </w:r>
            <w:r>
              <w:rPr>
                <w:rFonts w:hint="eastAsia" w:ascii="宋体" w:hAnsi="宋体" w:eastAsia="宋体" w:cs="宋体"/>
                <w:color w:val="auto"/>
                <w:kern w:val="0"/>
                <w:sz w:val="22"/>
                <w:highlight w:val="none"/>
                <w:u w:val="single"/>
                <w:lang w:val="zh-CN" w:eastAsia="zh-CN"/>
              </w:rPr>
              <w:t>手写信息数字签名终端（无线）</w:t>
            </w:r>
          </w:p>
          <w:p w14:paraId="613403F9">
            <w:pPr>
              <w:pageBreakBefore w:val="0"/>
              <w:kinsoku/>
              <w:wordWrap w:val="0"/>
              <w:topLinePunct w:val="0"/>
              <w:autoSpaceDE w:val="0"/>
              <w:autoSpaceDN w:val="0"/>
              <w:bidi w:val="0"/>
              <w:adjustRightInd w:val="0"/>
              <w:spacing w:line="360" w:lineRule="exact"/>
              <w:ind w:firstLine="31" w:firstLineChars="0"/>
              <w:rPr>
                <w:rFonts w:hint="eastAsia" w:ascii="宋体" w:hAnsi="宋体" w:eastAsia="宋体" w:cs="宋体"/>
                <w:b/>
                <w:bCs/>
                <w:color w:val="auto"/>
                <w:kern w:val="2"/>
                <w:sz w:val="22"/>
                <w:szCs w:val="22"/>
                <w:highlight w:val="none"/>
                <w:u w:val="single"/>
                <w:lang w:val="zh-CN" w:eastAsia="zh-CN" w:bidi="ar-SA"/>
              </w:rPr>
            </w:pPr>
            <w:r>
              <w:rPr>
                <w:rFonts w:hint="eastAsia" w:ascii="宋体" w:hAnsi="宋体" w:eastAsia="宋体" w:cs="宋体"/>
                <w:color w:val="auto"/>
                <w:kern w:val="0"/>
                <w:sz w:val="22"/>
                <w:highlight w:val="none"/>
                <w:lang w:val="en-US" w:eastAsia="zh-CN"/>
              </w:rPr>
              <w:t>标项2：</w:t>
            </w:r>
            <w:r>
              <w:rPr>
                <w:rFonts w:hint="eastAsia" w:ascii="宋体" w:hAnsi="宋体" w:eastAsia="宋体" w:cs="宋体"/>
                <w:color w:val="auto"/>
                <w:kern w:val="0"/>
                <w:sz w:val="22"/>
                <w:highlight w:val="none"/>
                <w:u w:val="single"/>
                <w:lang w:val="zh-CN" w:eastAsia="zh-CN"/>
              </w:rPr>
              <w:t>PDA</w:t>
            </w:r>
          </w:p>
        </w:tc>
      </w:tr>
      <w:tr w14:paraId="0CFCFA5C">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2F6B7AE">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928075A">
            <w:pPr>
              <w:pageBreakBefore w:val="0"/>
              <w:kinsoku/>
              <w:wordWrap w:val="0"/>
              <w:topLinePunct w:val="0"/>
              <w:bidi w:val="0"/>
              <w:spacing w:line="360" w:lineRule="exact"/>
              <w:jc w:val="center"/>
              <w:rPr>
                <w:rFonts w:hint="eastAsia" w:ascii="宋体" w:hAnsi="宋体" w:eastAsia="宋体" w:cs="宋体"/>
                <w:b/>
                <w:bCs/>
                <w:snapToGrid w:val="0"/>
                <w:color w:val="auto"/>
                <w:kern w:val="2"/>
                <w:sz w:val="22"/>
                <w:szCs w:val="22"/>
                <w:highlight w:val="none"/>
                <w:lang w:val="en-US" w:eastAsia="zh-CN" w:bidi="ar-SA"/>
              </w:rPr>
            </w:pPr>
            <w:r>
              <w:rPr>
                <w:rFonts w:hint="eastAsia" w:ascii="宋体" w:hAnsi="宋体" w:eastAsia="宋体" w:cs="宋体"/>
                <w:snapToGrid w:val="0"/>
                <w:color w:val="auto"/>
                <w:sz w:val="22"/>
                <w:highlight w:val="none"/>
              </w:rPr>
              <w:t>中小企业预留份额情况</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77AFA8E3">
            <w:pPr>
              <w:pageBreakBefore w:val="0"/>
              <w:kinsoku/>
              <w:wordWrap w:val="0"/>
              <w:topLinePunct w:val="0"/>
              <w:autoSpaceDE w:val="0"/>
              <w:autoSpaceDN w:val="0"/>
              <w:bidi w:val="0"/>
              <w:adjustRightInd w:val="0"/>
              <w:snapToGrid w:val="0"/>
              <w:spacing w:line="360" w:lineRule="exact"/>
              <w:textAlignment w:val="bottom"/>
              <w:rPr>
                <w:rFonts w:hint="eastAsia" w:ascii="宋体" w:hAnsi="宋体" w:eastAsia="宋体" w:cs="宋体"/>
                <w:b/>
                <w:bCs/>
                <w:snapToGrid w:val="0"/>
                <w:color w:val="auto"/>
                <w:kern w:val="2"/>
                <w:sz w:val="22"/>
                <w:szCs w:val="22"/>
                <w:highlight w:val="none"/>
                <w:lang w:val="zh-CN" w:eastAsia="zh-CN" w:bidi="ar-SA"/>
              </w:rPr>
            </w:pPr>
            <w:r>
              <w:rPr>
                <w:rFonts w:hint="eastAsia" w:ascii="宋体" w:hAnsi="宋体" w:eastAsia="宋体" w:cs="宋体"/>
                <w:b/>
                <w:color w:val="auto"/>
                <w:sz w:val="22"/>
                <w:highlight w:val="none"/>
              </w:rPr>
              <w:t>本项目属于预留份额专门面向中小企业采购的项目</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不执行价格评审优惠的扶持政策</w:t>
            </w:r>
            <w:r>
              <w:rPr>
                <w:rFonts w:hint="eastAsia" w:ascii="宋体" w:hAnsi="宋体" w:eastAsia="宋体" w:cs="宋体"/>
                <w:b/>
                <w:color w:val="auto"/>
                <w:sz w:val="22"/>
                <w:highlight w:val="none"/>
              </w:rPr>
              <w:t>。</w:t>
            </w:r>
          </w:p>
        </w:tc>
      </w:tr>
      <w:tr w14:paraId="20092F8A">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FB19FEC">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22</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0D1B0AC0">
            <w:pPr>
              <w:pageBreakBefore w:val="0"/>
              <w:kinsoku/>
              <w:wordWrap w:val="0"/>
              <w:topLinePunct w:val="0"/>
              <w:bidi w:val="0"/>
              <w:adjustRightInd w:val="0"/>
              <w:snapToGrid w:val="0"/>
              <w:spacing w:line="36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lang w:eastAsia="zh-CN"/>
              </w:rPr>
              <w:t>标的名称及其对应的中小企业划分标准所属行业</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01C27AC4">
            <w:pPr>
              <w:pageBreakBefore w:val="0"/>
              <w:numPr>
                <w:ilvl w:val="0"/>
                <w:numId w:val="0"/>
              </w:numPr>
              <w:kinsoku/>
              <w:wordWrap w:val="0"/>
              <w:topLinePunct w:val="0"/>
              <w:bidi w:val="0"/>
              <w:adjustRightInd w:val="0"/>
              <w:snapToGrid w:val="0"/>
              <w:spacing w:line="360" w:lineRule="exact"/>
              <w:jc w:val="left"/>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标项1</w:t>
            </w:r>
          </w:p>
          <w:p w14:paraId="4E0B7DD9">
            <w:pPr>
              <w:pageBreakBefore w:val="0"/>
              <w:numPr>
                <w:ilvl w:val="0"/>
                <w:numId w:val="0"/>
              </w:numPr>
              <w:kinsoku/>
              <w:wordWrap w:val="0"/>
              <w:topLinePunct w:val="0"/>
              <w:bidi w:val="0"/>
              <w:adjustRightInd w:val="0"/>
              <w:snapToGri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标的名称：</w:t>
            </w:r>
            <w:r>
              <w:rPr>
                <w:rFonts w:hint="eastAsia" w:ascii="宋体" w:hAnsi="宋体" w:eastAsia="宋体" w:cs="宋体"/>
                <w:b/>
                <w:bCs/>
                <w:color w:val="auto"/>
                <w:sz w:val="22"/>
                <w:highlight w:val="none"/>
                <w:u w:val="single"/>
                <w:lang w:eastAsia="zh-CN"/>
              </w:rPr>
              <w:t>手写信息数字签名终端（无线）</w:t>
            </w:r>
          </w:p>
          <w:p w14:paraId="0F88291B">
            <w:pPr>
              <w:pageBreakBefore w:val="0"/>
              <w:kinsoku/>
              <w:wordWrap w:val="0"/>
              <w:topLinePunct w:val="0"/>
              <w:bidi w:val="0"/>
              <w:adjustRightInd w:val="0"/>
              <w:snapToGri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2.中小企业划分标准所属行业（具体根据《中小企业划型标准规定》执行）</w:t>
            </w:r>
          </w:p>
          <w:p w14:paraId="0815A2EE">
            <w:pPr>
              <w:pageBreakBefore w:val="0"/>
              <w:kinsoku/>
              <w:wordWrap w:val="0"/>
              <w:topLinePunct w:val="0"/>
              <w:autoSpaceDE w:val="0"/>
              <w:autoSpaceDN w:val="0"/>
              <w:bidi w:val="0"/>
              <w:adjustRightInd w:val="0"/>
              <w:spacing w:line="360" w:lineRule="exact"/>
              <w:rPr>
                <w:rFonts w:hint="eastAsia" w:ascii="宋体" w:hAnsi="宋体" w:eastAsia="宋体" w:cs="宋体"/>
                <w:snapToGrid w:val="0"/>
                <w:color w:val="auto"/>
                <w:sz w:val="22"/>
                <w:highlight w:val="none"/>
              </w:rPr>
            </w:pPr>
            <w:r>
              <w:rPr>
                <w:rFonts w:hint="eastAsia" w:ascii="宋体" w:hAnsi="宋体" w:eastAsia="宋体" w:cs="宋体"/>
                <w:b/>
                <w:bCs/>
                <w:color w:val="auto"/>
                <w:sz w:val="22"/>
                <w:highlight w:val="none"/>
              </w:rPr>
              <w:t>所属行业：工业</w:t>
            </w:r>
          </w:p>
          <w:p w14:paraId="77084A1B">
            <w:pPr>
              <w:pageBreakBefore w:val="0"/>
              <w:widowControl/>
              <w:kinsoku/>
              <w:wordWrap w:val="0"/>
              <w:topLinePunct w:val="0"/>
              <w:bidi w:val="0"/>
              <w:spacing w:line="36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t>3.划分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C39EE1">
            <w:pPr>
              <w:pageBreakBefore w:val="0"/>
              <w:widowControl/>
              <w:kinsoku/>
              <w:wordWrap w:val="0"/>
              <w:topLinePunct w:val="0"/>
              <w:bidi w:val="0"/>
              <w:spacing w:line="36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t>中小企业的划分标准依据《关于印发中小企业划型标准规定的通知》（工信部联企业〔2011〕300号）文件执行。</w:t>
            </w:r>
          </w:p>
          <w:p w14:paraId="0CA043C3">
            <w:pPr>
              <w:pageBreakBefore w:val="0"/>
              <w:widowControl/>
              <w:kinsoku/>
              <w:wordWrap w:val="0"/>
              <w:topLinePunct w:val="0"/>
              <w:bidi w:val="0"/>
              <w:spacing w:line="360" w:lineRule="exact"/>
              <w:jc w:val="left"/>
              <w:rPr>
                <w:rFonts w:hint="eastAsia" w:ascii="宋体" w:hAnsi="宋体" w:eastAsia="宋体" w:cs="宋体"/>
                <w:snapToGrid w:val="0"/>
                <w:color w:val="auto"/>
                <w:sz w:val="22"/>
                <w:highlight w:val="none"/>
              </w:rPr>
            </w:pPr>
          </w:p>
          <w:p w14:paraId="4A31A62D">
            <w:pPr>
              <w:pageBreakBefore w:val="0"/>
              <w:numPr>
                <w:ilvl w:val="0"/>
                <w:numId w:val="0"/>
              </w:numPr>
              <w:kinsoku/>
              <w:wordWrap w:val="0"/>
              <w:topLinePunct w:val="0"/>
              <w:bidi w:val="0"/>
              <w:adjustRightInd w:val="0"/>
              <w:snapToGrid w:val="0"/>
              <w:spacing w:line="360" w:lineRule="exact"/>
              <w:jc w:val="left"/>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标项2</w:t>
            </w:r>
          </w:p>
          <w:p w14:paraId="237BAB3C">
            <w:pPr>
              <w:pageBreakBefore w:val="0"/>
              <w:numPr>
                <w:ilvl w:val="0"/>
                <w:numId w:val="0"/>
              </w:numPr>
              <w:kinsoku/>
              <w:wordWrap w:val="0"/>
              <w:topLinePunct w:val="0"/>
              <w:bidi w:val="0"/>
              <w:adjustRightInd w:val="0"/>
              <w:snapToGri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rPr>
              <w:t>标的名称：</w:t>
            </w:r>
            <w:r>
              <w:rPr>
                <w:rFonts w:hint="eastAsia" w:ascii="宋体" w:hAnsi="宋体" w:eastAsia="宋体" w:cs="宋体"/>
                <w:b/>
                <w:bCs/>
                <w:color w:val="auto"/>
                <w:sz w:val="22"/>
                <w:highlight w:val="none"/>
                <w:u w:val="single"/>
                <w:lang w:eastAsia="zh-CN"/>
              </w:rPr>
              <w:t>PDA</w:t>
            </w:r>
          </w:p>
          <w:p w14:paraId="4D3037DF">
            <w:pPr>
              <w:pageBreakBefore w:val="0"/>
              <w:kinsoku/>
              <w:wordWrap w:val="0"/>
              <w:topLinePunct w:val="0"/>
              <w:bidi w:val="0"/>
              <w:adjustRightInd w:val="0"/>
              <w:snapToGri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2.中小企业划分标准所属行业（具体根据《中小企业划型标准规定》执行）</w:t>
            </w:r>
          </w:p>
          <w:p w14:paraId="1110319C">
            <w:pPr>
              <w:pageBreakBefore w:val="0"/>
              <w:kinsoku/>
              <w:wordWrap w:val="0"/>
              <w:topLinePunct w:val="0"/>
              <w:autoSpaceDE w:val="0"/>
              <w:autoSpaceDN w:val="0"/>
              <w:bidi w:val="0"/>
              <w:adjustRightInd w:val="0"/>
              <w:spacing w:line="360" w:lineRule="exact"/>
              <w:rPr>
                <w:rFonts w:hint="eastAsia" w:ascii="宋体" w:hAnsi="宋体" w:eastAsia="宋体" w:cs="宋体"/>
                <w:snapToGrid w:val="0"/>
                <w:color w:val="auto"/>
                <w:sz w:val="22"/>
                <w:highlight w:val="none"/>
              </w:rPr>
            </w:pPr>
            <w:r>
              <w:rPr>
                <w:rFonts w:hint="eastAsia" w:ascii="宋体" w:hAnsi="宋体" w:eastAsia="宋体" w:cs="宋体"/>
                <w:b/>
                <w:bCs/>
                <w:color w:val="auto"/>
                <w:sz w:val="22"/>
                <w:highlight w:val="none"/>
              </w:rPr>
              <w:t>所属行业：工业</w:t>
            </w:r>
          </w:p>
          <w:p w14:paraId="678C8DFF">
            <w:pPr>
              <w:pageBreakBefore w:val="0"/>
              <w:widowControl/>
              <w:kinsoku/>
              <w:wordWrap w:val="0"/>
              <w:topLinePunct w:val="0"/>
              <w:bidi w:val="0"/>
              <w:spacing w:line="36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t>3.划分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515045">
            <w:pPr>
              <w:pageBreakBefore w:val="0"/>
              <w:widowControl/>
              <w:kinsoku/>
              <w:wordWrap w:val="0"/>
              <w:topLinePunct w:val="0"/>
              <w:bidi w:val="0"/>
              <w:spacing w:line="360" w:lineRule="exact"/>
              <w:jc w:val="left"/>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snapToGrid w:val="0"/>
                <w:color w:val="auto"/>
                <w:sz w:val="22"/>
                <w:highlight w:val="none"/>
              </w:rPr>
              <w:t>中小企业的划分标准依据《关于印发中小企业划型标准规定的通知》（工信部联企业〔2011〕300号）文件执行。</w:t>
            </w:r>
          </w:p>
        </w:tc>
      </w:tr>
      <w:tr w14:paraId="7F9CA852">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227D356">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23</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1DC27A90">
            <w:pPr>
              <w:pageBreakBefore w:val="0"/>
              <w:kinsoku/>
              <w:wordWrap w:val="0"/>
              <w:topLinePunct w:val="0"/>
              <w:bidi w:val="0"/>
              <w:adjustRightInd w:val="0"/>
              <w:snapToGrid w:val="0"/>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lang w:val="zh-CN"/>
              </w:rPr>
              <w:t>是否允许采购进口产品</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18366DFD">
            <w:pPr>
              <w:pageBreakBefore w:val="0"/>
              <w:widowControl/>
              <w:kinsoku/>
              <w:wordWrap w:val="0"/>
              <w:topLinePunct w:val="0"/>
              <w:bidi w:val="0"/>
              <w:spacing w:line="360" w:lineRule="exact"/>
              <w:jc w:val="left"/>
              <w:rPr>
                <w:rFonts w:hint="eastAsia" w:ascii="宋体" w:hAnsi="宋体" w:eastAsia="宋体" w:cs="宋体"/>
                <w:color w:val="auto"/>
                <w:kern w:val="2"/>
                <w:sz w:val="22"/>
                <w:szCs w:val="22"/>
                <w:highlight w:val="none"/>
                <w:lang w:val="en-US" w:eastAsia="zh-CN" w:bidi="ar-SA"/>
              </w:rPr>
            </w:pPr>
            <w:sdt>
              <w:sdtPr>
                <w:rPr>
                  <w:rFonts w:hint="eastAsia" w:ascii="宋体" w:hAnsi="宋体" w:eastAsia="宋体" w:cs="宋体"/>
                  <w:snapToGrid w:val="0"/>
                  <w:color w:val="auto"/>
                  <w:sz w:val="22"/>
                  <w:highlight w:val="none"/>
                </w:rPr>
                <w:id w:val="147471699"/>
                <w:showingPlcHdr/>
              </w:sdtPr>
              <w:sdtEndPr>
                <w:rPr>
                  <w:rFonts w:hint="eastAsia" w:ascii="宋体" w:hAnsi="宋体" w:eastAsia="宋体" w:cs="宋体"/>
                  <w:snapToGrid w:val="0"/>
                  <w:color w:val="auto"/>
                  <w:sz w:val="22"/>
                  <w:highlight w:val="none"/>
                </w:rPr>
              </w:sdtEndPr>
              <w:sdtContent>
                <w:r>
                  <w:rPr>
                    <w:rFonts w:hint="eastAsia" w:ascii="宋体" w:hAnsi="宋体" w:eastAsia="宋体" w:cs="宋体"/>
                    <w:snapToGrid w:val="0"/>
                    <w:color w:val="auto"/>
                    <w:sz w:val="22"/>
                    <w:highlight w:val="none"/>
                    <w:lang w:eastAsia="zh-CN"/>
                  </w:rPr>
                  <w:t xml:space="preserve">     </w:t>
                </w:r>
              </w:sdtContent>
            </w:sdt>
            <w:r>
              <w:rPr>
                <w:rFonts w:hint="eastAsia" w:ascii="宋体" w:hAnsi="宋体" w:eastAsia="宋体" w:cs="宋体"/>
                <w:snapToGrid w:val="0"/>
                <w:color w:val="auto"/>
                <w:sz w:val="22"/>
                <w:highlight w:val="none"/>
              </w:rPr>
              <w:t>本项目不允许采购进口产品。</w:t>
            </w:r>
          </w:p>
        </w:tc>
      </w:tr>
      <w:tr w14:paraId="6854022E">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31CF3F0">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24</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30B8F23E">
            <w:pPr>
              <w:pStyle w:val="9"/>
              <w:spacing w:after="0"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rPr>
              <w:t>节能产品、环境标志产品</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568B39C7">
            <w:pPr>
              <w:adjustRightInd w:val="0"/>
              <w:snapToGrid w:val="0"/>
              <w:spacing w:line="40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sym w:font="Wingdings 2" w:char="0052"/>
            </w:r>
            <w:r>
              <w:rPr>
                <w:rFonts w:hint="eastAsia" w:ascii="宋体" w:hAnsi="宋体" w:eastAsia="宋体" w:cs="宋体"/>
                <w:snapToGrid w:val="0"/>
                <w:color w:val="auto"/>
                <w:sz w:val="22"/>
                <w:highlight w:val="none"/>
              </w:rPr>
              <w:t xml:space="preserve">适用  </w:t>
            </w:r>
            <w:r>
              <w:rPr>
                <w:rFonts w:hint="eastAsia" w:ascii="宋体" w:hAnsi="宋体" w:eastAsia="宋体" w:cs="宋体"/>
                <w:snapToGrid w:val="0"/>
                <w:color w:val="auto"/>
                <w:sz w:val="22"/>
                <w:highlight w:val="none"/>
              </w:rPr>
              <w:sym w:font="Wingdings 2" w:char="00A3"/>
            </w:r>
            <w:r>
              <w:rPr>
                <w:rFonts w:hint="eastAsia" w:ascii="宋体" w:hAnsi="宋体" w:eastAsia="宋体" w:cs="宋体"/>
                <w:snapToGrid w:val="0"/>
                <w:color w:val="auto"/>
                <w:sz w:val="22"/>
                <w:highlight w:val="none"/>
              </w:rPr>
              <w:t xml:space="preserve">不适用  </w:t>
            </w:r>
          </w:p>
          <w:p w14:paraId="67E1A539">
            <w:pPr>
              <w:adjustRightInd w:val="0"/>
              <w:snapToGrid w:val="0"/>
              <w:spacing w:line="40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t>（1）严格执行《财政部 发展改革委 生态环境部 市场监管总局关于调整优化节能产品、环境标志产品政府采购执行机制的通知》（财库〔2019〕9号）、《节能产品政府采购品目清单》，详见《关于印发节能产品政府采购品目清单的通知(财库[2019]19号)》、《</w:t>
            </w:r>
            <w:r>
              <w:rPr>
                <w:rFonts w:hint="eastAsia" w:ascii="宋体" w:hAnsi="宋体" w:eastAsia="宋体" w:cs="宋体"/>
                <w:snapToGrid w:val="0"/>
                <w:color w:val="auto"/>
                <w:sz w:val="22"/>
                <w:highlight w:val="none"/>
              </w:rPr>
              <w:fldChar w:fldCharType="begin"/>
            </w:r>
            <w:r>
              <w:rPr>
                <w:rFonts w:hint="eastAsia" w:ascii="宋体" w:hAnsi="宋体" w:eastAsia="宋体" w:cs="宋体"/>
                <w:snapToGrid w:val="0"/>
                <w:color w:val="auto"/>
                <w:sz w:val="22"/>
                <w:highlight w:val="none"/>
              </w:rPr>
              <w:instrText xml:space="preserve">HYPERLINK "http://gks.mof.gov.cn/zhengfucaigouguanli/201903/P020190329702478575295.pdf"</w:instrText>
            </w:r>
            <w:r>
              <w:rPr>
                <w:rFonts w:hint="eastAsia" w:ascii="宋体" w:hAnsi="宋体" w:eastAsia="宋体" w:cs="宋体"/>
                <w:snapToGrid w:val="0"/>
                <w:color w:val="auto"/>
                <w:sz w:val="22"/>
                <w:highlight w:val="none"/>
              </w:rPr>
              <w:fldChar w:fldCharType="separate"/>
            </w:r>
            <w:r>
              <w:rPr>
                <w:rFonts w:hint="eastAsia" w:ascii="宋体" w:hAnsi="宋体" w:eastAsia="宋体" w:cs="宋体"/>
                <w:snapToGrid w:val="0"/>
                <w:color w:val="auto"/>
                <w:sz w:val="22"/>
                <w:highlight w:val="none"/>
              </w:rPr>
              <w:t>环境标志产品政府采购品目清单</w:t>
            </w:r>
            <w:r>
              <w:rPr>
                <w:rFonts w:hint="eastAsia" w:ascii="宋体" w:hAnsi="宋体" w:eastAsia="宋体" w:cs="宋体"/>
                <w:snapToGrid w:val="0"/>
                <w:color w:val="auto"/>
                <w:sz w:val="22"/>
                <w:highlight w:val="none"/>
              </w:rPr>
              <w:fldChar w:fldCharType="end"/>
            </w:r>
            <w:r>
              <w:rPr>
                <w:rFonts w:hint="eastAsia" w:ascii="宋体" w:hAnsi="宋体" w:eastAsia="宋体" w:cs="宋体"/>
                <w:snapToGrid w:val="0"/>
                <w:color w:val="auto"/>
                <w:sz w:val="22"/>
                <w:highlight w:val="none"/>
              </w:rPr>
              <w:t>》，详见《关于印发环境标志产品政府采购品目清单的通知财库〔2019〕18号》、《参与实施政府采购节能产品认证机构名录》《参与实施政府采购环境标志产品认证机构名录》，详见《市场监管总局关于发布参与实施政府采购节能产品、环境标志产品认证机构名录的公告（2019年第16号）》。</w:t>
            </w:r>
          </w:p>
          <w:p w14:paraId="38DDB83C">
            <w:pPr>
              <w:adjustRightInd w:val="0"/>
              <w:snapToGrid w:val="0"/>
              <w:spacing w:line="40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t>(如遇调整，按最新文件执行)</w:t>
            </w:r>
          </w:p>
          <w:p w14:paraId="2BEBCACA">
            <w:pPr>
              <w:adjustRightInd w:val="0"/>
              <w:snapToGrid w:val="0"/>
              <w:spacing w:line="40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1287247A">
            <w:pPr>
              <w:adjustRightInd w:val="0"/>
              <w:snapToGrid w:val="0"/>
              <w:spacing w:line="400" w:lineRule="exact"/>
              <w:jc w:val="left"/>
              <w:rPr>
                <w:rFonts w:hint="eastAsia" w:ascii="宋体" w:hAnsi="宋体" w:eastAsia="宋体" w:cs="宋体"/>
                <w:snapToGrid w:val="0"/>
                <w:color w:val="auto"/>
                <w:sz w:val="22"/>
                <w:highlight w:val="none"/>
              </w:rPr>
            </w:pPr>
            <w:r>
              <w:rPr>
                <w:rFonts w:hint="eastAsia" w:ascii="宋体" w:hAnsi="宋体" w:eastAsia="宋体" w:cs="宋体"/>
                <w:snapToGrid w:val="0"/>
                <w:color w:val="auto"/>
                <w:sz w:val="22"/>
                <w:highlight w:val="none"/>
              </w:rPr>
              <w:t>（3）</w:t>
            </w:r>
            <w:r>
              <w:rPr>
                <w:rFonts w:hint="eastAsia" w:ascii="宋体" w:hAnsi="宋体" w:eastAsia="宋体" w:cs="宋体"/>
                <w:snapToGrid w:val="0"/>
                <w:color w:val="auto"/>
                <w:sz w:val="22"/>
                <w:highlight w:val="none"/>
                <w:u w:val="single"/>
              </w:rPr>
              <w:t>▲</w:t>
            </w:r>
            <w:r>
              <w:rPr>
                <w:rFonts w:hint="eastAsia" w:ascii="宋体" w:hAnsi="宋体" w:eastAsia="宋体" w:cs="宋体"/>
                <w:color w:val="auto"/>
                <w:sz w:val="22"/>
                <w:highlight w:val="none"/>
                <w:u w:val="single"/>
              </w:rPr>
              <w:t>采购人拟采购的产品属于政府强制采购的节能产品品目清单范围的，投标人相应的投标产品未获得国家确定的认证机构出具的、处于有效期之内的节能产品认证证书的，投标无效。</w:t>
            </w:r>
          </w:p>
          <w:p w14:paraId="01B50627">
            <w:pPr>
              <w:adjustRightInd w:val="0"/>
              <w:snapToGrid w:val="0"/>
              <w:spacing w:line="400" w:lineRule="exact"/>
              <w:jc w:val="left"/>
              <w:rPr>
                <w:rFonts w:hint="eastAsia" w:ascii="宋体" w:hAnsi="宋体" w:eastAsia="宋体" w:cs="宋体"/>
                <w:snapToGrid w:val="0"/>
                <w:color w:val="auto"/>
                <w:kern w:val="2"/>
                <w:sz w:val="22"/>
                <w:szCs w:val="22"/>
                <w:highlight w:val="none"/>
                <w:lang w:val="en-US" w:eastAsia="zh-CN" w:bidi="ar-SA"/>
              </w:rPr>
            </w:pPr>
            <w:r>
              <w:rPr>
                <w:rFonts w:hint="eastAsia" w:ascii="宋体" w:hAnsi="宋体" w:eastAsia="宋体" w:cs="宋体"/>
                <w:snapToGrid w:val="0"/>
                <w:color w:val="auto"/>
                <w:sz w:val="22"/>
                <w:highlight w:val="none"/>
              </w:rPr>
              <w:t>（4）属于政府优先采购产品类别的，须按照要求提供依据国家确定的认证机构出具的、处于有效期之内的节能产品或环境标志产品认证证书，否则不予认定。</w:t>
            </w:r>
          </w:p>
        </w:tc>
      </w:tr>
      <w:tr w14:paraId="4707ADCA">
        <w:tblPrEx>
          <w:tblCellMar>
            <w:top w:w="0" w:type="dxa"/>
            <w:left w:w="108" w:type="dxa"/>
            <w:bottom w:w="0" w:type="dxa"/>
            <w:right w:w="108" w:type="dxa"/>
          </w:tblCellMar>
        </w:tblPrEx>
        <w:trPr>
          <w:trHeight w:val="734"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3419503">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25</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094E8EE">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highlight w:val="none"/>
              </w:rPr>
              <w:t>评标办法及评分标准</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50D94A1E">
            <w:pPr>
              <w:pageBreakBefore w:val="0"/>
              <w:kinsoku/>
              <w:wordWrap w:val="0"/>
              <w:topLinePunct w:val="0"/>
              <w:autoSpaceDE w:val="0"/>
              <w:autoSpaceDN w:val="0"/>
              <w:bidi w:val="0"/>
              <w:adjustRightInd w:val="0"/>
              <w:spacing w:line="36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rPr>
              <w:t>综合评分法，详见第六部分  评标原则及方法。</w:t>
            </w:r>
          </w:p>
        </w:tc>
      </w:tr>
      <w:tr w14:paraId="7147CF3A">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E211151">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26</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3995FBC">
            <w:pPr>
              <w:pageBreakBefore w:val="0"/>
              <w:kinsoku/>
              <w:wordWrap w:val="0"/>
              <w:topLinePunct w:val="0"/>
              <w:bidi w:val="0"/>
              <w:spacing w:line="360" w:lineRule="exact"/>
              <w:jc w:val="center"/>
              <w:rPr>
                <w:rFonts w:hint="eastAsia" w:ascii="宋体" w:hAnsi="宋体" w:eastAsia="宋体" w:cs="宋体"/>
                <w:b/>
                <w:bCs/>
                <w:snapToGrid w:val="0"/>
                <w:color w:val="auto"/>
                <w:kern w:val="2"/>
                <w:sz w:val="22"/>
                <w:szCs w:val="22"/>
                <w:highlight w:val="none"/>
                <w:lang w:val="en-US" w:eastAsia="zh-CN" w:bidi="ar-SA"/>
              </w:rPr>
            </w:pPr>
            <w:r>
              <w:rPr>
                <w:rFonts w:hint="eastAsia" w:ascii="宋体" w:hAnsi="宋体" w:eastAsia="宋体" w:cs="宋体"/>
                <w:color w:val="auto"/>
                <w:sz w:val="22"/>
                <w:highlight w:val="none"/>
              </w:rPr>
              <w:t>中标公告及中标通知书</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49C36B34">
            <w:pPr>
              <w:pageBreakBefore w:val="0"/>
              <w:kinsoku/>
              <w:wordWrap w:val="0"/>
              <w:topLinePunct w:val="0"/>
              <w:autoSpaceDE w:val="0"/>
              <w:autoSpaceDN w:val="0"/>
              <w:bidi w:val="0"/>
              <w:adjustRightInd w:val="0"/>
              <w:spacing w:line="360" w:lineRule="exact"/>
              <w:ind w:firstLine="31" w:firstLineChars="0"/>
              <w:rPr>
                <w:rFonts w:hint="eastAsia" w:ascii="宋体" w:hAnsi="宋体" w:eastAsia="宋体" w:cs="宋体"/>
                <w:b/>
                <w:bCs/>
                <w:color w:val="auto"/>
                <w:kern w:val="2"/>
                <w:sz w:val="22"/>
                <w:szCs w:val="22"/>
                <w:highlight w:val="none"/>
                <w:lang w:val="zh-CN" w:eastAsia="zh-CN" w:bidi="ar-SA"/>
              </w:rPr>
            </w:pPr>
            <w:r>
              <w:rPr>
                <w:rFonts w:hint="eastAsia" w:ascii="宋体" w:hAnsi="宋体" w:eastAsia="宋体" w:cs="宋体"/>
                <w:color w:val="auto"/>
                <w:sz w:val="22"/>
                <w:highlight w:val="none"/>
              </w:rPr>
              <w:t>评标结束后中标公告发布于浙江</w:t>
            </w:r>
            <w:r>
              <w:rPr>
                <w:rFonts w:hint="eastAsia" w:ascii="宋体" w:hAnsi="宋体" w:eastAsia="宋体" w:cs="宋体"/>
                <w:color w:val="auto"/>
                <w:sz w:val="22"/>
                <w:highlight w:val="none"/>
                <w:lang w:val="en-US" w:eastAsia="zh-CN"/>
              </w:rPr>
              <w:t>企业采购信息服务网</w:t>
            </w:r>
            <w:r>
              <w:rPr>
                <w:rFonts w:hint="eastAsia" w:ascii="宋体" w:hAnsi="宋体" w:eastAsia="宋体" w:cs="宋体"/>
                <w:color w:val="auto"/>
                <w:sz w:val="22"/>
                <w:highlight w:val="none"/>
              </w:rPr>
              <w:t>，并向中标人发出中标通知书。</w:t>
            </w:r>
          </w:p>
        </w:tc>
      </w:tr>
      <w:tr w14:paraId="2EB7F4C3">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E82AD80">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27</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571D77CC">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highlight w:val="none"/>
              </w:rPr>
              <w:t>合同签订</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1046CDE6">
            <w:pPr>
              <w:pageBreakBefore w:val="0"/>
              <w:kinsoku/>
              <w:wordWrap w:val="0"/>
              <w:topLinePunct w:val="0"/>
              <w:bidi w:val="0"/>
              <w:spacing w:line="360" w:lineRule="exac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0"/>
                <w:sz w:val="22"/>
                <w:highlight w:val="none"/>
              </w:rPr>
              <w:t>中标人须在中标通知书发出之日起30日历天内与采购人签订合同。</w:t>
            </w:r>
          </w:p>
        </w:tc>
      </w:tr>
      <w:tr w14:paraId="3C648903">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0F208C0">
            <w:pPr>
              <w:pageBreakBefore w:val="0"/>
              <w:kinsoku/>
              <w:wordWrap w:val="0"/>
              <w:topLinePunct w:val="0"/>
              <w:bidi w:val="0"/>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28</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2AD85190">
            <w:pPr>
              <w:pageBreakBefore w:val="0"/>
              <w:kinsoku/>
              <w:wordWrap w:val="0"/>
              <w:topLinePunct w:val="0"/>
              <w:bidi w:val="0"/>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rPr>
              <w:t>解释权</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37F2E12C">
            <w:pPr>
              <w:pageBreakBefore w:val="0"/>
              <w:kinsoku/>
              <w:wordWrap w:val="0"/>
              <w:topLinePunct w:val="0"/>
              <w:bidi w:val="0"/>
              <w:spacing w:line="360" w:lineRule="exact"/>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14:paraId="189368B0">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6895195">
            <w:pPr>
              <w:pageBreakBefore w:val="0"/>
              <w:kinsoku/>
              <w:wordWrap w:val="0"/>
              <w:topLinePunct w:val="0"/>
              <w:bidi w:val="0"/>
              <w:spacing w:line="360" w:lineRule="exact"/>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29</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09DE1981">
            <w:pPr>
              <w:pageBreakBefore w:val="0"/>
              <w:kinsoku/>
              <w:wordWrap w:val="0"/>
              <w:topLinePunct w:val="0"/>
              <w:bidi w:val="0"/>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rPr>
              <w:t>其他</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5272C29C">
            <w:pPr>
              <w:pageBreakBefore w:val="0"/>
              <w:kinsoku/>
              <w:wordWrap w:val="0"/>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1.公开招标公告属于本招标文件的一部分</w:t>
            </w:r>
          </w:p>
          <w:p w14:paraId="2D8F3FEE">
            <w:pPr>
              <w:pageBreakBefore w:val="0"/>
              <w:kinsoku/>
              <w:wordWrap w:val="0"/>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2.电子评标注意事项：</w:t>
            </w:r>
          </w:p>
          <w:p w14:paraId="348B9AF7">
            <w:pPr>
              <w:pStyle w:val="27"/>
              <w:pageBreakBefore w:val="0"/>
              <w:kinsoku/>
              <w:wordWrap w:val="0"/>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2.1投标人必须先</w:t>
            </w:r>
            <w:r>
              <w:rPr>
                <w:rFonts w:hint="eastAsia" w:ascii="宋体" w:hAnsi="宋体" w:eastAsia="宋体" w:cs="宋体"/>
                <w:b w:val="0"/>
                <w:bCs w:val="0"/>
                <w:color w:val="auto"/>
                <w:sz w:val="22"/>
                <w:szCs w:val="22"/>
                <w:highlight w:val="none"/>
              </w:rPr>
              <w:t>安装“</w:t>
            </w:r>
            <w:r>
              <w:rPr>
                <w:rFonts w:hint="eastAsia" w:ascii="宋体" w:hAnsi="宋体" w:eastAsia="宋体" w:cs="宋体"/>
                <w:b w:val="0"/>
                <w:bCs w:val="0"/>
                <w:color w:val="auto"/>
                <w:sz w:val="22"/>
                <w:szCs w:val="22"/>
                <w:highlight w:val="none"/>
                <w:lang w:eastAsia="zh-CN"/>
              </w:rPr>
              <w:t>乐采云</w:t>
            </w:r>
            <w:r>
              <w:rPr>
                <w:rFonts w:hint="eastAsia" w:ascii="宋体" w:hAnsi="宋体" w:eastAsia="宋体" w:cs="宋体"/>
                <w:b w:val="0"/>
                <w:bCs w:val="0"/>
                <w:color w:val="auto"/>
                <w:sz w:val="22"/>
                <w:szCs w:val="22"/>
                <w:highlight w:val="none"/>
              </w:rPr>
              <w:t>电子交易客户端”</w:t>
            </w:r>
            <w:r>
              <w:rPr>
                <w:rFonts w:hint="eastAsia" w:ascii="宋体" w:hAnsi="宋体" w:eastAsia="宋体" w:cs="宋体"/>
                <w:color w:val="auto"/>
                <w:sz w:val="22"/>
                <w:highlight w:val="none"/>
              </w:rPr>
              <w:t>，</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eastAsia="zh-CN"/>
              </w:rPr>
              <w:t>乐采云</w:t>
            </w:r>
            <w:r>
              <w:rPr>
                <w:rFonts w:hint="eastAsia" w:ascii="宋体" w:hAnsi="宋体" w:eastAsia="宋体" w:cs="宋体"/>
                <w:b w:val="0"/>
                <w:bCs w:val="0"/>
                <w:color w:val="auto"/>
                <w:sz w:val="22"/>
                <w:szCs w:val="22"/>
                <w:highlight w:val="none"/>
              </w:rPr>
              <w:t>电子交易客户端”请自行前往“</w:t>
            </w:r>
            <w:r>
              <w:rPr>
                <w:rFonts w:hint="eastAsia" w:ascii="宋体" w:hAnsi="宋体" w:eastAsia="宋体" w:cs="宋体"/>
                <w:b w:val="0"/>
                <w:bCs w:val="0"/>
                <w:color w:val="auto"/>
                <w:sz w:val="22"/>
                <w:szCs w:val="22"/>
                <w:highlight w:val="none"/>
                <w:lang w:eastAsia="zh-CN"/>
              </w:rPr>
              <w:t>乐采云平台</w:t>
            </w:r>
            <w:r>
              <w:rPr>
                <w:rFonts w:hint="eastAsia" w:ascii="宋体" w:hAnsi="宋体" w:eastAsia="宋体" w:cs="宋体"/>
                <w:b w:val="0"/>
                <w:bCs w:val="0"/>
                <w:color w:val="auto"/>
                <w:sz w:val="22"/>
                <w:szCs w:val="22"/>
                <w:highlight w:val="none"/>
              </w:rPr>
              <w:t>”</w:t>
            </w:r>
            <w:r>
              <w:rPr>
                <w:rFonts w:hint="eastAsia" w:ascii="宋体" w:hAnsi="宋体" w:eastAsia="宋体" w:cs="宋体"/>
                <w:color w:val="auto"/>
                <w:sz w:val="22"/>
                <w:highlight w:val="none"/>
              </w:rPr>
              <w:t>进行网上自主下载。</w:t>
            </w:r>
          </w:p>
          <w:p w14:paraId="76FA962B">
            <w:pPr>
              <w:pStyle w:val="27"/>
              <w:pageBreakBefore w:val="0"/>
              <w:kinsoku/>
              <w:wordWrap w:val="0"/>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2.2本项目实行电子投标，应按照本项目招标文件和</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平台的要求编制、加密并递交投标文件。投标人在使用系统进行投标的过程中遇到涉及平台使用的任何问题，可致电</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平台技术支持热线咨询，联系方式：95763。</w:t>
            </w:r>
          </w:p>
          <w:p w14:paraId="4F8BFFDB">
            <w:pPr>
              <w:pStyle w:val="27"/>
              <w:pageBreakBefore w:val="0"/>
              <w:kinsoku/>
              <w:wordWrap w:val="0"/>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2.3</w:t>
            </w:r>
            <w:r>
              <w:rPr>
                <w:rFonts w:hint="eastAsia" w:ascii="宋体" w:hAnsi="宋体" w:eastAsia="宋体" w:cs="宋体"/>
                <w:b w:val="0"/>
                <w:bCs w:val="0"/>
                <w:color w:val="auto"/>
                <w:sz w:val="22"/>
                <w:szCs w:val="22"/>
                <w:highlight w:val="none"/>
              </w:rPr>
              <w:t>为确保网上操作合法、有效和安全，投标人应当在投标截止时间前完成在“</w:t>
            </w:r>
            <w:r>
              <w:rPr>
                <w:rFonts w:hint="eastAsia" w:ascii="宋体" w:hAnsi="宋体" w:eastAsia="宋体" w:cs="宋体"/>
                <w:b w:val="0"/>
                <w:bCs w:val="0"/>
                <w:color w:val="auto"/>
                <w:sz w:val="22"/>
                <w:szCs w:val="22"/>
                <w:highlight w:val="none"/>
                <w:lang w:eastAsia="zh-CN"/>
              </w:rPr>
              <w:t>乐采云平台</w:t>
            </w:r>
            <w:r>
              <w:rPr>
                <w:rFonts w:hint="eastAsia" w:ascii="宋体" w:hAnsi="宋体" w:eastAsia="宋体" w:cs="宋体"/>
                <w:b w:val="0"/>
                <w:bCs w:val="0"/>
                <w:color w:val="auto"/>
                <w:sz w:val="22"/>
                <w:szCs w:val="22"/>
                <w:highlight w:val="none"/>
              </w:rPr>
              <w:t>”的身份认证，确保在电子投标过程中能够对相关数据电文进行加密和使用电子签章。</w:t>
            </w:r>
            <w:r>
              <w:rPr>
                <w:rFonts w:hint="eastAsia" w:ascii="宋体" w:hAnsi="宋体" w:eastAsia="宋体" w:cs="宋体"/>
                <w:color w:val="auto"/>
                <w:sz w:val="22"/>
                <w:highlight w:val="none"/>
              </w:rPr>
              <w:t>投标人应在开标前完成CA数字证书办理</w:t>
            </w:r>
            <w:r>
              <w:rPr>
                <w:rFonts w:hint="eastAsia" w:ascii="宋体" w:hAnsi="宋体" w:eastAsia="宋体" w:cs="宋体"/>
                <w:color w:val="auto"/>
                <w:sz w:val="22"/>
                <w:highlight w:val="none"/>
                <w:lang w:eastAsia="zh-CN"/>
              </w:rPr>
              <w:t>，</w:t>
            </w:r>
            <w:r>
              <w:rPr>
                <w:rFonts w:hint="eastAsia" w:ascii="宋体" w:hAnsi="宋体" w:eastAsia="宋体" w:cs="宋体"/>
                <w:b w:val="0"/>
                <w:bCs w:val="0"/>
                <w:color w:val="auto"/>
                <w:sz w:val="22"/>
                <w:szCs w:val="22"/>
                <w:highlight w:val="none"/>
              </w:rPr>
              <w:t>申领流程请自行前往“</w:t>
            </w:r>
            <w:r>
              <w:rPr>
                <w:rFonts w:hint="eastAsia" w:ascii="宋体" w:hAnsi="宋体" w:eastAsia="宋体" w:cs="宋体"/>
                <w:b w:val="0"/>
                <w:bCs w:val="0"/>
                <w:color w:val="auto"/>
                <w:sz w:val="22"/>
                <w:szCs w:val="22"/>
                <w:highlight w:val="none"/>
                <w:lang w:eastAsia="zh-CN"/>
              </w:rPr>
              <w:t>乐采云平台</w:t>
            </w:r>
            <w:r>
              <w:rPr>
                <w:rFonts w:hint="eastAsia" w:ascii="宋体" w:hAnsi="宋体" w:eastAsia="宋体" w:cs="宋体"/>
                <w:b w:val="0"/>
                <w:bCs w:val="0"/>
                <w:color w:val="auto"/>
                <w:sz w:val="22"/>
                <w:szCs w:val="22"/>
                <w:highlight w:val="none"/>
              </w:rPr>
              <w:t>”进行查阅</w:t>
            </w:r>
            <w:r>
              <w:rPr>
                <w:rFonts w:hint="eastAsia" w:ascii="宋体" w:hAnsi="宋体" w:eastAsia="宋体" w:cs="宋体"/>
                <w:color w:val="auto"/>
                <w:sz w:val="22"/>
                <w:highlight w:val="none"/>
              </w:rPr>
              <w:t>。</w:t>
            </w:r>
          </w:p>
          <w:p w14:paraId="5DF26585">
            <w:pPr>
              <w:pStyle w:val="27"/>
              <w:pageBreakBefore w:val="0"/>
              <w:kinsoku/>
              <w:wordWrap w:val="0"/>
              <w:topLinePunct w:val="0"/>
              <w:bidi w:val="0"/>
              <w:spacing w:before="0" w:beforeAutospacing="0" w:after="0" w:afterAutospacing="0" w:line="360" w:lineRule="exac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2.4投标人通过</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平台电子投标工具制作投标文件，电子投标工具请投标人自行前往</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平台下载并安装</w:t>
            </w:r>
            <w:r>
              <w:rPr>
                <w:rFonts w:hint="eastAsia" w:ascii="宋体" w:hAnsi="宋体" w:eastAsia="宋体" w:cs="宋体"/>
                <w:color w:val="auto"/>
                <w:sz w:val="22"/>
                <w:highlight w:val="none"/>
                <w:lang w:eastAsia="zh-CN"/>
              </w:rPr>
              <w:t>。</w:t>
            </w:r>
          </w:p>
          <w:p w14:paraId="0DA0552A">
            <w:pPr>
              <w:pStyle w:val="27"/>
              <w:pageBreakBefore w:val="0"/>
              <w:kinsoku/>
              <w:wordWrap w:val="0"/>
              <w:topLinePunct w:val="0"/>
              <w:bidi w:val="0"/>
              <w:spacing w:before="0" w:beforeAutospacing="0" w:after="0" w:afterAutospacing="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2.5投标人可通过浙江省“电子交易/不见面开评标”学习专题提前进行专题学习，熟悉操作，避免影响采购活动。</w:t>
            </w:r>
          </w:p>
          <w:p w14:paraId="5F86AECC">
            <w:pPr>
              <w:pageBreakBefore w:val="0"/>
              <w:kinsoku/>
              <w:wordWrap w:val="0"/>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3.请务必确保投标文件制作客户端为最新版本，旧版本可能导致投标文件解密失败。</w:t>
            </w:r>
          </w:p>
          <w:p w14:paraId="1CEAF1B0">
            <w:pPr>
              <w:pageBreakBefore w:val="0"/>
              <w:kinsoku/>
              <w:wordWrap w:val="0"/>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4.请务必确保投标文件制作时所用的 CA 锁与投标文件解密时的 CA 锁为同一把，否则可能导致投标文件解密失败。</w:t>
            </w:r>
          </w:p>
          <w:p w14:paraId="71BDBF81">
            <w:pPr>
              <w:pageBreakBefore w:val="0"/>
              <w:kinsoku/>
              <w:wordWrap w:val="0"/>
              <w:topLinePunct w:val="0"/>
              <w:bidi w:val="0"/>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5.在投标文件解密前，请务必检验 CA 锁与所用电脑的兼容性，部分电脑因 CA 驱动未正常安装、USB 接口兼容性差等原因可能造成投标文件解密失败。</w:t>
            </w:r>
          </w:p>
          <w:p w14:paraId="1887E5D9">
            <w:pPr>
              <w:pageBreakBefore w:val="0"/>
              <w:kinsoku/>
              <w:wordWrap w:val="0"/>
              <w:topLinePunct w:val="0"/>
              <w:bidi w:val="0"/>
              <w:spacing w:line="360" w:lineRule="exact"/>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6.</w:t>
            </w:r>
            <w:r>
              <w:rPr>
                <w:rFonts w:hint="eastAsia" w:ascii="宋体" w:hAnsi="宋体" w:eastAsia="宋体" w:cs="宋体"/>
                <w:b/>
                <w:color w:val="auto"/>
                <w:sz w:val="22"/>
                <w:highlight w:val="none"/>
              </w:rPr>
              <w:t>投标人未按招标文件规定及提醒操作的，引起的一切后果由投标人自行负责。</w:t>
            </w:r>
          </w:p>
          <w:p w14:paraId="747542FE">
            <w:pPr>
              <w:pageBreakBefore w:val="0"/>
              <w:kinsoku/>
              <w:wordWrap w:val="0"/>
              <w:topLinePunct w:val="0"/>
              <w:bidi w:val="0"/>
              <w:spacing w:line="360" w:lineRule="exact"/>
              <w:rPr>
                <w:rStyle w:val="35"/>
                <w:rFonts w:hint="eastAsia" w:ascii="宋体" w:hAnsi="宋体" w:eastAsia="宋体" w:cs="宋体"/>
                <w:color w:val="auto"/>
                <w:sz w:val="22"/>
                <w:highlight w:val="none"/>
              </w:rPr>
            </w:pPr>
            <w:r>
              <w:rPr>
                <w:rFonts w:hint="eastAsia" w:ascii="宋体" w:hAnsi="宋体" w:eastAsia="宋体" w:cs="宋体"/>
                <w:b/>
                <w:color w:val="auto"/>
                <w:sz w:val="22"/>
                <w:highlight w:val="none"/>
              </w:rPr>
              <w:t>7.投标截止时间同</w:t>
            </w:r>
            <w:r>
              <w:rPr>
                <w:rStyle w:val="35"/>
                <w:rFonts w:hint="eastAsia" w:ascii="宋体" w:hAnsi="宋体" w:eastAsia="宋体" w:cs="宋体"/>
                <w:color w:val="auto"/>
                <w:sz w:val="22"/>
                <w:highlight w:val="none"/>
              </w:rPr>
              <w:t>提交投标文件截止时间。</w:t>
            </w:r>
          </w:p>
          <w:p w14:paraId="7CBDA750">
            <w:pPr>
              <w:pageBreakBefore w:val="0"/>
              <w:kinsoku/>
              <w:wordWrap w:val="0"/>
              <w:topLinePunct w:val="0"/>
              <w:bidi w:val="0"/>
              <w:spacing w:line="360" w:lineRule="exact"/>
              <w:rPr>
                <w:rFonts w:hint="eastAsia" w:ascii="宋体" w:hAnsi="宋体" w:eastAsia="宋体" w:cs="宋体"/>
                <w:color w:val="auto"/>
                <w:kern w:val="2"/>
                <w:sz w:val="21"/>
                <w:szCs w:val="22"/>
                <w:highlight w:val="none"/>
                <w:lang w:val="zh-CN" w:eastAsia="zh-CN" w:bidi="ar-SA"/>
              </w:rPr>
            </w:pPr>
            <w:r>
              <w:rPr>
                <w:rStyle w:val="35"/>
                <w:rFonts w:hint="eastAsia" w:ascii="宋体" w:hAnsi="宋体" w:eastAsia="宋体" w:cs="宋体"/>
                <w:color w:val="auto"/>
                <w:sz w:val="22"/>
                <w:highlight w:val="none"/>
              </w:rPr>
              <w:t>8.</w:t>
            </w:r>
            <w:r>
              <w:rPr>
                <w:rFonts w:hint="eastAsia" w:ascii="宋体" w:hAnsi="宋体" w:eastAsia="宋体" w:cs="宋体"/>
                <w:b/>
                <w:bCs/>
                <w:color w:val="auto"/>
                <w:sz w:val="22"/>
                <w:highlight w:val="none"/>
              </w:rPr>
              <w:t>客户端填写的内容</w:t>
            </w:r>
            <w:r>
              <w:rPr>
                <w:rFonts w:hint="eastAsia" w:ascii="宋体" w:hAnsi="宋体" w:eastAsia="宋体" w:cs="宋体"/>
                <w:b/>
                <w:bCs/>
                <w:color w:val="auto"/>
                <w:sz w:val="22"/>
                <w:highlight w:val="none"/>
                <w:lang w:eastAsia="zh-CN"/>
              </w:rPr>
              <w:t>与</w:t>
            </w:r>
            <w:r>
              <w:rPr>
                <w:rFonts w:hint="eastAsia" w:ascii="宋体" w:hAnsi="宋体" w:eastAsia="宋体" w:cs="宋体"/>
                <w:b/>
                <w:bCs/>
                <w:color w:val="auto"/>
                <w:sz w:val="22"/>
                <w:highlight w:val="none"/>
              </w:rPr>
              <w:t>pdf格式上传文件中不一致的，应以Pdf格式上传文件中的内容为准。</w:t>
            </w:r>
          </w:p>
        </w:tc>
      </w:tr>
      <w:tr w14:paraId="18436F37">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6670ED5">
            <w:pPr>
              <w:pageBreakBefore w:val="0"/>
              <w:kinsoku/>
              <w:wordWrap w:val="0"/>
              <w:topLinePunct w:val="0"/>
              <w:bidi w:val="0"/>
              <w:spacing w:line="360" w:lineRule="exact"/>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30</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3E1855D6">
            <w:pPr>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highlight w:val="none"/>
              </w:rPr>
              <w:t>复核</w:t>
            </w:r>
          </w:p>
        </w:tc>
        <w:tc>
          <w:tcPr>
            <w:tcW w:w="6718" w:type="dxa"/>
            <w:tcBorders>
              <w:top w:val="single" w:color="auto" w:sz="4" w:space="0"/>
              <w:left w:val="single" w:color="auto" w:sz="4" w:space="0"/>
              <w:bottom w:val="single" w:color="auto" w:sz="4" w:space="0"/>
              <w:right w:val="single" w:color="auto" w:sz="4" w:space="0"/>
            </w:tcBorders>
            <w:shd w:val="clear" w:color="auto" w:fill="auto"/>
            <w:vAlign w:val="center"/>
          </w:tcPr>
          <w:p w14:paraId="00E25A04">
            <w:pPr>
              <w:wordWrap w:val="0"/>
              <w:snapToGrid w:val="0"/>
              <w:spacing w:line="400" w:lineRule="exact"/>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rPr>
              <w:t>为防止投标人提供虚假材料，采购人在评审结束后、确认采购结果前，将采取官方网站查询、原件核对等方式对中标人在投标文件中涉及客观分评审内容的检测报告、认证证书等资料的真实性进行复核，复核情况详细记录，并纳入采购档案。</w:t>
            </w:r>
            <w:r>
              <w:rPr>
                <w:rFonts w:hint="eastAsia" w:ascii="宋体" w:hAnsi="宋体" w:eastAsia="宋体" w:cs="宋体"/>
                <w:b/>
                <w:bCs/>
                <w:color w:val="auto"/>
                <w:sz w:val="22"/>
                <w:highlight w:val="none"/>
                <w:lang w:val="en-US" w:eastAsia="zh-CN"/>
              </w:rPr>
              <w:t xml:space="preserve"> </w:t>
            </w:r>
          </w:p>
          <w:p w14:paraId="52D3BE00">
            <w:pPr>
              <w:wordWrap w:val="0"/>
              <w:snapToGrid w:val="0"/>
              <w:spacing w:line="40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应在投标前自行通过官方公开渠道查询、核对涉及客观分评审内容的检测报告、认证证书等资料，确保投标文件信息准确无误。如发现投标人存在提供虚假材料的情形，将按规定以书面形式上报本级财政部门，相应风险及责任均由该投标人自行承担。</w:t>
            </w:r>
          </w:p>
          <w:p w14:paraId="583E17CE">
            <w:pPr>
              <w:spacing w:line="400" w:lineRule="exact"/>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bCs/>
                <w:color w:val="auto"/>
                <w:sz w:val="22"/>
                <w:highlight w:val="none"/>
              </w:rPr>
              <w:t>因投标人自身原因未能在约定时间内配合完成核查工作的，所引发的一切风险亦由投标人自行承担。</w:t>
            </w:r>
          </w:p>
        </w:tc>
      </w:tr>
    </w:tbl>
    <w:p w14:paraId="351D99B3">
      <w:pPr>
        <w:pageBreakBefore w:val="0"/>
        <w:kinsoku/>
        <w:wordWrap w:val="0"/>
        <w:topLinePunct w:val="0"/>
        <w:bidi w:val="0"/>
        <w:rPr>
          <w:rFonts w:hint="eastAsia" w:ascii="宋体" w:hAnsi="宋体" w:eastAsia="宋体" w:cs="宋体"/>
          <w:color w:val="auto"/>
          <w:highlight w:val="none"/>
        </w:rPr>
      </w:pPr>
    </w:p>
    <w:p w14:paraId="15FD332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4D7D32C">
      <w:pPr>
        <w:pageBreakBefore w:val="0"/>
        <w:kinsoku/>
        <w:wordWrap w:val="0"/>
        <w:topLinePunct w:val="0"/>
        <w:bidi w:val="0"/>
        <w:spacing w:line="400" w:lineRule="exact"/>
        <w:jc w:val="center"/>
        <w:outlineLvl w:val="1"/>
        <w:rPr>
          <w:rFonts w:hint="eastAsia" w:ascii="宋体" w:hAnsi="宋体" w:eastAsia="宋体" w:cs="宋体"/>
          <w:b/>
          <w:color w:val="auto"/>
          <w:sz w:val="28"/>
          <w:szCs w:val="28"/>
          <w:highlight w:val="none"/>
        </w:rPr>
      </w:pPr>
      <w:bookmarkStart w:id="3" w:name="_Toc2276"/>
      <w:r>
        <w:rPr>
          <w:rFonts w:hint="eastAsia" w:ascii="宋体" w:hAnsi="宋体" w:eastAsia="宋体" w:cs="宋体"/>
          <w:b/>
          <w:color w:val="auto"/>
          <w:sz w:val="28"/>
          <w:szCs w:val="28"/>
          <w:highlight w:val="none"/>
        </w:rPr>
        <w:t>一、说明</w:t>
      </w:r>
      <w:bookmarkEnd w:id="3"/>
    </w:p>
    <w:p w14:paraId="11D539A3">
      <w:pPr>
        <w:pageBreakBefore w:val="0"/>
        <w:tabs>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1.本次招标是按照《中华人民共和国政府采购法》、《政府采购货物和服务招标投标管理办法》等法律及有关法规组织和实施的。</w:t>
      </w:r>
    </w:p>
    <w:p w14:paraId="5761F037">
      <w:pPr>
        <w:pageBreakBefore w:val="0"/>
        <w:tabs>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2.定义</w:t>
      </w:r>
    </w:p>
    <w:p w14:paraId="2A6396EA">
      <w:pPr>
        <w:pageBreakBefore w:val="0"/>
        <w:numPr>
          <w:ilvl w:val="0"/>
          <w:numId w:val="3"/>
        </w:numPr>
        <w:tabs>
          <w:tab w:val="left" w:pos="360"/>
        </w:tabs>
        <w:kinsoku/>
        <w:wordWrap w:val="0"/>
        <w:topLinePunct w:val="0"/>
        <w:bidi w:val="0"/>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“采购人”系指</w:t>
      </w:r>
      <w:r>
        <w:rPr>
          <w:rFonts w:hint="eastAsia" w:ascii="宋体" w:hAnsi="宋体" w:eastAsia="宋体" w:cs="宋体"/>
          <w:color w:val="auto"/>
          <w:sz w:val="22"/>
          <w:highlight w:val="none"/>
          <w:lang w:eastAsia="zh-CN"/>
        </w:rPr>
        <w:t>温州市第七人民医院</w:t>
      </w:r>
      <w:r>
        <w:rPr>
          <w:rFonts w:hint="eastAsia" w:ascii="宋体" w:hAnsi="宋体" w:eastAsia="宋体" w:cs="宋体"/>
          <w:color w:val="auto"/>
          <w:sz w:val="22"/>
          <w:highlight w:val="none"/>
        </w:rPr>
        <w:t>；</w:t>
      </w:r>
    </w:p>
    <w:p w14:paraId="7E51ED0E">
      <w:pPr>
        <w:pageBreakBefore w:val="0"/>
        <w:numPr>
          <w:ilvl w:val="0"/>
          <w:numId w:val="3"/>
        </w:numPr>
        <w:tabs>
          <w:tab w:val="left" w:pos="360"/>
        </w:tabs>
        <w:kinsoku/>
        <w:wordWrap w:val="0"/>
        <w:topLinePunct w:val="0"/>
        <w:bidi w:val="0"/>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“采购代理机构”系指组织本次招标的浙江乐诚工程咨询有限公司；</w:t>
      </w:r>
    </w:p>
    <w:p w14:paraId="087C5743">
      <w:pPr>
        <w:pageBreakBefore w:val="0"/>
        <w:numPr>
          <w:ilvl w:val="0"/>
          <w:numId w:val="3"/>
        </w:numPr>
        <w:tabs>
          <w:tab w:val="left" w:pos="360"/>
        </w:tabs>
        <w:kinsoku/>
        <w:wordWrap w:val="0"/>
        <w:topLinePunct w:val="0"/>
        <w:bidi w:val="0"/>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供应商</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系指响应招标、参加投标竞争的法人、其他组织或者自然人；</w:t>
      </w:r>
    </w:p>
    <w:p w14:paraId="118AD214">
      <w:pPr>
        <w:pageBreakBefore w:val="0"/>
        <w:numPr>
          <w:ilvl w:val="0"/>
          <w:numId w:val="3"/>
        </w:numPr>
        <w:tabs>
          <w:tab w:val="left" w:pos="360"/>
        </w:tabs>
        <w:kinsoku/>
        <w:wordWrap w:val="0"/>
        <w:topLinePunct w:val="0"/>
        <w:bidi w:val="0"/>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“书面形式”包括合同书、信件和数据电文(包括电报、电传、传真、电子数据交换和电子邮件)等可以有形地表现所载内容的形式。</w:t>
      </w:r>
    </w:p>
    <w:p w14:paraId="1CF3E876">
      <w:pPr>
        <w:pageBreakBefore w:val="0"/>
        <w:numPr>
          <w:ilvl w:val="0"/>
          <w:numId w:val="3"/>
        </w:numPr>
        <w:tabs>
          <w:tab w:val="left" w:pos="360"/>
        </w:tabs>
        <w:kinsoku/>
        <w:wordWrap w:val="0"/>
        <w:topLinePunct w:val="0"/>
        <w:bidi w:val="0"/>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“电子加密投标文件”系指通过</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电子交易客户端（</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投标客户端）完成投标文件编制后生成并加密的数据电文形式的投标文件（文件扩展名为.jmbs），“备份投标文件”系指与“电子加密投标文件”同时生成的数据电文形式的电子文件（文件扩展名为.bfbs）；</w:t>
      </w:r>
    </w:p>
    <w:p w14:paraId="41C9B146">
      <w:pPr>
        <w:pageBreakBefore w:val="0"/>
        <w:numPr>
          <w:ilvl w:val="0"/>
          <w:numId w:val="3"/>
        </w:numPr>
        <w:tabs>
          <w:tab w:val="left" w:pos="360"/>
        </w:tabs>
        <w:kinsoku/>
        <w:wordWrap w:val="0"/>
        <w:topLinePunct w:val="0"/>
        <w:bidi w:val="0"/>
        <w:spacing w:line="360" w:lineRule="exact"/>
        <w:ind w:left="0" w:firstLine="440" w:firstLineChars="200"/>
        <w:rPr>
          <w:rFonts w:hint="eastAsia" w:ascii="宋体" w:hAnsi="宋体" w:eastAsia="宋体" w:cs="宋体"/>
          <w:color w:val="auto"/>
          <w:sz w:val="22"/>
          <w:highlight w:val="none"/>
        </w:rPr>
      </w:pPr>
      <w:bookmarkStart w:id="4" w:name="_Hlk96327615"/>
      <w:r>
        <w:rPr>
          <w:rFonts w:hint="eastAsia" w:ascii="宋体" w:hAnsi="宋体" w:eastAsia="宋体" w:cs="宋体"/>
          <w:color w:val="auto"/>
          <w:sz w:val="22"/>
          <w:highlight w:val="none"/>
        </w:rPr>
        <w:t>“电子签章”系指数据电文中以电子形式所含、所附用于识别签名人身份并表明签名人认可其中内容的数据；“公章”系指单位法定名称章。</w:t>
      </w:r>
    </w:p>
    <w:p w14:paraId="47F9D463">
      <w:pPr>
        <w:pageBreakBefore w:val="0"/>
        <w:numPr>
          <w:ilvl w:val="0"/>
          <w:numId w:val="3"/>
        </w:numPr>
        <w:tabs>
          <w:tab w:val="left" w:pos="360"/>
        </w:tabs>
        <w:kinsoku/>
        <w:wordWrap w:val="0"/>
        <w:topLinePunct w:val="0"/>
        <w:bidi w:val="0"/>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招标文件对投标文件签署、盖章的要求适用于电子签章。</w:t>
      </w:r>
    </w:p>
    <w:bookmarkEnd w:id="4"/>
    <w:p w14:paraId="08F73BD5">
      <w:pPr>
        <w:pageBreakBefore w:val="0"/>
        <w:numPr>
          <w:ilvl w:val="0"/>
          <w:numId w:val="3"/>
        </w:numPr>
        <w:tabs>
          <w:tab w:val="left" w:pos="360"/>
        </w:tabs>
        <w:kinsoku/>
        <w:wordWrap w:val="0"/>
        <w:topLinePunct w:val="0"/>
        <w:bidi w:val="0"/>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“▲且加下划线”系指实质性要求条款，投标人应当做出实质性响应。</w:t>
      </w:r>
    </w:p>
    <w:p w14:paraId="2605099B">
      <w:pPr>
        <w:pageBreakBefore w:val="0"/>
        <w:tabs>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3.</w:t>
      </w:r>
      <w:r>
        <w:rPr>
          <w:rFonts w:hint="eastAsia" w:ascii="宋体" w:hAnsi="宋体" w:eastAsia="宋体" w:cs="宋体"/>
          <w:color w:val="auto"/>
          <w:sz w:val="22"/>
          <w:highlight w:val="none"/>
        </w:rPr>
        <w:t>投标人代表</w:t>
      </w:r>
    </w:p>
    <w:p w14:paraId="2810254A">
      <w:pPr>
        <w:pageBreakBefore w:val="0"/>
        <w:tabs>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指全权代表投标人参加投标活动并签署投标文件的人。投标人须携带有效身份证件。如投标人代表不是法定代表人，须有</w:t>
      </w:r>
      <w:r>
        <w:rPr>
          <w:rFonts w:hint="eastAsia" w:ascii="宋体" w:hAnsi="宋体" w:eastAsia="宋体" w:cs="宋体"/>
          <w:color w:val="auto"/>
          <w:sz w:val="22"/>
          <w:highlight w:val="none"/>
          <w:lang w:eastAsia="zh-CN"/>
        </w:rPr>
        <w:t>授权委托书</w:t>
      </w:r>
      <w:r>
        <w:rPr>
          <w:rFonts w:hint="eastAsia" w:ascii="宋体" w:hAnsi="宋体" w:eastAsia="宋体" w:cs="宋体"/>
          <w:color w:val="auto"/>
          <w:sz w:val="22"/>
          <w:highlight w:val="none"/>
        </w:rPr>
        <w:t>，投标人未参加开标的，视同认可开标结果。</w:t>
      </w:r>
    </w:p>
    <w:p w14:paraId="6F2E5EEB">
      <w:pPr>
        <w:pageBreakBefore w:val="0"/>
        <w:tabs>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4.投标费用</w:t>
      </w:r>
    </w:p>
    <w:p w14:paraId="198656B6">
      <w:pPr>
        <w:pageBreakBefore w:val="0"/>
        <w:tabs>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4.1投标人应承担所有与准备和参加投标有关费用，不论投标的结果如何，采购代理机构和采购人均无义务和责任承担这些费用。</w:t>
      </w:r>
    </w:p>
    <w:p w14:paraId="719FBB8F">
      <w:pPr>
        <w:pageBreakBefore w:val="0"/>
        <w:tabs>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4.2中标人在收到中标通知书时向采购代理机构交纳采购代理服务费</w:t>
      </w:r>
      <w:r>
        <w:rPr>
          <w:rFonts w:hint="eastAsia" w:ascii="宋体" w:hAnsi="宋体" w:eastAsia="宋体" w:cs="宋体"/>
          <w:color w:val="auto"/>
          <w:sz w:val="22"/>
          <w:highlight w:val="none"/>
          <w:lang w:eastAsia="zh-CN"/>
        </w:rPr>
        <w:t>（</w:t>
      </w:r>
      <w:r>
        <w:rPr>
          <w:rFonts w:hint="eastAsia" w:ascii="宋体" w:hAnsi="宋体" w:eastAsia="宋体" w:cs="宋体"/>
          <w:b/>
          <w:bCs/>
          <w:color w:val="auto"/>
          <w:sz w:val="22"/>
          <w:highlight w:val="none"/>
        </w:rPr>
        <w:t>根据国家计委计价格【2002】1980号《招标代理服务收费管理暂行办法》规定标准计算后下浮</w:t>
      </w:r>
      <w:r>
        <w:rPr>
          <w:rFonts w:hint="eastAsia" w:ascii="宋体" w:hAnsi="宋体" w:eastAsia="宋体" w:cs="宋体"/>
          <w:b/>
          <w:bCs/>
          <w:color w:val="auto"/>
          <w:sz w:val="22"/>
          <w:highlight w:val="none"/>
          <w:lang w:val="en-US" w:eastAsia="zh-CN"/>
        </w:rPr>
        <w:t>30</w:t>
      </w:r>
      <w:r>
        <w:rPr>
          <w:rFonts w:hint="eastAsia" w:ascii="宋体" w:hAnsi="宋体" w:eastAsia="宋体" w:cs="宋体"/>
          <w:b/>
          <w:bCs/>
          <w:color w:val="auto"/>
          <w:sz w:val="22"/>
          <w:highlight w:val="none"/>
        </w:rPr>
        <w:t>%收取，</w:t>
      </w:r>
      <w:r>
        <w:rPr>
          <w:rFonts w:hint="eastAsia" w:ascii="宋体" w:hAnsi="宋体" w:eastAsia="宋体" w:cs="宋体"/>
          <w:b/>
          <w:bCs/>
          <w:color w:val="auto"/>
          <w:sz w:val="22"/>
          <w:highlight w:val="none"/>
          <w:lang w:val="en-US" w:eastAsia="zh-CN"/>
        </w:rPr>
        <w:t>不足2500元的按2500元收取，</w:t>
      </w:r>
      <w:r>
        <w:rPr>
          <w:rFonts w:hint="eastAsia" w:ascii="宋体" w:hAnsi="宋体" w:eastAsia="宋体" w:cs="宋体"/>
          <w:b/>
          <w:bCs/>
          <w:color w:val="auto"/>
          <w:sz w:val="22"/>
          <w:highlight w:val="none"/>
        </w:rPr>
        <w:t>由中标人在领取中标通知书时支付</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，请各投标人将采购代理服务费包含在投标总报价中，但不单独列出。采购代理服务费可以是现金、支票或汇票。采购代理服务费汇入账户：</w:t>
      </w:r>
    </w:p>
    <w:p w14:paraId="2B503833">
      <w:pPr>
        <w:pageBreakBefore w:val="0"/>
        <w:kinsoku/>
        <w:wordWrap w:val="0"/>
        <w:topLinePunct w:val="0"/>
        <w:bidi w:val="0"/>
        <w:spacing w:line="360" w:lineRule="exact"/>
        <w:ind w:left="655" w:leftChars="312" w:firstLine="338" w:firstLineChars="154"/>
        <w:rPr>
          <w:rFonts w:hint="eastAsia" w:ascii="宋体" w:hAnsi="宋体" w:eastAsia="宋体" w:cs="宋体"/>
          <w:color w:val="auto"/>
          <w:sz w:val="22"/>
          <w:highlight w:val="none"/>
        </w:rPr>
      </w:pPr>
      <w:r>
        <w:rPr>
          <w:rFonts w:hint="eastAsia" w:ascii="宋体" w:hAnsi="宋体" w:eastAsia="宋体" w:cs="宋体"/>
          <w:color w:val="auto"/>
          <w:sz w:val="22"/>
          <w:highlight w:val="none"/>
        </w:rPr>
        <w:t>收款户名：浙江乐诚工程咨询有限公司</w:t>
      </w:r>
    </w:p>
    <w:p w14:paraId="746AB33A">
      <w:pPr>
        <w:pageBreakBefore w:val="0"/>
        <w:kinsoku/>
        <w:wordWrap w:val="0"/>
        <w:topLinePunct w:val="0"/>
        <w:bidi w:val="0"/>
        <w:spacing w:line="360" w:lineRule="exact"/>
        <w:ind w:left="655" w:leftChars="312" w:firstLine="338" w:firstLineChars="154"/>
        <w:rPr>
          <w:rFonts w:hint="eastAsia" w:ascii="宋体" w:hAnsi="宋体" w:eastAsia="宋体" w:cs="宋体"/>
          <w:color w:val="auto"/>
          <w:sz w:val="22"/>
          <w:highlight w:val="none"/>
        </w:rPr>
      </w:pPr>
      <w:r>
        <w:rPr>
          <w:rFonts w:hint="eastAsia" w:ascii="宋体" w:hAnsi="宋体" w:eastAsia="宋体" w:cs="宋体"/>
          <w:color w:val="auto"/>
          <w:sz w:val="22"/>
          <w:highlight w:val="none"/>
        </w:rPr>
        <w:t>收款账号：76060122000323292</w:t>
      </w:r>
    </w:p>
    <w:p w14:paraId="7274DDAD">
      <w:pPr>
        <w:pageBreakBefore w:val="0"/>
        <w:kinsoku/>
        <w:wordWrap w:val="0"/>
        <w:topLinePunct w:val="0"/>
        <w:bidi w:val="0"/>
        <w:spacing w:line="360" w:lineRule="exact"/>
        <w:ind w:left="655" w:leftChars="312" w:firstLine="338" w:firstLineChars="154"/>
        <w:rPr>
          <w:rFonts w:hint="eastAsia" w:ascii="宋体" w:hAnsi="宋体" w:eastAsia="宋体" w:cs="宋体"/>
          <w:color w:val="auto"/>
          <w:sz w:val="22"/>
          <w:highlight w:val="none"/>
        </w:rPr>
      </w:pPr>
      <w:r>
        <w:rPr>
          <w:rFonts w:hint="eastAsia" w:ascii="宋体" w:hAnsi="宋体" w:eastAsia="宋体" w:cs="宋体"/>
          <w:color w:val="auto"/>
          <w:sz w:val="22"/>
          <w:highlight w:val="none"/>
        </w:rPr>
        <w:t>收款银行：宁波银行温州瓯海支行</w:t>
      </w:r>
    </w:p>
    <w:p w14:paraId="17B07BC0">
      <w:pPr>
        <w:pageBreakBefore w:val="0"/>
        <w:kinsoku/>
        <w:wordWrap w:val="0"/>
        <w:topLinePunct w:val="0"/>
        <w:bidi w:val="0"/>
        <w:spacing w:line="360" w:lineRule="exact"/>
        <w:ind w:left="655" w:leftChars="312" w:firstLine="338" w:firstLineChars="154"/>
        <w:rPr>
          <w:rFonts w:hint="eastAsia" w:ascii="宋体" w:hAnsi="宋体" w:eastAsia="宋体" w:cs="宋体"/>
          <w:color w:val="auto"/>
          <w:sz w:val="22"/>
          <w:highlight w:val="none"/>
        </w:rPr>
      </w:pPr>
      <w:r>
        <w:rPr>
          <w:rFonts w:hint="eastAsia" w:ascii="宋体" w:hAnsi="宋体" w:eastAsia="宋体" w:cs="宋体"/>
          <w:color w:val="auto"/>
          <w:sz w:val="22"/>
          <w:highlight w:val="none"/>
        </w:rPr>
        <w:t>收款行号：313333030036</w:t>
      </w:r>
    </w:p>
    <w:p w14:paraId="398CBCDB">
      <w:pPr>
        <w:pageBreakBefore w:val="0"/>
        <w:tabs>
          <w:tab w:val="left" w:pos="360"/>
        </w:tabs>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5.信用记录：</w:t>
      </w:r>
    </w:p>
    <w:p w14:paraId="617DA6AE">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根据财库[2016]125号《关于在政府采购活动中查询及使用信用记录有关问题的通知》要求，采购代理机构会对投标人信用记录进行查询并甄别。</w:t>
      </w:r>
    </w:p>
    <w:p w14:paraId="7C3CA7D5">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5.1.</w:t>
      </w:r>
      <w:r>
        <w:rPr>
          <w:rFonts w:hint="eastAsia" w:ascii="宋体" w:hAnsi="宋体" w:eastAsia="宋体" w:cs="宋体"/>
          <w:b/>
          <w:bCs/>
          <w:snapToGrid w:val="0"/>
          <w:color w:val="auto"/>
          <w:sz w:val="22"/>
          <w:highlight w:val="none"/>
        </w:rPr>
        <w:t>信用信息查询的截止时点为从本项目投标截止日往前追溯三年。</w:t>
      </w:r>
    </w:p>
    <w:p w14:paraId="0652AB21">
      <w:pPr>
        <w:pageBreakBefore w:val="0"/>
        <w:tabs>
          <w:tab w:val="left" w:pos="360"/>
        </w:tabs>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5.2.查询渠道：“信用中国（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https://www.creditchina.gov.cn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6"/>
          <w:sz w:val="22"/>
          <w:highlight w:val="none"/>
        </w:rPr>
        <w:t>http://www.ccgp.gov.cn</w:t>
      </w:r>
      <w:r>
        <w:rPr>
          <w:rFonts w:hint="eastAsia" w:ascii="宋体" w:hAnsi="宋体" w:eastAsia="宋体" w:cs="宋体"/>
          <w:b/>
          <w:bCs/>
          <w:color w:val="auto"/>
          <w:spacing w:val="6"/>
          <w:sz w:val="22"/>
          <w:highlight w:val="none"/>
        </w:rPr>
        <w:fldChar w:fldCharType="end"/>
      </w:r>
      <w:r>
        <w:rPr>
          <w:rFonts w:hint="eastAsia" w:ascii="宋体" w:hAnsi="宋体" w:eastAsia="宋体" w:cs="宋体"/>
          <w:b/>
          <w:bCs/>
          <w:color w:val="auto"/>
          <w:spacing w:val="6"/>
          <w:sz w:val="22"/>
          <w:highlight w:val="none"/>
        </w:rPr>
        <w:t>）”</w:t>
      </w:r>
      <w:r>
        <w:rPr>
          <w:rFonts w:hint="eastAsia" w:ascii="宋体" w:hAnsi="宋体" w:eastAsia="宋体" w:cs="宋体"/>
          <w:color w:val="auto"/>
          <w:sz w:val="22"/>
          <w:highlight w:val="none"/>
        </w:rPr>
        <w:t>。</w:t>
      </w:r>
    </w:p>
    <w:p w14:paraId="276390DC">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5.3.信用信息查询记录和证据留存具体方式：采购代理机构经办人或监督人员将查询网页打印与其他招标文件一并保存。</w:t>
      </w:r>
    </w:p>
    <w:p w14:paraId="6F07A8C3">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5.4.信用信息的使用规则：投标人存在不良信用记录的，其投标将被作为投标无效被拒绝。</w:t>
      </w:r>
    </w:p>
    <w:p w14:paraId="7EB9E4EA">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不良信用记录指：被列入失信被执行人、重大税收违法案件当事人名单、政府采购严重违法失信行为记录名单。</w:t>
      </w:r>
    </w:p>
    <w:p w14:paraId="7154DF6E">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联合体信用信息查询：联合体以一个投标人的身份共同参加</w:t>
      </w:r>
      <w:r>
        <w:rPr>
          <w:rFonts w:hint="eastAsia" w:ascii="宋体" w:hAnsi="宋体" w:eastAsia="宋体" w:cs="宋体"/>
          <w:b/>
          <w:bCs/>
          <w:color w:val="auto"/>
          <w:spacing w:val="6"/>
          <w:sz w:val="22"/>
          <w:highlight w:val="none"/>
          <w:lang w:eastAsia="zh-CN"/>
        </w:rPr>
        <w:t>采购</w:t>
      </w:r>
      <w:r>
        <w:rPr>
          <w:rFonts w:hint="eastAsia" w:ascii="宋体" w:hAnsi="宋体" w:eastAsia="宋体" w:cs="宋体"/>
          <w:b/>
          <w:bCs/>
          <w:color w:val="auto"/>
          <w:spacing w:val="6"/>
          <w:sz w:val="22"/>
          <w:highlight w:val="none"/>
        </w:rPr>
        <w:t>活动的，应当对所有联合体成员进行信用记录查询，联合体成员存在不良信用记录的，视同联合体存在不良信用记录。</w:t>
      </w:r>
    </w:p>
    <w:p w14:paraId="3C9AB274">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6.特别说明：</w:t>
      </w:r>
    </w:p>
    <w:p w14:paraId="16B5F732">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6.1投标人应仔细阅读招标文件的所有内容，按照招标文件的要求提交投标文件，并对所提供的全部资料的真实性承担法律责任。</w:t>
      </w:r>
    </w:p>
    <w:p w14:paraId="16939811">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14:paraId="47EB313F">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非单一产品采购项目，采购人应当根据采购项目技术构成、产品价格比重等合理确定核心产品，并在招标文件中载明。多家投标人提供的核心产品品牌相同的，按前两款规定处理。</w:t>
      </w:r>
    </w:p>
    <w:p w14:paraId="7CB69119">
      <w:pPr>
        <w:pageBreakBefore w:val="0"/>
        <w:kinsoku/>
        <w:wordWrap w:val="0"/>
        <w:topLinePunct w:val="0"/>
        <w:bidi w:val="0"/>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6.3单位负责人为同一人或者存在直接控股、管理关系的不同投标人，不得参加同一合同项下的</w:t>
      </w:r>
      <w:r>
        <w:rPr>
          <w:rFonts w:hint="eastAsia" w:ascii="宋体" w:hAnsi="宋体" w:eastAsia="宋体" w:cs="宋体"/>
          <w:b/>
          <w:bCs/>
          <w:color w:val="auto"/>
          <w:spacing w:val="6"/>
          <w:sz w:val="22"/>
          <w:highlight w:val="none"/>
          <w:lang w:eastAsia="zh-CN"/>
        </w:rPr>
        <w:t>采购</w:t>
      </w:r>
      <w:r>
        <w:rPr>
          <w:rFonts w:hint="eastAsia" w:ascii="宋体" w:hAnsi="宋体" w:eastAsia="宋体" w:cs="宋体"/>
          <w:b/>
          <w:bCs/>
          <w:color w:val="auto"/>
          <w:spacing w:val="6"/>
          <w:sz w:val="22"/>
          <w:highlight w:val="none"/>
        </w:rPr>
        <w:t>活动。为采购项目提供整体设计、规范编制或者项目管理、监理、检测等服务的投标人，不得再参加该采购项目的其他采购活动。</w:t>
      </w:r>
    </w:p>
    <w:p w14:paraId="200039B8">
      <w:pPr>
        <w:spacing w:line="360" w:lineRule="exact"/>
        <w:ind w:firstLine="466"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6.4招标文件中所涉及的产品品牌或型号均为建议性要求或代替部分技术指标描述，投标人可以选择其他品牌型号的产品参加投标但投标产品须具有相当于或优于采购文件要求的指标、性能。否则，评审小组将对其作出不利的评审。</w:t>
      </w:r>
    </w:p>
    <w:p w14:paraId="29252408">
      <w:pPr>
        <w:spacing w:line="360" w:lineRule="exact"/>
        <w:ind w:firstLine="466" w:firstLineChars="200"/>
        <w:rPr>
          <w:rFonts w:hint="eastAsia" w:ascii="宋体" w:hAnsi="宋体" w:eastAsia="宋体" w:cs="宋体"/>
          <w:b/>
          <w:color w:val="auto"/>
          <w:spacing w:val="-6"/>
          <w:kern w:val="0"/>
          <w:sz w:val="22"/>
          <w:highlight w:val="none"/>
        </w:rPr>
      </w:pPr>
      <w:r>
        <w:rPr>
          <w:rFonts w:hint="eastAsia" w:ascii="宋体" w:hAnsi="宋体" w:eastAsia="宋体" w:cs="宋体"/>
          <w:b/>
          <w:bCs/>
          <w:color w:val="auto"/>
          <w:spacing w:val="6"/>
          <w:sz w:val="22"/>
          <w:highlight w:val="none"/>
        </w:rPr>
        <w:t>6.</w:t>
      </w:r>
      <w:r>
        <w:rPr>
          <w:rFonts w:hint="eastAsia" w:ascii="宋体" w:hAnsi="宋体" w:eastAsia="宋体" w:cs="宋体"/>
          <w:b/>
          <w:bCs/>
          <w:color w:val="auto"/>
          <w:spacing w:val="6"/>
          <w:sz w:val="22"/>
          <w:highlight w:val="none"/>
          <w:lang w:val="en-US" w:eastAsia="zh-CN"/>
        </w:rPr>
        <w:t>5</w:t>
      </w:r>
      <w:r>
        <w:rPr>
          <w:rFonts w:hint="eastAsia" w:ascii="宋体" w:hAnsi="宋体" w:eastAsia="宋体" w:cs="宋体"/>
          <w:b/>
          <w:bCs/>
          <w:color w:val="auto"/>
          <w:spacing w:val="6"/>
          <w:sz w:val="22"/>
          <w:highlight w:val="none"/>
        </w:rPr>
        <w:t>招标文件中如有描述歧义或前后不一致的地方，评审小组有权按公平、合理的原则进行评判，但对同一条款的评判适用于每个投标人。</w:t>
      </w:r>
    </w:p>
    <w:p w14:paraId="171E5BED">
      <w:pPr>
        <w:pageBreakBefore w:val="0"/>
        <w:kinsoku/>
        <w:wordWrap w:val="0"/>
        <w:topLinePunct w:val="0"/>
        <w:bidi w:val="0"/>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7.采购项目需要落实的</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政策</w:t>
      </w:r>
    </w:p>
    <w:p w14:paraId="50F5C1BC">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7.1 支持绿色发展</w:t>
      </w:r>
    </w:p>
    <w:p w14:paraId="77109145">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为助力打好污染防治攻坚战，推广使用绿色包装，</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货物、工程和服务项目中涉及商品包装和快递包装的，投标人提供产品及相关快递服务的具体包装要求要参考《商品包装政府采购需求标准（试行）》、《快递包装政府采购需求标准（试行）》。</w:t>
      </w:r>
    </w:p>
    <w:p w14:paraId="391619D0">
      <w:pPr>
        <w:pageBreakBefore w:val="0"/>
        <w:kinsoku/>
        <w:wordWrap w:val="0"/>
        <w:topLinePunct w:val="0"/>
        <w:bidi w:val="0"/>
        <w:snapToGrid w:val="0"/>
        <w:spacing w:line="360" w:lineRule="exact"/>
        <w:ind w:firstLine="442" w:firstLineChars="201"/>
        <w:rPr>
          <w:rFonts w:hint="eastAsia" w:ascii="宋体" w:hAnsi="宋体" w:eastAsia="宋体" w:cs="宋体"/>
          <w:color w:val="auto"/>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 xml:space="preserve"> 鼓励投标人在参加</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过程中开展绿色设计、选择绿色材料、打造绿色制造工艺、开展绿色运输、做好废弃产品回收处理，实现产品全周期的绿色环保。</w:t>
      </w:r>
    </w:p>
    <w:p w14:paraId="571CC8F7">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支持中小企业发展</w:t>
      </w:r>
    </w:p>
    <w:p w14:paraId="6D1AA818">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05689172">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符合中小企业划分标准的个体工商户，在</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活动中视同中小企业。</w:t>
      </w:r>
    </w:p>
    <w:p w14:paraId="16BFDDF7">
      <w:pPr>
        <w:pageBreakBefore w:val="0"/>
        <w:widowControl/>
        <w:kinsoku/>
        <w:wordWrap w:val="0"/>
        <w:topLinePunct w:val="0"/>
        <w:bidi w:val="0"/>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bCs/>
          <w:color w:val="auto"/>
          <w:sz w:val="22"/>
          <w:highlight w:val="none"/>
        </w:rPr>
        <w:t>7.</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rPr>
        <w:t>.2</w:t>
      </w:r>
      <w:r>
        <w:rPr>
          <w:rFonts w:hint="eastAsia" w:ascii="宋体" w:hAnsi="宋体" w:eastAsia="宋体" w:cs="宋体"/>
          <w:color w:val="auto"/>
          <w:kern w:val="0"/>
          <w:sz w:val="22"/>
          <w:highlight w:val="none"/>
        </w:rPr>
        <w:t>在</w:t>
      </w:r>
      <w:r>
        <w:rPr>
          <w:rFonts w:hint="eastAsia" w:ascii="宋体" w:hAnsi="宋体" w:eastAsia="宋体" w:cs="宋体"/>
          <w:color w:val="auto"/>
          <w:kern w:val="0"/>
          <w:sz w:val="22"/>
          <w:highlight w:val="none"/>
          <w:lang w:eastAsia="zh-CN"/>
        </w:rPr>
        <w:t>采购</w:t>
      </w:r>
      <w:r>
        <w:rPr>
          <w:rFonts w:hint="eastAsia" w:ascii="宋体" w:hAnsi="宋体" w:eastAsia="宋体" w:cs="宋体"/>
          <w:color w:val="auto"/>
          <w:kern w:val="0"/>
          <w:sz w:val="22"/>
          <w:highlight w:val="none"/>
        </w:rPr>
        <w:t>活动中，投标人提供的货物、工程或者服务符合下列情形的，享受中小企业扶持政策：</w:t>
      </w:r>
    </w:p>
    <w:p w14:paraId="5A9F7C54">
      <w:pPr>
        <w:pageBreakBefore w:val="0"/>
        <w:widowControl/>
        <w:kinsoku/>
        <w:wordWrap w:val="0"/>
        <w:topLinePunct w:val="0"/>
        <w:bidi w:val="0"/>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.2.1在货物采购项目中，货物由中小企业制造，即货物由中小企业生产且使用该中小企业商号或者注册商标；</w:t>
      </w:r>
    </w:p>
    <w:p w14:paraId="494D933E">
      <w:pPr>
        <w:pageBreakBefore w:val="0"/>
        <w:widowControl/>
        <w:kinsoku/>
        <w:wordWrap w:val="0"/>
        <w:topLinePunct w:val="0"/>
        <w:bidi w:val="0"/>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.2.2在工程采购项目中，工程由中小企业承建，即工程施工单位为中小企业；</w:t>
      </w:r>
    </w:p>
    <w:p w14:paraId="7C8690F3">
      <w:pPr>
        <w:pageBreakBefore w:val="0"/>
        <w:widowControl/>
        <w:kinsoku/>
        <w:wordWrap w:val="0"/>
        <w:topLinePunct w:val="0"/>
        <w:bidi w:val="0"/>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7.</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.2.3在服务采购项目中，服务由中小企业承接，即提供服务的人员为中小企业依照《中华人民共和国劳动合同法》订立劳动合同的从业人员。</w:t>
      </w:r>
    </w:p>
    <w:p w14:paraId="4028F191">
      <w:pPr>
        <w:pageBreakBefore w:val="0"/>
        <w:widowControl/>
        <w:kinsoku/>
        <w:wordWrap w:val="0"/>
        <w:topLinePunct w:val="0"/>
        <w:bidi w:val="0"/>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在货物采购项目中，投标人提供的货物既有中小企业制造货物，也有大型企业制造货物的，不享受中小企业扶持政策。</w:t>
      </w:r>
    </w:p>
    <w:p w14:paraId="6C453729">
      <w:pPr>
        <w:pageBreakBefore w:val="0"/>
        <w:widowControl/>
        <w:kinsoku/>
        <w:wordWrap w:val="0"/>
        <w:topLinePunct w:val="0"/>
        <w:bidi w:val="0"/>
        <w:snapToGrid w:val="0"/>
        <w:spacing w:line="360" w:lineRule="exact"/>
        <w:ind w:firstLine="442" w:firstLineChars="201"/>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以联合体形式参加</w:t>
      </w:r>
      <w:r>
        <w:rPr>
          <w:rFonts w:hint="eastAsia" w:ascii="宋体" w:hAnsi="宋体" w:eastAsia="宋体" w:cs="宋体"/>
          <w:color w:val="auto"/>
          <w:kern w:val="0"/>
          <w:sz w:val="22"/>
          <w:highlight w:val="none"/>
          <w:lang w:eastAsia="zh-CN"/>
        </w:rPr>
        <w:t>采购</w:t>
      </w:r>
      <w:r>
        <w:rPr>
          <w:rFonts w:hint="eastAsia" w:ascii="宋体" w:hAnsi="宋体" w:eastAsia="宋体" w:cs="宋体"/>
          <w:color w:val="auto"/>
          <w:kern w:val="0"/>
          <w:sz w:val="22"/>
          <w:highlight w:val="none"/>
        </w:rPr>
        <w:t>活动，联合体各方均为中小企业的，联合体视同中小企业。其中，联合体各方均为小微企业的，联合体视同小微企业。</w:t>
      </w:r>
    </w:p>
    <w:p w14:paraId="7AFABA5E">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.3</w:t>
      </w:r>
      <w:r>
        <w:rPr>
          <w:rFonts w:hint="eastAsia" w:ascii="宋体" w:hAnsi="宋体" w:eastAsia="宋体" w:cs="宋体"/>
          <w:b/>
          <w:bCs/>
          <w:color w:val="auto"/>
          <w:sz w:val="22"/>
          <w:highlight w:val="none"/>
        </w:rPr>
        <w:t>对于未预留份额专门面向中小企业的</w:t>
      </w:r>
      <w:r>
        <w:rPr>
          <w:rFonts w:hint="eastAsia" w:ascii="宋体" w:hAnsi="宋体" w:eastAsia="宋体" w:cs="宋体"/>
          <w:b/>
          <w:bCs/>
          <w:color w:val="auto"/>
          <w:sz w:val="22"/>
          <w:highlight w:val="none"/>
          <w:lang w:eastAsia="zh-CN"/>
        </w:rPr>
        <w:t>采购</w:t>
      </w:r>
      <w:r>
        <w:rPr>
          <w:rFonts w:hint="eastAsia" w:ascii="宋体" w:hAnsi="宋体" w:eastAsia="宋体" w:cs="宋体"/>
          <w:b/>
          <w:bCs/>
          <w:color w:val="auto"/>
          <w:sz w:val="22"/>
          <w:highlight w:val="none"/>
        </w:rPr>
        <w:t>货物或服务项目，以及预留份额</w:t>
      </w:r>
      <w:r>
        <w:rPr>
          <w:rFonts w:hint="eastAsia" w:ascii="宋体" w:hAnsi="宋体" w:eastAsia="宋体" w:cs="宋体"/>
          <w:b/>
          <w:bCs/>
          <w:color w:val="auto"/>
          <w:sz w:val="22"/>
          <w:highlight w:val="none"/>
          <w:lang w:eastAsia="zh-CN"/>
        </w:rPr>
        <w:t>采购</w:t>
      </w:r>
      <w:r>
        <w:rPr>
          <w:rFonts w:hint="eastAsia" w:ascii="宋体" w:hAnsi="宋体" w:eastAsia="宋体" w:cs="宋体"/>
          <w:b/>
          <w:bCs/>
          <w:color w:val="auto"/>
          <w:sz w:val="22"/>
          <w:highlight w:val="none"/>
        </w:rPr>
        <w:t>货物或服务项目中的非预留部分标项，对小型和微型企业的投标报价给予10%的扣除，用扣除后的价格参与评审。接受大中型企业与小微企业组成联合体或者允许大中型企业向一家或者多家小微企业分包的</w:t>
      </w:r>
      <w:r>
        <w:rPr>
          <w:rFonts w:hint="eastAsia" w:ascii="宋体" w:hAnsi="宋体" w:eastAsia="宋体" w:cs="宋体"/>
          <w:b/>
          <w:bCs/>
          <w:color w:val="auto"/>
          <w:sz w:val="22"/>
          <w:highlight w:val="none"/>
          <w:lang w:eastAsia="zh-CN"/>
        </w:rPr>
        <w:t>采购</w:t>
      </w:r>
      <w:r>
        <w:rPr>
          <w:rFonts w:hint="eastAsia" w:ascii="宋体" w:hAnsi="宋体" w:eastAsia="宋体" w:cs="宋体"/>
          <w:b/>
          <w:bCs/>
          <w:color w:val="auto"/>
          <w:sz w:val="22"/>
          <w:highlight w:val="none"/>
        </w:rPr>
        <w:t>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7DB6FEA">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.4符合《关于促进残疾人就业政府采购政策的通知》（财库〔2017〕141号）规定的条件并提供《残疾人福利性单位声明函》（附件）的残疾人福利性单位视同小型、微型企业；</w:t>
      </w:r>
    </w:p>
    <w:p w14:paraId="0B2D85E7">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5符合《关于政府采购支持监狱企业发展有关问题的通知》（财库[2014]68号）规定的监狱企业并提供由省级以上监狱管理局、戒毒管理局（含新疆生产建设兵团）出具的属于监狱企业证明文件的，视同为小型、微型企业。</w:t>
      </w:r>
    </w:p>
    <w:p w14:paraId="665C42CF">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DC8019C">
      <w:pPr>
        <w:pageBreakBefore w:val="0"/>
        <w:kinsoku/>
        <w:wordWrap w:val="0"/>
        <w:topLinePunct w:val="0"/>
        <w:bidi w:val="0"/>
        <w:snapToGrid w:val="0"/>
        <w:spacing w:line="360" w:lineRule="exact"/>
        <w:ind w:firstLine="444" w:firstLineChars="201"/>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对于专门面向中小企业的项目，《中小企业声明函》属于资格审查内容，如投标人提交的《中小企业声明函》存在以下情形，采购人或代理机构可以根据项目资格审查阶段和错误性质，区分处理：</w:t>
      </w:r>
    </w:p>
    <w:p w14:paraId="67187A14">
      <w:pPr>
        <w:pageBreakBefore w:val="0"/>
        <w:kinsoku/>
        <w:wordWrap w:val="0"/>
        <w:topLinePunct w:val="0"/>
        <w:bidi w:val="0"/>
        <w:snapToGrid w:val="0"/>
        <w:spacing w:line="360" w:lineRule="exact"/>
        <w:ind w:firstLine="444" w:firstLineChars="201"/>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lang w:val="en-US" w:eastAsia="zh-CN"/>
        </w:rPr>
        <w:t>1</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属于“含义不明确、同类问题表述不一致或明显文字/计算错误”的情形（如单位填写错误、行业名称笔误、数据小数点错位等），采购人或代理机构可以以书面形式要求投标人作出澄清、说明或补正。澄清内容不得超出原投标文件范围或改变实质性内容，且须加盖公章或由法定代表人（或授权代表）签字。</w:t>
      </w:r>
    </w:p>
    <w:p w14:paraId="7B66B5CA">
      <w:pPr>
        <w:pageBreakBefore w:val="0"/>
        <w:kinsoku/>
        <w:wordWrap w:val="0"/>
        <w:topLinePunct w:val="0"/>
        <w:bidi w:val="0"/>
        <w:snapToGrid w:val="0"/>
        <w:spacing w:line="360" w:lineRule="exact"/>
        <w:ind w:firstLine="444" w:firstLineChars="201"/>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lang w:val="en-US" w:eastAsia="zh-CN"/>
        </w:rPr>
        <w:t>2</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属于“未按格式填写、关键信息缺失、内容与实际情况明显不符且无法通过澄清补正”的情形（如漏填标的名称、漏填所属行业、未填写服务商信息、漏填企业类型、使用已废止格式等），该《中小企业声明函》应认定为无效，资格审查不通过。</w:t>
      </w:r>
    </w:p>
    <w:p w14:paraId="6CEE9032">
      <w:pPr>
        <w:pageBreakBefore w:val="0"/>
        <w:kinsoku/>
        <w:wordWrap w:val="0"/>
        <w:topLinePunct w:val="0"/>
        <w:bidi w:val="0"/>
        <w:snapToGrid w:val="0"/>
        <w:spacing w:line="360" w:lineRule="exact"/>
        <w:ind w:firstLine="444" w:firstLineChars="201"/>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lang w:val="en-US" w:eastAsia="zh-CN"/>
        </w:rPr>
        <w:t>3</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rPr>
        <w:t>如澄清后内容符合《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"https://law.ycait.com/detail?id=1677" \t "https://chat.ycait.com/_blank"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2"/>
          <w:highlight w:val="none"/>
        </w:rPr>
        <w:t>政府采购促进中小企业发展管理办法</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》（财库〔2020〕46号）</w:t>
      </w: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HYPERLINK "https://law.ycait.com/detail?id=1677&amp;searchTitle=%E7%AC%AC%E5%8D%81%E4%B8%80%E6%9D%A1" \t "https://chat.ycait.com/_blank"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第十一条</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及相关划型标准规定，则声明函有效，资格审查通过；如澄清后仍不符合规定，则声明函无效，资格审查不通过。如果投标人代表拒绝澄清、说明或者补正，或者拒绝加盖公章或由法定代表人（或授权代表）签字的声明函无效，资格审查不通过。</w:t>
      </w:r>
    </w:p>
    <w:p w14:paraId="68212EE7">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.7中小企业享受扶持政策获得</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合同的，小微企业不得将合同分包给大中型企业，中型企业不得将合同分包给大型企业。</w:t>
      </w:r>
    </w:p>
    <w:p w14:paraId="1A4B8732">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3</w:t>
      </w:r>
      <w:r>
        <w:rPr>
          <w:rFonts w:hint="eastAsia" w:ascii="宋体" w:hAnsi="宋体" w:eastAsia="宋体" w:cs="宋体"/>
          <w:bCs/>
          <w:color w:val="auto"/>
          <w:sz w:val="22"/>
          <w:highlight w:val="none"/>
        </w:rPr>
        <w:t>支持创新发展</w:t>
      </w:r>
    </w:p>
    <w:p w14:paraId="3D1B14C2">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.1采购人优先采购被认定为首台套产品和“制造精品”的自主创新产品。</w:t>
      </w:r>
    </w:p>
    <w:p w14:paraId="2865BF65">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.2贯彻落实对首台套产品、符合条件的制造精品的政府首购制度。优先推荐专精特新中小企业、创新产品参加</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活动。对省级以上主管部门认定的首台套产品，自纳入《省推广应用指导目录》起三年内参加</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活动，视同已具备相应销售业绩，业绩分为满分。</w:t>
      </w:r>
    </w:p>
    <w:p w14:paraId="33A6A066">
      <w:pPr>
        <w:pageBreakBefore w:val="0"/>
        <w:kinsoku/>
        <w:wordWrap w:val="0"/>
        <w:topLinePunct w:val="0"/>
        <w:bidi w:val="0"/>
        <w:snapToGrid w:val="0"/>
        <w:spacing w:line="360" w:lineRule="exact"/>
        <w:ind w:firstLine="442" w:firstLineChars="201"/>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平等对待内外资企业和符合条件的破产重整企业</w:t>
      </w:r>
    </w:p>
    <w:p w14:paraId="3A7CBAB8">
      <w:pPr>
        <w:pageBreakBefore w:val="0"/>
        <w:kinsoku/>
        <w:wordWrap w:val="0"/>
        <w:topLinePunct w:val="0"/>
        <w:bidi w:val="0"/>
        <w:snapToGrid w:val="0"/>
        <w:spacing w:line="360" w:lineRule="exact"/>
        <w:ind w:firstLine="442" w:firstLineChars="201"/>
        <w:rPr>
          <w:rFonts w:hint="eastAsia" w:ascii="宋体" w:hAnsi="宋体" w:eastAsia="宋体" w:cs="宋体"/>
          <w:color w:val="auto"/>
          <w:highlight w:val="none"/>
        </w:rPr>
      </w:pPr>
      <w:r>
        <w:rPr>
          <w:rFonts w:hint="eastAsia" w:ascii="宋体" w:hAnsi="宋体" w:eastAsia="宋体" w:cs="宋体"/>
          <w:color w:val="auto"/>
          <w:sz w:val="22"/>
          <w:highlight w:val="none"/>
        </w:rPr>
        <w:t>平等对待内外资企业和符合条件的破产重整企业，切实保障企业公平竞争，平等维护企业的合法利益。</w:t>
      </w:r>
    </w:p>
    <w:p w14:paraId="69DAD1FE">
      <w:pPr>
        <w:pStyle w:val="26"/>
        <w:pageBreakBefore w:val="0"/>
        <w:kinsoku/>
        <w:wordWrap w:val="0"/>
        <w:topLinePunct w:val="0"/>
        <w:bidi w:val="0"/>
        <w:ind w:left="0" w:leftChars="0"/>
        <w:rPr>
          <w:rFonts w:hint="eastAsia" w:ascii="宋体" w:hAnsi="宋体" w:eastAsia="宋体" w:cs="宋体"/>
          <w:color w:val="auto"/>
          <w:highlight w:val="none"/>
        </w:rPr>
      </w:pPr>
    </w:p>
    <w:p w14:paraId="7283C98D">
      <w:pPr>
        <w:pageBreakBefore w:val="0"/>
        <w:kinsoku/>
        <w:wordWrap w:val="0"/>
        <w:topLinePunct w:val="0"/>
        <w:bidi w:val="0"/>
        <w:spacing w:line="400" w:lineRule="exact"/>
        <w:ind w:firstLine="522" w:firstLineChars="200"/>
        <w:jc w:val="center"/>
        <w:outlineLvl w:val="1"/>
        <w:rPr>
          <w:rFonts w:hint="eastAsia" w:ascii="宋体" w:hAnsi="宋体" w:eastAsia="宋体" w:cs="宋体"/>
          <w:b/>
          <w:color w:val="auto"/>
          <w:sz w:val="26"/>
          <w:highlight w:val="none"/>
        </w:rPr>
      </w:pPr>
      <w:bookmarkStart w:id="5" w:name="_Toc15689"/>
      <w:r>
        <w:rPr>
          <w:rFonts w:hint="eastAsia" w:ascii="宋体" w:hAnsi="宋体" w:eastAsia="宋体" w:cs="宋体"/>
          <w:b/>
          <w:color w:val="auto"/>
          <w:sz w:val="26"/>
          <w:highlight w:val="none"/>
        </w:rPr>
        <w:t>二、招标文件</w:t>
      </w:r>
      <w:bookmarkEnd w:id="5"/>
    </w:p>
    <w:p w14:paraId="1840B138">
      <w:pPr>
        <w:pageBreakBefore w:val="0"/>
        <w:kinsoku/>
        <w:wordWrap w:val="0"/>
        <w:topLinePunct w:val="0"/>
        <w:bidi w:val="0"/>
        <w:spacing w:line="360" w:lineRule="exact"/>
        <w:ind w:firstLine="440" w:firstLineChars="2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1.招标文件由招标文件目录所列内容及相关资料组成。</w:t>
      </w:r>
    </w:p>
    <w:p w14:paraId="5062667C">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2. 询问、质疑、投诉</w:t>
      </w:r>
    </w:p>
    <w:p w14:paraId="6B8B492E">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.1供应商询问</w:t>
      </w:r>
    </w:p>
    <w:p w14:paraId="6B6A8F90">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lang w:val="zh-CN"/>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388A8F3">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.2供应商质疑</w:t>
      </w:r>
    </w:p>
    <w:p w14:paraId="7C68923C">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w:t>
      </w:r>
      <w:r>
        <w:rPr>
          <w:rStyle w:val="35"/>
          <w:rFonts w:hint="eastAsia" w:ascii="宋体" w:hAnsi="宋体" w:eastAsia="宋体" w:cs="宋体"/>
          <w:b w:val="0"/>
          <w:bCs/>
          <w:color w:val="auto"/>
          <w:sz w:val="22"/>
          <w:highlight w:val="none"/>
        </w:rPr>
        <w:t>.1提出质疑的供应商应当是参与所质疑项目采购活动的供应商。潜在供应商已依法获取其可质疑的招标文件的，可以对该招标文件提出质疑。</w:t>
      </w:r>
    </w:p>
    <w:p w14:paraId="43FA1E4E">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项目设立、项目预算、采购方式、组织形式、进口产品核准、采购需求调查过程、专门面向中小企业采购、合同履约等不属于可质疑事项。</w:t>
      </w:r>
    </w:p>
    <w:p w14:paraId="3C2651F2">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w:t>
      </w:r>
      <w:r>
        <w:rPr>
          <w:rStyle w:val="35"/>
          <w:rFonts w:hint="eastAsia" w:ascii="宋体" w:hAnsi="宋体" w:eastAsia="宋体" w:cs="宋体"/>
          <w:b w:val="0"/>
          <w:bCs/>
          <w:color w:val="auto"/>
          <w:sz w:val="22"/>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28B8D78">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2.2.2.1质疑提交形式：以书面形式向招标公告中载明的质疑联系人提交或登录</w:t>
      </w:r>
      <w:r>
        <w:rPr>
          <w:rStyle w:val="35"/>
          <w:rFonts w:hint="eastAsia" w:ascii="宋体" w:hAnsi="宋体" w:eastAsia="宋体" w:cs="宋体"/>
          <w:b w:val="0"/>
          <w:bCs/>
          <w:color w:val="auto"/>
          <w:sz w:val="22"/>
          <w:highlight w:val="none"/>
          <w:lang w:eastAsia="zh-CN"/>
        </w:rPr>
        <w:t>乐采云</w:t>
      </w:r>
      <w:r>
        <w:rPr>
          <w:rStyle w:val="35"/>
          <w:rFonts w:hint="eastAsia" w:ascii="宋体" w:hAnsi="宋体" w:eastAsia="宋体" w:cs="宋体"/>
          <w:b w:val="0"/>
          <w:bCs/>
          <w:color w:val="auto"/>
          <w:sz w:val="22"/>
          <w:highlight w:val="none"/>
        </w:rPr>
        <w:t>平台向采购机构内设的质疑联系人提交并上传书面质疑材料。</w:t>
      </w:r>
    </w:p>
    <w:p w14:paraId="67092902">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2.2.2.2供应商知道或者应知其权益受到损害之日，是指：</w:t>
      </w:r>
    </w:p>
    <w:p w14:paraId="770C7E42">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（1）对可以质疑的采购文件提出质疑的，为获取采购文件之日；获取采购文件时采购公告期限已届满的，为采购公告期限届满之日；</w:t>
      </w:r>
    </w:p>
    <w:p w14:paraId="6FC0B328">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（2）对采购过程中开标、资格审查、符合性审查和评审等环节提出质疑的，为各采购程序环节结束之日；</w:t>
      </w:r>
    </w:p>
    <w:p w14:paraId="1AAB6106">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（3）对中标或者成交结果提出质疑的，为中标或者成交结果公告期限届满之日；</w:t>
      </w:r>
    </w:p>
    <w:p w14:paraId="6EC47238">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（4）采购文件、采购过程、中标或者成交结果发生澄清、修改、更正的，对经澄清、修改、更正的部分内容提出质疑的，为通知送达供应商之日或者澄清公告、更正公告发布之日。</w:t>
      </w:r>
    </w:p>
    <w:p w14:paraId="64ED8376">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.2.3</w:t>
      </w:r>
      <w:r>
        <w:rPr>
          <w:rStyle w:val="35"/>
          <w:rFonts w:hint="eastAsia" w:ascii="宋体" w:hAnsi="宋体" w:eastAsia="宋体" w:cs="宋体"/>
          <w:b w:val="0"/>
          <w:bCs/>
          <w:color w:val="auto"/>
          <w:sz w:val="22"/>
          <w:highlight w:val="none"/>
        </w:rPr>
        <w:t>供应商提出质疑应当提交质疑函和必要的证明材料。质疑函应当包括下列内容：</w:t>
      </w:r>
    </w:p>
    <w:p w14:paraId="719FEEBC">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.2.3.1供应商的姓名或者名称、地址、邮编、联系人及联系电话；</w:t>
      </w:r>
    </w:p>
    <w:p w14:paraId="3D24BE17">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.2.3.2质疑项目的名称、编号；</w:t>
      </w:r>
    </w:p>
    <w:p w14:paraId="727A41A4">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.2.3.3具体、明确的质疑事项和与质疑事项相关的请求</w:t>
      </w:r>
      <w:r>
        <w:rPr>
          <w:rStyle w:val="35"/>
          <w:rFonts w:hint="eastAsia" w:ascii="宋体" w:hAnsi="宋体" w:eastAsia="宋体" w:cs="宋体"/>
          <w:b w:val="0"/>
          <w:bCs/>
          <w:color w:val="auto"/>
          <w:sz w:val="22"/>
          <w:highlight w:val="none"/>
        </w:rPr>
        <w:t>和必要的证明材料</w:t>
      </w:r>
      <w:r>
        <w:rPr>
          <w:rStyle w:val="35"/>
          <w:rFonts w:hint="eastAsia" w:ascii="宋体" w:hAnsi="宋体" w:eastAsia="宋体" w:cs="宋体"/>
          <w:b w:val="0"/>
          <w:bCs/>
          <w:color w:val="auto"/>
          <w:sz w:val="22"/>
          <w:highlight w:val="none"/>
          <w:lang w:val="zh-CN"/>
        </w:rPr>
        <w:t>；</w:t>
      </w:r>
    </w:p>
    <w:p w14:paraId="0A469333">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.2.3.4事实依据；</w:t>
      </w:r>
    </w:p>
    <w:p w14:paraId="39B79139">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.2.3.5必要的法律依据；</w:t>
      </w:r>
    </w:p>
    <w:p w14:paraId="5898B98C">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.2.3.6提出质疑的日期。</w:t>
      </w:r>
    </w:p>
    <w:p w14:paraId="2FDA5C35">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供应商为自然人的，应当由本人签字；供应商为法人或者其他组织的，应当由法定代表人、主要负责人，或者其授权代表签字或者盖章（授权代表签字或者盖章的提供合法有效的授权委托书），并加盖公章。</w:t>
      </w:r>
    </w:p>
    <w:p w14:paraId="1B512E5C">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对同一采购程序环节的质疑，供应商在法定质疑期内一次性提出。</w:t>
      </w:r>
    </w:p>
    <w:p w14:paraId="0F38C5E3">
      <w:pPr>
        <w:spacing w:line="360" w:lineRule="exact"/>
        <w:ind w:firstLine="440" w:firstLineChars="200"/>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.2.4</w:t>
      </w:r>
      <w:r>
        <w:rPr>
          <w:rStyle w:val="35"/>
          <w:rFonts w:hint="eastAsia" w:ascii="宋体" w:hAnsi="宋体" w:eastAsia="宋体" w:cs="宋体"/>
          <w:b w:val="0"/>
          <w:bCs/>
          <w:color w:val="auto"/>
          <w:sz w:val="22"/>
          <w:highlight w:val="none"/>
        </w:rPr>
        <w:t>供应商有下列情形之一的，质疑事项不予处理，由采购人、采购代理机构收到质疑函后七个工作日内书面通知质疑供应商：</w:t>
      </w:r>
    </w:p>
    <w:p w14:paraId="6B038EB1">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潜在供应商未提供依法获取采购文件证据材料，对采购文件提出质疑的；</w:t>
      </w:r>
    </w:p>
    <w:p w14:paraId="26BD6F94">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供应商未按采购人、采购代理机构要求提供项目设置的特定资格条件证明材料，对特定资格条件以外的采购文件内容提出质疑的；</w:t>
      </w:r>
    </w:p>
    <w:p w14:paraId="1235C374">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未提交投标</w:t>
      </w:r>
      <w:r>
        <w:rPr>
          <w:rStyle w:val="35"/>
          <w:rFonts w:hint="eastAsia" w:ascii="宋体" w:hAnsi="宋体" w:eastAsia="宋体" w:cs="宋体"/>
          <w:b w:val="0"/>
          <w:bCs/>
          <w:color w:val="auto"/>
          <w:sz w:val="22"/>
          <w:highlight w:val="none"/>
          <w:lang w:eastAsia="zh"/>
        </w:rPr>
        <w:t>（</w:t>
      </w:r>
      <w:r>
        <w:rPr>
          <w:rStyle w:val="35"/>
          <w:rFonts w:hint="eastAsia" w:ascii="宋体" w:hAnsi="宋体" w:eastAsia="宋体" w:cs="宋体"/>
          <w:b w:val="0"/>
          <w:bCs/>
          <w:color w:val="auto"/>
          <w:sz w:val="22"/>
          <w:highlight w:val="none"/>
        </w:rPr>
        <w:t>响应</w:t>
      </w:r>
      <w:r>
        <w:rPr>
          <w:rStyle w:val="35"/>
          <w:rFonts w:hint="eastAsia" w:ascii="宋体" w:hAnsi="宋体" w:eastAsia="宋体" w:cs="宋体"/>
          <w:b w:val="0"/>
          <w:bCs/>
          <w:color w:val="auto"/>
          <w:sz w:val="22"/>
          <w:highlight w:val="none"/>
          <w:lang w:eastAsia="zh"/>
        </w:rPr>
        <w:t>）</w:t>
      </w:r>
      <w:r>
        <w:rPr>
          <w:rStyle w:val="35"/>
          <w:rFonts w:hint="eastAsia" w:ascii="宋体" w:hAnsi="宋体" w:eastAsia="宋体" w:cs="宋体"/>
          <w:b w:val="0"/>
          <w:bCs/>
          <w:color w:val="auto"/>
          <w:sz w:val="22"/>
          <w:highlight w:val="none"/>
        </w:rPr>
        <w:t>文件，对采购过程、采购结果提出质疑的；</w:t>
      </w:r>
    </w:p>
    <w:p w14:paraId="5E5476CF">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未通过资格审查，对评审过程、采购结果提出质疑的；</w:t>
      </w:r>
    </w:p>
    <w:p w14:paraId="423F35FB">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未通过符合性审查，对符合性审查后的评审活动、采购结果提出质疑的；</w:t>
      </w:r>
    </w:p>
    <w:p w14:paraId="36CEAAA9">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未通过采购文件规定的方式提出质疑的；</w:t>
      </w:r>
    </w:p>
    <w:p w14:paraId="33EBA6F6">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提出质疑时间已超出法定质疑期的；</w:t>
      </w:r>
    </w:p>
    <w:p w14:paraId="62F99274">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采购文件要求供应商在法定质疑期内一次性提出针对同一采购程序环节质疑，再次提出质疑的；</w:t>
      </w:r>
    </w:p>
    <w:p w14:paraId="3730431B">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质疑函未按采购人、采购代理机构要求补充完善签署、盖章、联系方式、提交合法有效的授权委托书的；</w:t>
      </w:r>
    </w:p>
    <w:p w14:paraId="4D0E37D6">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质疑供应商未按照采购人、采购代理机构要求提供属于潜在供应商或其合法权益受到损害的事实依据的；</w:t>
      </w:r>
    </w:p>
    <w:p w14:paraId="4D005425">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以联合体形式参加</w:t>
      </w:r>
      <w:r>
        <w:rPr>
          <w:rStyle w:val="35"/>
          <w:rFonts w:hint="eastAsia" w:ascii="宋体" w:hAnsi="宋体" w:eastAsia="宋体" w:cs="宋体"/>
          <w:b w:val="0"/>
          <w:bCs/>
          <w:color w:val="auto"/>
          <w:sz w:val="22"/>
          <w:highlight w:val="none"/>
          <w:lang w:eastAsia="zh-CN"/>
        </w:rPr>
        <w:t>采购</w:t>
      </w:r>
      <w:r>
        <w:rPr>
          <w:rStyle w:val="35"/>
          <w:rFonts w:hint="eastAsia" w:ascii="宋体" w:hAnsi="宋体" w:eastAsia="宋体" w:cs="宋体"/>
          <w:b w:val="0"/>
          <w:bCs/>
          <w:color w:val="auto"/>
          <w:sz w:val="22"/>
          <w:highlight w:val="none"/>
        </w:rPr>
        <w:t>活动，联合体成员未共同提出质疑的；</w:t>
      </w:r>
    </w:p>
    <w:p w14:paraId="4BEAA9F2">
      <w:pPr>
        <w:numPr>
          <w:ilvl w:val="0"/>
          <w:numId w:val="4"/>
        </w:numPr>
        <w:spacing w:line="360" w:lineRule="exact"/>
        <w:rPr>
          <w:rStyle w:val="35"/>
          <w:rFonts w:hint="eastAsia" w:ascii="宋体" w:hAnsi="宋体" w:eastAsia="宋体" w:cs="宋体"/>
          <w:b w:val="0"/>
          <w:bCs/>
          <w:color w:val="auto"/>
          <w:sz w:val="22"/>
          <w:highlight w:val="none"/>
        </w:rPr>
      </w:pPr>
      <w:r>
        <w:rPr>
          <w:rStyle w:val="35"/>
          <w:rFonts w:hint="eastAsia" w:ascii="宋体" w:hAnsi="宋体" w:eastAsia="宋体" w:cs="宋体"/>
          <w:b w:val="0"/>
          <w:bCs/>
          <w:color w:val="auto"/>
          <w:sz w:val="22"/>
          <w:highlight w:val="none"/>
        </w:rPr>
        <w:t>法律法规或省级以上财政部门规定的其他情形。</w:t>
      </w:r>
    </w:p>
    <w:p w14:paraId="48A3459F">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w:t>
      </w:r>
      <w:r>
        <w:rPr>
          <w:rStyle w:val="35"/>
          <w:rFonts w:hint="eastAsia" w:ascii="宋体" w:hAnsi="宋体" w:eastAsia="宋体" w:cs="宋体"/>
          <w:b w:val="0"/>
          <w:bCs/>
          <w:color w:val="auto"/>
          <w:sz w:val="22"/>
          <w:highlight w:val="none"/>
        </w:rPr>
        <w:t>5</w:t>
      </w:r>
      <w:r>
        <w:rPr>
          <w:rStyle w:val="35"/>
          <w:rFonts w:hint="eastAsia" w:ascii="宋体" w:hAnsi="宋体" w:eastAsia="宋体" w:cs="宋体"/>
          <w:b w:val="0"/>
          <w:bCs/>
          <w:color w:val="auto"/>
          <w:sz w:val="22"/>
          <w:highlight w:val="none"/>
          <w:lang w:val="zh-CN"/>
        </w:rPr>
        <w:t>采购人或者采购代理机构应当在收到供应商的质疑后七个工作日内作出答复，并以书面形式通知质疑供应商和其他与质疑处理结果有利害关系的采购当事人，但答复的内容不得涉及商业秘密。</w:t>
      </w:r>
    </w:p>
    <w:p w14:paraId="2E275F1A">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.2.</w:t>
      </w:r>
      <w:r>
        <w:rPr>
          <w:rStyle w:val="35"/>
          <w:rFonts w:hint="eastAsia" w:ascii="宋体" w:hAnsi="宋体" w:eastAsia="宋体" w:cs="宋体"/>
          <w:b w:val="0"/>
          <w:bCs/>
          <w:color w:val="auto"/>
          <w:sz w:val="22"/>
          <w:highlight w:val="none"/>
        </w:rPr>
        <w:t>6</w:t>
      </w:r>
      <w:r>
        <w:rPr>
          <w:rStyle w:val="35"/>
          <w:rFonts w:hint="eastAsia" w:ascii="宋体" w:hAnsi="宋体" w:eastAsia="宋体" w:cs="宋体"/>
          <w:b w:val="0"/>
          <w:bCs/>
          <w:color w:val="auto"/>
          <w:sz w:val="22"/>
          <w:highlight w:val="none"/>
          <w:lang w:val="zh-CN"/>
        </w:rPr>
        <w:t>询问或者质疑事项可能影响采购结果的，采购人应当暂停签订合同，已经签订合同的，应当中止履行合同。</w:t>
      </w:r>
    </w:p>
    <w:p w14:paraId="1EB7619F">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.3供应商投诉</w:t>
      </w:r>
    </w:p>
    <w:p w14:paraId="68F0C97F">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.3.1质疑供应商对采购人、采购代理机构的答复不满意或者采购人、采购代理机构未在规定的时间内作出答复的，可以在答复期满后十五个工作日内向同级采购监督管理部门提出投诉。</w:t>
      </w:r>
    </w:p>
    <w:p w14:paraId="26D6A6F8">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.3.2供应商投诉的事项不得超出已质疑事项的范围，基于质疑答复内容提出的投诉事项除外。</w:t>
      </w:r>
    </w:p>
    <w:p w14:paraId="015BC38B">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.3.3供应商投诉应当有明确的请求和必要的证明材料。</w:t>
      </w:r>
    </w:p>
    <w:p w14:paraId="62DCF403">
      <w:pPr>
        <w:spacing w:line="360" w:lineRule="exact"/>
        <w:ind w:firstLine="440" w:firstLineChars="200"/>
        <w:rPr>
          <w:rStyle w:val="35"/>
          <w:rFonts w:hint="eastAsia" w:ascii="宋体" w:hAnsi="宋体" w:eastAsia="宋体" w:cs="宋体"/>
          <w:b w:val="0"/>
          <w:bCs/>
          <w:color w:val="auto"/>
          <w:sz w:val="22"/>
          <w:highlight w:val="none"/>
          <w:lang w:val="zh-CN"/>
        </w:rPr>
      </w:pPr>
      <w:r>
        <w:rPr>
          <w:rStyle w:val="35"/>
          <w:rFonts w:hint="eastAsia" w:ascii="宋体" w:hAnsi="宋体" w:eastAsia="宋体" w:cs="宋体"/>
          <w:b w:val="0"/>
          <w:bCs/>
          <w:color w:val="auto"/>
          <w:sz w:val="22"/>
          <w:highlight w:val="none"/>
        </w:rPr>
        <w:t>2</w:t>
      </w:r>
      <w:r>
        <w:rPr>
          <w:rStyle w:val="35"/>
          <w:rFonts w:hint="eastAsia" w:ascii="宋体" w:hAnsi="宋体" w:eastAsia="宋体" w:cs="宋体"/>
          <w:b w:val="0"/>
          <w:bCs/>
          <w:color w:val="auto"/>
          <w:sz w:val="22"/>
          <w:highlight w:val="none"/>
          <w:lang w:val="zh-CN"/>
        </w:rPr>
        <w:t>.3.</w:t>
      </w:r>
      <w:r>
        <w:rPr>
          <w:rStyle w:val="35"/>
          <w:rFonts w:hint="eastAsia" w:ascii="宋体" w:hAnsi="宋体" w:eastAsia="宋体" w:cs="宋体"/>
          <w:b w:val="0"/>
          <w:bCs/>
          <w:color w:val="auto"/>
          <w:sz w:val="22"/>
          <w:highlight w:val="none"/>
        </w:rPr>
        <w:t>4</w:t>
      </w:r>
      <w:r>
        <w:rPr>
          <w:rStyle w:val="35"/>
          <w:rFonts w:hint="eastAsia" w:ascii="宋体" w:hAnsi="宋体" w:eastAsia="宋体" w:cs="宋体"/>
          <w:b w:val="0"/>
          <w:bCs/>
          <w:color w:val="auto"/>
          <w:sz w:val="22"/>
          <w:highlight w:val="none"/>
          <w:lang w:val="zh-CN"/>
        </w:rPr>
        <w:t>以联合体形式参加采购活动的，其投诉应当由组成联合体的所有供应商共同提出。</w:t>
      </w:r>
    </w:p>
    <w:p w14:paraId="5E46D9D7">
      <w:pPr>
        <w:spacing w:line="360" w:lineRule="exact"/>
        <w:ind w:firstLine="440" w:firstLineChars="200"/>
        <w:rPr>
          <w:rStyle w:val="35"/>
          <w:rFonts w:hint="eastAsia" w:ascii="宋体" w:hAnsi="宋体" w:eastAsia="宋体" w:cs="宋体"/>
          <w:b w:val="0"/>
          <w:bCs/>
          <w:color w:val="auto"/>
          <w:sz w:val="22"/>
          <w:highlight w:val="none"/>
          <w:lang w:eastAsia="zh"/>
        </w:rPr>
      </w:pPr>
      <w:r>
        <w:rPr>
          <w:rStyle w:val="35"/>
          <w:rFonts w:hint="eastAsia" w:ascii="宋体" w:hAnsi="宋体" w:eastAsia="宋体" w:cs="宋体"/>
          <w:b w:val="0"/>
          <w:bCs/>
          <w:color w:val="auto"/>
          <w:sz w:val="22"/>
          <w:highlight w:val="none"/>
        </w:rPr>
        <w:t>2.3.5</w:t>
      </w:r>
      <w:r>
        <w:rPr>
          <w:rStyle w:val="35"/>
          <w:rFonts w:hint="eastAsia" w:ascii="宋体" w:hAnsi="宋体" w:eastAsia="宋体" w:cs="宋体"/>
          <w:b w:val="0"/>
          <w:bCs/>
          <w:color w:val="auto"/>
          <w:sz w:val="22"/>
          <w:highlight w:val="none"/>
          <w:lang w:eastAsia="zh"/>
        </w:rPr>
        <w:t>供应商在全国范围12个月内三次以上质疑不成立提起投诉查无实据的，由财政部门列入不良行为记录名单。</w:t>
      </w:r>
    </w:p>
    <w:p w14:paraId="593E9631">
      <w:pPr>
        <w:pageBreakBefore w:val="0"/>
        <w:kinsoku/>
        <w:wordWrap w:val="0"/>
        <w:topLinePunct w:val="0"/>
        <w:bidi w:val="0"/>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4.澄清或修改</w:t>
      </w:r>
    </w:p>
    <w:p w14:paraId="7CB732EF">
      <w:pPr>
        <w:pageBreakBefore w:val="0"/>
        <w:kinsoku/>
        <w:wordWrap w:val="0"/>
        <w:topLinePunct w:val="0"/>
        <w:bidi w:val="0"/>
        <w:spacing w:line="360" w:lineRule="exact"/>
        <w:ind w:firstLine="464" w:firstLineChars="200"/>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4.1采购人或者采购代理机构可以对已发出的招标文件进行必要的澄清或者修改。澄清或者修改</w:t>
      </w:r>
      <w:r>
        <w:rPr>
          <w:rStyle w:val="35"/>
          <w:rFonts w:hint="eastAsia" w:ascii="宋体" w:hAnsi="宋体" w:eastAsia="宋体" w:cs="宋体"/>
          <w:b w:val="0"/>
          <w:color w:val="auto"/>
          <w:sz w:val="22"/>
          <w:highlight w:val="none"/>
        </w:rPr>
        <w:t>在</w:t>
      </w:r>
      <w:r>
        <w:rPr>
          <w:rStyle w:val="35"/>
          <w:rFonts w:hint="eastAsia" w:ascii="宋体" w:hAnsi="宋体" w:eastAsia="宋体" w:cs="宋体"/>
          <w:b w:val="0"/>
          <w:color w:val="auto"/>
          <w:sz w:val="22"/>
          <w:highlight w:val="none"/>
          <w:lang w:eastAsia="zh-CN"/>
        </w:rPr>
        <w:t>浙江企业采购信息服务网</w:t>
      </w:r>
      <w:r>
        <w:rPr>
          <w:rStyle w:val="35"/>
          <w:rFonts w:hint="eastAsia" w:ascii="宋体" w:hAnsi="宋体" w:eastAsia="宋体" w:cs="宋体"/>
          <w:b w:val="0"/>
          <w:color w:val="auto"/>
          <w:sz w:val="22"/>
          <w:highlight w:val="none"/>
        </w:rPr>
        <w:t>上发布公告，同时</w:t>
      </w:r>
      <w:r>
        <w:rPr>
          <w:rStyle w:val="35"/>
          <w:rFonts w:hint="eastAsia" w:ascii="宋体" w:hAnsi="宋体" w:eastAsia="宋体" w:cs="宋体"/>
          <w:b w:val="0"/>
          <w:color w:val="auto"/>
          <w:sz w:val="22"/>
          <w:highlight w:val="none"/>
          <w:lang w:eastAsia="zh-CN"/>
        </w:rPr>
        <w:t>乐采云</w:t>
      </w:r>
      <w:r>
        <w:rPr>
          <w:rStyle w:val="35"/>
          <w:rFonts w:hint="eastAsia" w:ascii="宋体" w:hAnsi="宋体" w:eastAsia="宋体" w:cs="宋体"/>
          <w:b w:val="0"/>
          <w:color w:val="auto"/>
          <w:sz w:val="22"/>
          <w:highlight w:val="none"/>
        </w:rPr>
        <w:t>系统会向所有已按招标文件规定方式获取招标文件的潜在投标人发送更正提醒信息，潜在投标人请自行到</w:t>
      </w:r>
      <w:r>
        <w:rPr>
          <w:rStyle w:val="35"/>
          <w:rFonts w:hint="eastAsia" w:ascii="宋体" w:hAnsi="宋体" w:eastAsia="宋体" w:cs="宋体"/>
          <w:b w:val="0"/>
          <w:color w:val="auto"/>
          <w:sz w:val="22"/>
          <w:highlight w:val="none"/>
          <w:lang w:eastAsia="zh-CN"/>
        </w:rPr>
        <w:t>浙江企业采购信息服务网</w:t>
      </w:r>
      <w:r>
        <w:rPr>
          <w:rStyle w:val="35"/>
          <w:rFonts w:hint="eastAsia" w:ascii="宋体" w:hAnsi="宋体" w:eastAsia="宋体" w:cs="宋体"/>
          <w:b w:val="0"/>
          <w:color w:val="auto"/>
          <w:sz w:val="22"/>
          <w:highlight w:val="none"/>
        </w:rPr>
        <w:t>上下载公告附件，潜在投标人在收到该公告附件后应于1日内，以书面或传真形式（签署意见并加盖公章）向采购代理机构回函给予确认。过期未回复的，视为默认接受。</w:t>
      </w:r>
      <w:r>
        <w:rPr>
          <w:rFonts w:hint="eastAsia" w:ascii="宋体" w:hAnsi="宋体" w:eastAsia="宋体" w:cs="宋体"/>
          <w:color w:val="auto"/>
          <w:spacing w:val="6"/>
          <w:sz w:val="22"/>
          <w:highlight w:val="none"/>
        </w:rPr>
        <w:t>澄清或者修改的内容为招标文件的组成部分。</w:t>
      </w:r>
    </w:p>
    <w:p w14:paraId="549A17EC">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4.2澄清或者修改的内容可能影响投标文件编制的，采购人或者采购代理机构应当在投标文件提交截止时间至少15日前，以书面形式（</w:t>
      </w:r>
      <w:r>
        <w:rPr>
          <w:rStyle w:val="35"/>
          <w:rFonts w:hint="eastAsia" w:ascii="宋体" w:hAnsi="宋体" w:eastAsia="宋体" w:cs="宋体"/>
          <w:b w:val="0"/>
          <w:color w:val="auto"/>
          <w:sz w:val="22"/>
          <w:highlight w:val="none"/>
        </w:rPr>
        <w:t>在</w:t>
      </w:r>
      <w:r>
        <w:rPr>
          <w:rStyle w:val="35"/>
          <w:rFonts w:hint="eastAsia" w:ascii="宋体" w:hAnsi="宋体" w:eastAsia="宋体" w:cs="宋体"/>
          <w:b w:val="0"/>
          <w:color w:val="auto"/>
          <w:sz w:val="22"/>
          <w:highlight w:val="none"/>
          <w:lang w:eastAsia="zh-CN"/>
        </w:rPr>
        <w:t>浙江企业采购信息服务网</w:t>
      </w:r>
      <w:r>
        <w:rPr>
          <w:rStyle w:val="35"/>
          <w:rFonts w:hint="eastAsia" w:ascii="宋体" w:hAnsi="宋体" w:eastAsia="宋体" w:cs="宋体"/>
          <w:b w:val="0"/>
          <w:color w:val="auto"/>
          <w:sz w:val="22"/>
          <w:highlight w:val="none"/>
        </w:rPr>
        <w:t>上发布公告</w:t>
      </w:r>
      <w:r>
        <w:rPr>
          <w:rFonts w:hint="eastAsia" w:ascii="宋体" w:hAnsi="宋体" w:eastAsia="宋体" w:cs="宋体"/>
          <w:color w:val="auto"/>
          <w:spacing w:val="6"/>
          <w:sz w:val="22"/>
          <w:highlight w:val="none"/>
        </w:rPr>
        <w:t>）通知所有获取招标文件的潜在投标人；不足15日的，采购人或者采购代理机构应当顺延提交投标文件的截止时间。</w:t>
      </w:r>
    </w:p>
    <w:p w14:paraId="2E4EF0BD">
      <w:pPr>
        <w:pageBreakBefore w:val="0"/>
        <w:kinsoku/>
        <w:wordWrap w:val="0"/>
        <w:topLinePunct w:val="0"/>
        <w:bidi w:val="0"/>
        <w:spacing w:line="400" w:lineRule="exact"/>
        <w:ind w:firstLine="522" w:firstLineChars="200"/>
        <w:jc w:val="center"/>
        <w:rPr>
          <w:rFonts w:hint="eastAsia" w:ascii="宋体" w:hAnsi="宋体" w:eastAsia="宋体" w:cs="宋体"/>
          <w:b/>
          <w:color w:val="auto"/>
          <w:sz w:val="26"/>
          <w:highlight w:val="none"/>
        </w:rPr>
      </w:pPr>
    </w:p>
    <w:p w14:paraId="237E7FC5">
      <w:pPr>
        <w:pageBreakBefore w:val="0"/>
        <w:kinsoku/>
        <w:wordWrap w:val="0"/>
        <w:topLinePunct w:val="0"/>
        <w:bidi w:val="0"/>
        <w:spacing w:line="400" w:lineRule="exact"/>
        <w:ind w:firstLine="522" w:firstLineChars="200"/>
        <w:jc w:val="center"/>
        <w:outlineLvl w:val="1"/>
        <w:rPr>
          <w:rFonts w:hint="eastAsia" w:ascii="宋体" w:hAnsi="宋体" w:eastAsia="宋体" w:cs="宋体"/>
          <w:color w:val="auto"/>
          <w:sz w:val="22"/>
          <w:highlight w:val="none"/>
        </w:rPr>
      </w:pPr>
      <w:bookmarkStart w:id="6" w:name="_Toc14702"/>
      <w:r>
        <w:rPr>
          <w:rFonts w:hint="eastAsia" w:ascii="宋体" w:hAnsi="宋体" w:eastAsia="宋体" w:cs="宋体"/>
          <w:b/>
          <w:color w:val="auto"/>
          <w:sz w:val="26"/>
          <w:highlight w:val="none"/>
        </w:rPr>
        <w:t>三、投标文件的编制</w:t>
      </w:r>
      <w:bookmarkEnd w:id="6"/>
    </w:p>
    <w:p w14:paraId="26FD9A9D">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1.投标文件的形式</w:t>
      </w:r>
    </w:p>
    <w:p w14:paraId="672CE8F5">
      <w:pPr>
        <w:pStyle w:val="14"/>
        <w:pageBreakBefore w:val="0"/>
        <w:kinsoku/>
        <w:wordWrap w:val="0"/>
        <w:topLinePunct w:val="0"/>
        <w:bidi w:val="0"/>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投标文件分为电子投标文件以及备份投标文件，备份文件为以介质存储的数据电文形式的备份投标文件。</w:t>
      </w:r>
    </w:p>
    <w:p w14:paraId="6309310A">
      <w:pPr>
        <w:pStyle w:val="14"/>
        <w:pageBreakBefore w:val="0"/>
        <w:kinsoku/>
        <w:wordWrap w:val="0"/>
        <w:topLinePunct w:val="0"/>
        <w:bidi w:val="0"/>
        <w:snapToGrid w:val="0"/>
        <w:spacing w:line="360" w:lineRule="exact"/>
        <w:ind w:firstLine="442" w:firstLineChars="200"/>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rPr>
        <w:t>1.1电子投标文件，通过</w:t>
      </w:r>
      <w:r>
        <w:rPr>
          <w:rFonts w:hint="eastAsia" w:ascii="宋体" w:hAnsi="宋体" w:eastAsia="宋体" w:cs="宋体"/>
          <w:b/>
          <w:bCs/>
          <w:color w:val="auto"/>
          <w:sz w:val="22"/>
          <w:highlight w:val="none"/>
          <w:lang w:eastAsia="zh-CN"/>
        </w:rPr>
        <w:t>乐采云电子交易客户端（乐采云投标客户端）完成投标文件编制后生成并加密的数据电文形式的投标文件（文件扩展名为.jmbs）。</w:t>
      </w:r>
    </w:p>
    <w:p w14:paraId="32B8B2DF">
      <w:pPr>
        <w:pStyle w:val="14"/>
        <w:pageBreakBefore w:val="0"/>
        <w:kinsoku/>
        <w:wordWrap w:val="0"/>
        <w:topLinePunct w:val="0"/>
        <w:bidi w:val="0"/>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eastAsia="zh-CN"/>
        </w:rPr>
        <w:t>1.2以介质存储的数据电文形式的备份投标文件：与“电子投标文件”同时生成的数据电文形式的备份投标文件(</w:t>
      </w:r>
      <w:r>
        <w:rPr>
          <w:rFonts w:hint="eastAsia" w:ascii="宋体" w:hAnsi="宋体" w:eastAsia="宋体" w:cs="宋体"/>
          <w:b/>
          <w:bCs/>
          <w:color w:val="auto"/>
          <w:sz w:val="22"/>
          <w:highlight w:val="none"/>
          <w:lang w:val="zh-CN" w:eastAsia="zh-CN"/>
        </w:rPr>
        <w:t>文件扩展名为</w:t>
      </w:r>
      <w:r>
        <w:rPr>
          <w:rFonts w:hint="eastAsia" w:ascii="宋体" w:hAnsi="宋体" w:eastAsia="宋体" w:cs="宋体"/>
          <w:b/>
          <w:bCs/>
          <w:color w:val="auto"/>
          <w:sz w:val="22"/>
          <w:highlight w:val="none"/>
          <w:lang w:eastAsia="zh-CN"/>
        </w:rPr>
        <w:t>.bfbs)，</w:t>
      </w:r>
      <w:r>
        <w:rPr>
          <w:rFonts w:hint="eastAsia" w:ascii="宋体" w:hAnsi="宋体" w:eastAsia="宋体" w:cs="宋体"/>
          <w:b/>
          <w:bCs/>
          <w:color w:val="auto"/>
          <w:sz w:val="22"/>
          <w:highlight w:val="none"/>
          <w:lang w:val="zh-CN" w:eastAsia="zh-CN"/>
        </w:rPr>
        <w:t>投标文件提交截止时间前以电子邮件方式传送至浙江乐诚工程咨询有限公司电子邮箱</w:t>
      </w:r>
      <w:r>
        <w:rPr>
          <w:rFonts w:hint="eastAsia" w:ascii="宋体" w:hAnsi="宋体" w:eastAsia="宋体" w:cs="宋体"/>
          <w:b/>
          <w:bCs/>
          <w:color w:val="auto"/>
          <w:sz w:val="22"/>
          <w:highlight w:val="none"/>
          <w:lang w:eastAsia="zh-CN"/>
        </w:rPr>
        <w:t>58000634@qq.com，</w:t>
      </w:r>
      <w:r>
        <w:rPr>
          <w:rFonts w:hint="eastAsia" w:ascii="宋体" w:hAnsi="宋体" w:eastAsia="宋体" w:cs="宋体"/>
          <w:b/>
          <w:bCs/>
          <w:color w:val="auto"/>
          <w:sz w:val="22"/>
          <w:highlight w:val="none"/>
          <w:lang w:val="zh-CN" w:eastAsia="zh-CN"/>
        </w:rPr>
        <w:t>递交</w:t>
      </w:r>
      <w:r>
        <w:rPr>
          <w:rFonts w:hint="eastAsia" w:ascii="宋体" w:hAnsi="宋体" w:eastAsia="宋体" w:cs="宋体"/>
          <w:b/>
          <w:bCs/>
          <w:color w:val="auto"/>
          <w:sz w:val="22"/>
          <w:highlight w:val="none"/>
          <w:lang w:eastAsia="zh-CN"/>
        </w:rPr>
        <w:t>1</w:t>
      </w:r>
      <w:r>
        <w:rPr>
          <w:rFonts w:hint="eastAsia" w:ascii="宋体" w:hAnsi="宋体" w:eastAsia="宋体" w:cs="宋体"/>
          <w:b/>
          <w:bCs/>
          <w:color w:val="auto"/>
          <w:sz w:val="22"/>
          <w:highlight w:val="none"/>
          <w:lang w:val="zh-CN" w:eastAsia="zh-CN"/>
        </w:rPr>
        <w:t>份</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lang w:val="zh-CN" w:eastAsia="zh-CN"/>
        </w:rPr>
        <w:t>传送的备份投标文件需打包压缩并加密</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lang w:val="zh-CN" w:eastAsia="zh-CN"/>
        </w:rPr>
        <w:t>加密密码由投标人自行保管</w:t>
      </w:r>
      <w:r>
        <w:rPr>
          <w:rFonts w:hint="eastAsia" w:ascii="宋体" w:hAnsi="宋体" w:eastAsia="宋体" w:cs="宋体"/>
          <w:b/>
          <w:bCs/>
          <w:color w:val="auto"/>
          <w:sz w:val="22"/>
          <w:highlight w:val="none"/>
          <w:lang w:eastAsia="zh-CN"/>
        </w:rPr>
        <w:t>，未加密导致投标信息泄露的风险由投标人自行承担。还可以在投标截止时间前递交以介质（U盘）存储的数据电文形式的“备份</w:t>
      </w:r>
      <w:r>
        <w:rPr>
          <w:rFonts w:hint="eastAsia" w:ascii="宋体" w:hAnsi="宋体" w:eastAsia="宋体" w:cs="宋体"/>
          <w:b/>
          <w:bCs/>
          <w:color w:val="auto"/>
          <w:sz w:val="22"/>
          <w:highlight w:val="none"/>
        </w:rPr>
        <w:t>投标文件”，（可以（邮寄形式，建议顺丰）在投标截止时间前递交，并需招标代理机构确认是否收到）</w:t>
      </w:r>
    </w:p>
    <w:p w14:paraId="08D60FF6">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1.3 投标文件的效力</w:t>
      </w:r>
    </w:p>
    <w:p w14:paraId="2C1330FC">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lang w:val="zh-CN"/>
        </w:rPr>
      </w:pPr>
      <w:r>
        <w:rPr>
          <w:rFonts w:hint="eastAsia" w:ascii="宋体" w:hAnsi="宋体" w:eastAsia="宋体" w:cs="宋体"/>
          <w:b/>
          <w:bCs/>
          <w:color w:val="auto"/>
          <w:sz w:val="22"/>
          <w:highlight w:val="none"/>
          <w:lang w:val="zh-CN"/>
        </w:rPr>
        <w:t>投标文件的启用，按先后顺位分别为电子投标文件、以介质存储的数据电文形式的备份投标文件。在下一顺位的投标文件启用时，前一顺位的投标文件自动失效。</w:t>
      </w:r>
    </w:p>
    <w:p w14:paraId="69B4E56A">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2.投标人应认真阅读招标文件中所有事项格式、条款和技术规范等。</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投标人没有对招标文件各个方面做出实质性响应，导致投标被拒绝的风险由投标人自行承担。</w:t>
      </w:r>
    </w:p>
    <w:p w14:paraId="2CFF93C8">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3.</w:t>
      </w:r>
      <w:r>
        <w:rPr>
          <w:rFonts w:hint="eastAsia" w:ascii="宋体" w:hAnsi="宋体" w:eastAsia="宋体" w:cs="宋体"/>
          <w:bCs/>
          <w:color w:val="auto"/>
          <w:sz w:val="22"/>
          <w:highlight w:val="none"/>
          <w:u w:val="single"/>
        </w:rPr>
        <w:t>▲</w:t>
      </w:r>
      <w:r>
        <w:rPr>
          <w:rFonts w:hint="eastAsia" w:ascii="宋体" w:hAnsi="宋体" w:eastAsia="宋体" w:cs="宋体"/>
          <w:color w:val="auto"/>
          <w:sz w:val="22"/>
          <w:highlight w:val="none"/>
          <w:u w:val="single"/>
        </w:rPr>
        <w:t>投标人应保证所提供文件资料的真实性，所有文件资料必须是针对本次投标的。如发现投标人提供了虚假文件资料，其投标将被拒绝，并自行承担相应的法律责任。</w:t>
      </w:r>
    </w:p>
    <w:p w14:paraId="604EA5BD">
      <w:pPr>
        <w:pageBreakBefore w:val="0"/>
        <w:kinsoku/>
        <w:wordWrap w:val="0"/>
        <w:topLinePunct w:val="0"/>
        <w:bidi w:val="0"/>
        <w:spacing w:line="360" w:lineRule="exact"/>
        <w:ind w:firstLine="440" w:firstLineChars="200"/>
        <w:rPr>
          <w:rFonts w:hint="eastAsia" w:ascii="宋体" w:hAnsi="宋体" w:eastAsia="宋体" w:cs="宋体"/>
          <w:b/>
          <w:color w:val="auto"/>
          <w:sz w:val="22"/>
          <w:highlight w:val="none"/>
        </w:rPr>
      </w:pPr>
      <w:r>
        <w:rPr>
          <w:rFonts w:hint="eastAsia" w:ascii="宋体" w:hAnsi="宋体" w:eastAsia="宋体" w:cs="宋体"/>
          <w:color w:val="auto"/>
          <w:sz w:val="22"/>
          <w:highlight w:val="none"/>
        </w:rPr>
        <w:t>4.投标文件的构成：</w:t>
      </w:r>
    </w:p>
    <w:p w14:paraId="0E26D2EB">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投标文件由“报价文件”、“资格文件”和“商务和技术文件”三部分组成，以下的“附件”，指的是第四部分 附件中的表格，其中电子投标文件中所须加盖电子签章部分均采用CA签章。</w:t>
      </w:r>
    </w:p>
    <w:p w14:paraId="7E2E3791">
      <w:pPr>
        <w:pageBreakBefore w:val="0"/>
        <w:kinsoku/>
        <w:wordWrap w:val="0"/>
        <w:topLinePunct w:val="0"/>
        <w:bidi w:val="0"/>
        <w:spacing w:line="360" w:lineRule="exact"/>
        <w:ind w:firstLine="442" w:firstLineChars="200"/>
        <w:outlineLvl w:val="9"/>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（1）报价文件</w:t>
      </w:r>
    </w:p>
    <w:p w14:paraId="38F9598B">
      <w:pPr>
        <w:pageBreakBefore w:val="0"/>
        <w:tabs>
          <w:tab w:val="left" w:pos="5355"/>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1）开标一览表；（见附件1）</w:t>
      </w:r>
    </w:p>
    <w:p w14:paraId="2D5B5B66">
      <w:pPr>
        <w:pageBreakBefore w:val="0"/>
        <w:tabs>
          <w:tab w:val="left" w:pos="5355"/>
        </w:tabs>
        <w:kinsoku/>
        <w:wordWrap w:val="0"/>
        <w:topLinePunct w:val="0"/>
        <w:bidi w:val="0"/>
        <w:spacing w:line="360" w:lineRule="exact"/>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2）投标报价部分报价明细表；（见</w:t>
      </w:r>
      <w:r>
        <w:rPr>
          <w:rFonts w:hint="eastAsia" w:ascii="宋体" w:hAnsi="宋体" w:eastAsia="宋体" w:cs="宋体"/>
          <w:color w:val="auto"/>
          <w:sz w:val="22"/>
          <w:highlight w:val="none"/>
          <w:lang w:eastAsia="zh-CN"/>
        </w:rPr>
        <w:t>附件</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w:t>
      </w:r>
    </w:p>
    <w:p w14:paraId="014F70EF">
      <w:pPr>
        <w:pageBreakBefore w:val="0"/>
        <w:tabs>
          <w:tab w:val="left" w:pos="5355"/>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投标报价部分其他内容（如有，格式自拟）。</w:t>
      </w:r>
    </w:p>
    <w:p w14:paraId="0C53201B">
      <w:pPr>
        <w:pageBreakBefore w:val="0"/>
        <w:tabs>
          <w:tab w:val="left" w:pos="5355"/>
        </w:tabs>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（2）资格文件：（见</w:t>
      </w:r>
      <w:r>
        <w:rPr>
          <w:rFonts w:hint="eastAsia" w:ascii="宋体" w:hAnsi="宋体" w:eastAsia="宋体" w:cs="宋体"/>
          <w:b/>
          <w:bCs/>
          <w:color w:val="auto"/>
          <w:sz w:val="22"/>
          <w:highlight w:val="none"/>
          <w:lang w:eastAsia="zh-CN"/>
        </w:rPr>
        <w:t>附件3</w:t>
      </w:r>
      <w:r>
        <w:rPr>
          <w:rFonts w:hint="eastAsia" w:ascii="宋体" w:hAnsi="宋体" w:eastAsia="宋体" w:cs="宋体"/>
          <w:b/>
          <w:bCs/>
          <w:color w:val="auto"/>
          <w:sz w:val="22"/>
          <w:highlight w:val="none"/>
        </w:rPr>
        <w:t>）</w:t>
      </w:r>
    </w:p>
    <w:p w14:paraId="7B523D95">
      <w:pPr>
        <w:pageBreakBefore w:val="0"/>
        <w:kinsoku/>
        <w:wordWrap w:val="0"/>
        <w:topLinePunct w:val="0"/>
        <w:autoSpaceDE w:val="0"/>
        <w:autoSpaceDN w:val="0"/>
        <w:bidi w:val="0"/>
        <w:adjustRightInd w:val="0"/>
        <w:snapToGrid w:val="0"/>
        <w:spacing w:line="360" w:lineRule="exact"/>
        <w:ind w:firstLine="416" w:firstLineChars="200"/>
        <w:textAlignment w:val="bottom"/>
        <w:rPr>
          <w:rFonts w:hint="eastAsia" w:ascii="宋体" w:hAnsi="宋体" w:eastAsia="宋体" w:cs="宋体"/>
          <w:b/>
          <w:bCs/>
          <w:snapToGrid w:val="0"/>
          <w:color w:val="auto"/>
          <w:sz w:val="22"/>
          <w:highlight w:val="none"/>
        </w:rPr>
      </w:pPr>
      <w:r>
        <w:rPr>
          <w:rFonts w:hint="eastAsia" w:ascii="宋体" w:hAnsi="宋体" w:eastAsia="宋体" w:cs="宋体"/>
          <w:color w:val="auto"/>
          <w:spacing w:val="-6"/>
          <w:sz w:val="22"/>
          <w:highlight w:val="none"/>
        </w:rPr>
        <w:t>1）</w:t>
      </w:r>
      <w:r>
        <w:rPr>
          <w:rFonts w:hint="eastAsia" w:ascii="宋体" w:hAnsi="宋体" w:eastAsia="宋体" w:cs="宋体"/>
          <w:snapToGrid w:val="0"/>
          <w:color w:val="auto"/>
          <w:sz w:val="22"/>
          <w:highlight w:val="none"/>
        </w:rPr>
        <w:t>有效的法人或者其他组织的营业执照等证明文件，自然人的身份证明（五选一）</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附件3</w:t>
      </w:r>
      <w:r>
        <w:rPr>
          <w:rFonts w:hint="eastAsia" w:ascii="宋体" w:hAnsi="宋体" w:eastAsia="宋体" w:cs="宋体"/>
          <w:color w:val="auto"/>
          <w:sz w:val="22"/>
          <w:highlight w:val="none"/>
        </w:rPr>
        <w:t>-1）</w:t>
      </w:r>
      <w:r>
        <w:rPr>
          <w:rFonts w:hint="eastAsia" w:ascii="宋体" w:hAnsi="宋体" w:eastAsia="宋体" w:cs="宋体"/>
          <w:b/>
          <w:bCs/>
          <w:color w:val="auto"/>
          <w:sz w:val="22"/>
          <w:highlight w:val="none"/>
          <w:u w:val="single"/>
        </w:rPr>
        <w:t>（如为联合体投标，则联合体各方均须提供）</w:t>
      </w:r>
    </w:p>
    <w:p w14:paraId="41978FCC">
      <w:pPr>
        <w:pageBreakBefore w:val="0"/>
        <w:tabs>
          <w:tab w:val="left" w:pos="0"/>
        </w:tabs>
        <w:kinsoku/>
        <w:wordWrap w:val="0"/>
        <w:topLinePunct w:val="0"/>
        <w:bidi w:val="0"/>
        <w:adjustRightInd w:val="0"/>
        <w:snapToGrid w:val="0"/>
        <w:spacing w:line="360" w:lineRule="exact"/>
        <w:ind w:firstLine="416" w:firstLineChars="200"/>
        <w:rPr>
          <w:rFonts w:hint="eastAsia" w:ascii="宋体" w:hAnsi="宋体" w:eastAsia="宋体" w:cs="宋体"/>
          <w:color w:val="auto"/>
          <w:highlight w:val="none"/>
        </w:rPr>
      </w:pPr>
      <w:r>
        <w:rPr>
          <w:rFonts w:hint="eastAsia" w:ascii="宋体" w:hAnsi="宋体" w:eastAsia="宋体" w:cs="宋体"/>
          <w:color w:val="auto"/>
          <w:spacing w:val="-6"/>
          <w:sz w:val="22"/>
          <w:highlight w:val="none"/>
        </w:rPr>
        <w:t>2）</w:t>
      </w:r>
      <w:r>
        <w:rPr>
          <w:rFonts w:hint="eastAsia" w:ascii="宋体" w:hAnsi="宋体" w:eastAsia="宋体" w:cs="宋体"/>
          <w:snapToGrid w:val="0"/>
          <w:color w:val="auto"/>
          <w:sz w:val="22"/>
          <w:highlight w:val="none"/>
        </w:rPr>
        <w:t>关于符合《中华人民共和国政府采购法》第二十二条规定的承诺函</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附件3</w:t>
      </w:r>
      <w:r>
        <w:rPr>
          <w:rFonts w:hint="eastAsia" w:ascii="宋体" w:hAnsi="宋体" w:eastAsia="宋体" w:cs="宋体"/>
          <w:color w:val="auto"/>
          <w:sz w:val="22"/>
          <w:highlight w:val="none"/>
        </w:rPr>
        <w:t>-2）</w:t>
      </w:r>
      <w:r>
        <w:rPr>
          <w:rFonts w:hint="eastAsia" w:ascii="宋体" w:hAnsi="宋体" w:eastAsia="宋体" w:cs="宋体"/>
          <w:b/>
          <w:bCs/>
          <w:color w:val="auto"/>
          <w:sz w:val="22"/>
          <w:highlight w:val="none"/>
          <w:u w:val="single"/>
        </w:rPr>
        <w:t>（如为联合体投标，则联合体各方均须提供，并各自加盖公章）</w:t>
      </w:r>
    </w:p>
    <w:p w14:paraId="63B12283">
      <w:pPr>
        <w:pageBreakBefore w:val="0"/>
        <w:kinsoku/>
        <w:wordWrap w:val="0"/>
        <w:topLinePunct w:val="0"/>
        <w:autoSpaceDE w:val="0"/>
        <w:autoSpaceDN w:val="0"/>
        <w:bidi w:val="0"/>
        <w:adjustRightInd w:val="0"/>
        <w:snapToGrid w:val="0"/>
        <w:spacing w:line="3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3）</w:t>
      </w:r>
      <w:r>
        <w:rPr>
          <w:rFonts w:hint="eastAsia" w:ascii="宋体" w:hAnsi="宋体" w:eastAsia="宋体" w:cs="宋体"/>
          <w:color w:val="auto"/>
          <w:sz w:val="22"/>
          <w:szCs w:val="22"/>
          <w:highlight w:val="none"/>
        </w:rPr>
        <w:t>落实</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政策需满足的资格要求：</w:t>
      </w:r>
      <w:r>
        <w:rPr>
          <w:rFonts w:hint="eastAsia" w:ascii="宋体" w:hAnsi="宋体" w:eastAsia="宋体" w:cs="宋体"/>
          <w:b/>
          <w:bCs/>
          <w:color w:val="auto"/>
          <w:sz w:val="22"/>
          <w:highlight w:val="none"/>
        </w:rPr>
        <w:t>中小企业声明函（货物）</w:t>
      </w:r>
      <w:r>
        <w:rPr>
          <w:rFonts w:hint="eastAsia" w:ascii="宋体" w:hAnsi="宋体" w:eastAsia="宋体" w:cs="宋体"/>
          <w:snapToGrid w:val="0"/>
          <w:color w:val="auto"/>
          <w:sz w:val="22"/>
          <w:highlight w:val="none"/>
        </w:rPr>
        <w:t>（见</w:t>
      </w:r>
      <w:r>
        <w:rPr>
          <w:rFonts w:hint="eastAsia" w:ascii="宋体" w:hAnsi="宋体" w:eastAsia="宋体" w:cs="宋体"/>
          <w:snapToGrid w:val="0"/>
          <w:color w:val="auto"/>
          <w:sz w:val="22"/>
          <w:highlight w:val="none"/>
          <w:lang w:eastAsia="zh-CN"/>
        </w:rPr>
        <w:t>附件3-</w:t>
      </w:r>
      <w:r>
        <w:rPr>
          <w:rFonts w:hint="eastAsia" w:ascii="宋体" w:hAnsi="宋体" w:eastAsia="宋体" w:cs="宋体"/>
          <w:snapToGrid w:val="0"/>
          <w:color w:val="auto"/>
          <w:sz w:val="22"/>
          <w:highlight w:val="none"/>
          <w:lang w:val="en-US" w:eastAsia="zh-CN"/>
        </w:rPr>
        <w:t>3</w:t>
      </w:r>
      <w:r>
        <w:rPr>
          <w:rFonts w:hint="eastAsia" w:ascii="宋体" w:hAnsi="宋体" w:eastAsia="宋体" w:cs="宋体"/>
          <w:snapToGrid w:val="0"/>
          <w:color w:val="auto"/>
          <w:sz w:val="22"/>
          <w:highlight w:val="none"/>
        </w:rPr>
        <w:t>）</w:t>
      </w:r>
    </w:p>
    <w:p w14:paraId="693C8419">
      <w:pPr>
        <w:pageBreakBefore w:val="0"/>
        <w:kinsoku/>
        <w:wordWrap w:val="0"/>
        <w:topLinePunct w:val="0"/>
        <w:autoSpaceDE w:val="0"/>
        <w:autoSpaceDN w:val="0"/>
        <w:bidi w:val="0"/>
        <w:adjustRightInd w:val="0"/>
        <w:snapToGrid w:val="0"/>
        <w:spacing w:line="360" w:lineRule="exact"/>
        <w:ind w:firstLine="440" w:firstLineChars="200"/>
        <w:textAlignment w:val="bottom"/>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联合体投标协议书</w:t>
      </w:r>
      <w:r>
        <w:rPr>
          <w:rFonts w:hint="eastAsia" w:ascii="宋体" w:hAnsi="宋体" w:eastAsia="宋体" w:cs="宋体"/>
          <w:color w:val="auto"/>
          <w:sz w:val="22"/>
          <w:highlight w:val="none"/>
          <w:lang w:val="en-US" w:eastAsia="zh-CN"/>
        </w:rPr>
        <w:t>或</w:t>
      </w:r>
      <w:r>
        <w:rPr>
          <w:rFonts w:hint="eastAsia" w:ascii="宋体" w:hAnsi="宋体" w:eastAsia="宋体" w:cs="宋体"/>
          <w:color w:val="auto"/>
          <w:sz w:val="22"/>
          <w:highlight w:val="none"/>
        </w:rPr>
        <w:t>分包意向协议</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如有</w:t>
      </w:r>
      <w:r>
        <w:rPr>
          <w:rFonts w:hint="eastAsia" w:ascii="宋体" w:hAnsi="宋体" w:eastAsia="宋体" w:cs="宋体"/>
          <w:color w:val="auto"/>
          <w:sz w:val="22"/>
          <w:highlight w:val="none"/>
          <w:lang w:eastAsia="zh-CN"/>
        </w:rPr>
        <w:t>）</w:t>
      </w:r>
      <w:r>
        <w:rPr>
          <w:rFonts w:hint="eastAsia" w:ascii="宋体" w:hAnsi="宋体" w:eastAsia="宋体" w:cs="宋体"/>
          <w:snapToGrid w:val="0"/>
          <w:color w:val="auto"/>
          <w:sz w:val="22"/>
          <w:highlight w:val="none"/>
        </w:rPr>
        <w:t>（见</w:t>
      </w:r>
      <w:r>
        <w:rPr>
          <w:rFonts w:hint="eastAsia" w:ascii="宋体" w:hAnsi="宋体" w:eastAsia="宋体" w:cs="宋体"/>
          <w:snapToGrid w:val="0"/>
          <w:color w:val="auto"/>
          <w:sz w:val="22"/>
          <w:highlight w:val="none"/>
          <w:lang w:eastAsia="zh-CN"/>
        </w:rPr>
        <w:t>附件3-4</w:t>
      </w:r>
      <w:r>
        <w:rPr>
          <w:rFonts w:hint="eastAsia" w:ascii="宋体" w:hAnsi="宋体" w:eastAsia="宋体" w:cs="宋体"/>
          <w:snapToGrid w:val="0"/>
          <w:color w:val="auto"/>
          <w:sz w:val="22"/>
          <w:highlight w:val="none"/>
        </w:rPr>
        <w:t>）</w:t>
      </w:r>
    </w:p>
    <w:p w14:paraId="6CE20150">
      <w:pPr>
        <w:pageBreakBefore w:val="0"/>
        <w:kinsoku/>
        <w:wordWrap w:val="0"/>
        <w:topLinePunct w:val="0"/>
        <w:autoSpaceDE w:val="0"/>
        <w:autoSpaceDN w:val="0"/>
        <w:bidi w:val="0"/>
        <w:adjustRightInd w:val="0"/>
        <w:snapToGrid w:val="0"/>
        <w:spacing w:line="360" w:lineRule="exact"/>
        <w:ind w:firstLine="440" w:firstLineChars="200"/>
        <w:textAlignment w:val="bottom"/>
        <w:rPr>
          <w:rFonts w:hint="eastAsia" w:ascii="宋体" w:hAnsi="宋体" w:eastAsia="宋体" w:cs="宋体"/>
          <w:color w:val="auto"/>
          <w:sz w:val="22"/>
          <w:highlight w:val="none"/>
        </w:rPr>
      </w:pPr>
      <w:r>
        <w:rPr>
          <w:rFonts w:hint="eastAsia" w:ascii="宋体" w:hAnsi="宋体" w:eastAsia="宋体" w:cs="宋体"/>
          <w:color w:val="auto"/>
          <w:sz w:val="22"/>
          <w:highlight w:val="none"/>
        </w:rPr>
        <w:t>联合体投标协议书</w:t>
      </w:r>
      <w:r>
        <w:rPr>
          <w:rFonts w:hint="eastAsia" w:ascii="宋体" w:hAnsi="宋体" w:eastAsia="宋体" w:cs="宋体"/>
          <w:b/>
          <w:bCs/>
          <w:color w:val="auto"/>
          <w:sz w:val="22"/>
          <w:highlight w:val="none"/>
          <w:u w:val="single"/>
        </w:rPr>
        <w:t>(以联合体形式投标的提供联合投标协议，项目不接受联合体投标或投标人不以联合体形式投标的则不需要提供）</w:t>
      </w:r>
    </w:p>
    <w:p w14:paraId="77044AFE">
      <w:pPr>
        <w:pageBreakBefore w:val="0"/>
        <w:kinsoku/>
        <w:wordWrap w:val="0"/>
        <w:topLinePunct w:val="0"/>
        <w:autoSpaceDE w:val="0"/>
        <w:autoSpaceDN w:val="0"/>
        <w:bidi w:val="0"/>
        <w:adjustRightInd w:val="0"/>
        <w:snapToGrid w:val="0"/>
        <w:spacing w:line="360" w:lineRule="exact"/>
        <w:ind w:firstLine="440" w:firstLineChars="200"/>
        <w:textAlignment w:val="bottom"/>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rPr>
        <w:t>分包意向协议</w:t>
      </w:r>
      <w:r>
        <w:rPr>
          <w:rFonts w:hint="eastAsia" w:ascii="宋体" w:hAnsi="宋体" w:eastAsia="宋体" w:cs="宋体"/>
          <w:b/>
          <w:bCs/>
          <w:color w:val="auto"/>
          <w:sz w:val="22"/>
          <w:highlight w:val="none"/>
          <w:u w:val="single"/>
        </w:rPr>
        <w:t>(以</w:t>
      </w:r>
      <w:r>
        <w:rPr>
          <w:rFonts w:hint="eastAsia" w:ascii="宋体" w:hAnsi="宋体" w:eastAsia="宋体" w:cs="宋体"/>
          <w:b/>
          <w:bCs/>
          <w:color w:val="auto"/>
          <w:sz w:val="22"/>
          <w:highlight w:val="none"/>
          <w:u w:val="single"/>
          <w:lang w:val="en-US" w:eastAsia="zh-CN"/>
        </w:rPr>
        <w:t>分包</w:t>
      </w:r>
      <w:r>
        <w:rPr>
          <w:rFonts w:hint="eastAsia" w:ascii="宋体" w:hAnsi="宋体" w:eastAsia="宋体" w:cs="宋体"/>
          <w:b/>
          <w:bCs/>
          <w:color w:val="auto"/>
          <w:sz w:val="22"/>
          <w:highlight w:val="none"/>
          <w:u w:val="single"/>
        </w:rPr>
        <w:t>形式投标的提供</w:t>
      </w:r>
      <w:r>
        <w:rPr>
          <w:rFonts w:hint="eastAsia" w:ascii="宋体" w:hAnsi="宋体" w:eastAsia="宋体" w:cs="宋体"/>
          <w:b/>
          <w:bCs/>
          <w:color w:val="auto"/>
          <w:sz w:val="22"/>
          <w:highlight w:val="none"/>
          <w:u w:val="single"/>
          <w:lang w:val="en-US" w:eastAsia="zh-CN"/>
        </w:rPr>
        <w:t>分包意向</w:t>
      </w:r>
      <w:r>
        <w:rPr>
          <w:rFonts w:hint="eastAsia" w:ascii="宋体" w:hAnsi="宋体" w:eastAsia="宋体" w:cs="宋体"/>
          <w:b/>
          <w:bCs/>
          <w:color w:val="auto"/>
          <w:sz w:val="22"/>
          <w:highlight w:val="none"/>
          <w:u w:val="single"/>
        </w:rPr>
        <w:t>协议，项目不接受</w:t>
      </w:r>
      <w:r>
        <w:rPr>
          <w:rFonts w:hint="eastAsia" w:ascii="宋体" w:hAnsi="宋体" w:eastAsia="宋体" w:cs="宋体"/>
          <w:b/>
          <w:bCs/>
          <w:color w:val="auto"/>
          <w:sz w:val="22"/>
          <w:highlight w:val="none"/>
          <w:u w:val="single"/>
          <w:lang w:val="en-US" w:eastAsia="zh-CN"/>
        </w:rPr>
        <w:t>分包</w:t>
      </w:r>
      <w:r>
        <w:rPr>
          <w:rFonts w:hint="eastAsia" w:ascii="宋体" w:hAnsi="宋体" w:eastAsia="宋体" w:cs="宋体"/>
          <w:b/>
          <w:bCs/>
          <w:color w:val="auto"/>
          <w:sz w:val="22"/>
          <w:highlight w:val="none"/>
          <w:u w:val="single"/>
        </w:rPr>
        <w:t>投标或投标人不以</w:t>
      </w:r>
      <w:r>
        <w:rPr>
          <w:rFonts w:hint="eastAsia" w:ascii="宋体" w:hAnsi="宋体" w:eastAsia="宋体" w:cs="宋体"/>
          <w:b/>
          <w:bCs/>
          <w:color w:val="auto"/>
          <w:sz w:val="22"/>
          <w:highlight w:val="none"/>
          <w:u w:val="single"/>
          <w:lang w:val="en-US" w:eastAsia="zh-CN"/>
        </w:rPr>
        <w:t>分包</w:t>
      </w:r>
      <w:r>
        <w:rPr>
          <w:rFonts w:hint="eastAsia" w:ascii="宋体" w:hAnsi="宋体" w:eastAsia="宋体" w:cs="宋体"/>
          <w:b/>
          <w:bCs/>
          <w:color w:val="auto"/>
          <w:sz w:val="22"/>
          <w:highlight w:val="none"/>
          <w:u w:val="single"/>
        </w:rPr>
        <w:t>形式投标的则不需要提供）</w:t>
      </w:r>
    </w:p>
    <w:p w14:paraId="3966286C">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（3）商务和技术文件</w:t>
      </w:r>
    </w:p>
    <w:p w14:paraId="3E48479E">
      <w:pPr>
        <w:keepNext w:val="0"/>
        <w:keepLines w:val="0"/>
        <w:pageBreakBefore w:val="0"/>
        <w:widowControl w:val="0"/>
        <w:numPr>
          <w:ilvl w:val="0"/>
          <w:numId w:val="5"/>
        </w:numPr>
        <w:tabs>
          <w:tab w:val="left" w:pos="5355"/>
        </w:tabs>
        <w:kinsoku/>
        <w:wordWrap w:val="0"/>
        <w:overflowPunct/>
        <w:topLinePunct w:val="0"/>
        <w:autoSpaceDE/>
        <w:autoSpaceDN/>
        <w:bidi w:val="0"/>
        <w:adjustRightInd/>
        <w:snapToGrid/>
        <w:spacing w:line="360" w:lineRule="exact"/>
        <w:ind w:left="0" w:leftChars="0" w:firstLine="440" w:firstLineChars="20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评分索引表（见</w:t>
      </w:r>
      <w:r>
        <w:rPr>
          <w:rFonts w:hint="eastAsia" w:ascii="宋体" w:hAnsi="宋体" w:eastAsia="宋体" w:cs="宋体"/>
          <w:color w:val="auto"/>
          <w:sz w:val="22"/>
          <w:highlight w:val="none"/>
          <w:lang w:eastAsia="zh-CN"/>
        </w:rPr>
        <w:t>附件4</w:t>
      </w:r>
      <w:r>
        <w:rPr>
          <w:rFonts w:hint="eastAsia" w:ascii="宋体" w:hAnsi="宋体" w:eastAsia="宋体" w:cs="宋体"/>
          <w:color w:val="auto"/>
          <w:sz w:val="22"/>
          <w:highlight w:val="none"/>
        </w:rPr>
        <w:t>）</w:t>
      </w:r>
    </w:p>
    <w:p w14:paraId="4B0E1239">
      <w:pPr>
        <w:keepNext w:val="0"/>
        <w:keepLines w:val="0"/>
        <w:pageBreakBefore w:val="0"/>
        <w:widowControl w:val="0"/>
        <w:numPr>
          <w:ilvl w:val="0"/>
          <w:numId w:val="5"/>
        </w:numPr>
        <w:tabs>
          <w:tab w:val="left" w:pos="0"/>
        </w:tabs>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法定代表人、单位负责人或自然人本人的身份证明</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授权委托书</w:t>
      </w:r>
      <w:r>
        <w:rPr>
          <w:rFonts w:hint="eastAsia" w:ascii="宋体" w:hAnsi="宋体" w:eastAsia="宋体" w:cs="宋体"/>
          <w:color w:val="auto"/>
          <w:sz w:val="22"/>
          <w:highlight w:val="none"/>
        </w:rPr>
        <w:t>；（见</w:t>
      </w:r>
      <w:r>
        <w:rPr>
          <w:rFonts w:hint="eastAsia" w:ascii="宋体" w:hAnsi="宋体" w:eastAsia="宋体" w:cs="宋体"/>
          <w:color w:val="auto"/>
          <w:sz w:val="22"/>
          <w:highlight w:val="none"/>
          <w:lang w:eastAsia="zh-CN"/>
        </w:rPr>
        <w:t>附件5</w:t>
      </w:r>
      <w:r>
        <w:rPr>
          <w:rFonts w:hint="eastAsia" w:ascii="宋体" w:hAnsi="宋体" w:eastAsia="宋体" w:cs="宋体"/>
          <w:color w:val="auto"/>
          <w:sz w:val="22"/>
          <w:highlight w:val="none"/>
        </w:rPr>
        <w:t>）</w:t>
      </w:r>
    </w:p>
    <w:p w14:paraId="5D91DECA">
      <w:pPr>
        <w:keepNext w:val="0"/>
        <w:keepLines w:val="0"/>
        <w:pageBreakBefore w:val="0"/>
        <w:widowControl w:val="0"/>
        <w:numPr>
          <w:ilvl w:val="0"/>
          <w:numId w:val="5"/>
        </w:numPr>
        <w:tabs>
          <w:tab w:val="left" w:pos="5355"/>
        </w:tabs>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投标函（见</w:t>
      </w:r>
      <w:r>
        <w:rPr>
          <w:rFonts w:hint="eastAsia" w:ascii="宋体" w:hAnsi="宋体" w:eastAsia="宋体" w:cs="宋体"/>
          <w:color w:val="auto"/>
          <w:sz w:val="22"/>
          <w:highlight w:val="none"/>
          <w:lang w:eastAsia="zh-CN"/>
        </w:rPr>
        <w:t>附件6</w:t>
      </w:r>
      <w:r>
        <w:rPr>
          <w:rFonts w:hint="eastAsia" w:ascii="宋体" w:hAnsi="宋体" w:eastAsia="宋体" w:cs="宋体"/>
          <w:color w:val="auto"/>
          <w:sz w:val="22"/>
          <w:highlight w:val="none"/>
        </w:rPr>
        <w:t>）</w:t>
      </w:r>
    </w:p>
    <w:p w14:paraId="4D34C2DB">
      <w:pPr>
        <w:keepNext w:val="0"/>
        <w:keepLines w:val="0"/>
        <w:pageBreakBefore w:val="0"/>
        <w:widowControl w:val="0"/>
        <w:numPr>
          <w:ilvl w:val="0"/>
          <w:numId w:val="5"/>
        </w:numPr>
        <w:tabs>
          <w:tab w:val="left" w:pos="5355"/>
        </w:tabs>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投标声明书（见</w:t>
      </w:r>
      <w:r>
        <w:rPr>
          <w:rFonts w:hint="eastAsia" w:ascii="宋体" w:hAnsi="宋体" w:eastAsia="宋体" w:cs="宋体"/>
          <w:color w:val="auto"/>
          <w:sz w:val="22"/>
          <w:highlight w:val="none"/>
          <w:lang w:eastAsia="zh-CN"/>
        </w:rPr>
        <w:t>附件7</w:t>
      </w:r>
      <w:r>
        <w:rPr>
          <w:rFonts w:hint="eastAsia" w:ascii="宋体" w:hAnsi="宋体" w:eastAsia="宋体" w:cs="宋体"/>
          <w:color w:val="auto"/>
          <w:sz w:val="22"/>
          <w:highlight w:val="none"/>
        </w:rPr>
        <w:t xml:space="preserve">）  </w:t>
      </w:r>
    </w:p>
    <w:p w14:paraId="1190C313">
      <w:pPr>
        <w:keepNext w:val="0"/>
        <w:keepLines w:val="0"/>
        <w:pageBreakBefore w:val="0"/>
        <w:widowControl w:val="0"/>
        <w:numPr>
          <w:ilvl w:val="0"/>
          <w:numId w:val="5"/>
        </w:numPr>
        <w:tabs>
          <w:tab w:val="left" w:pos="5355"/>
        </w:tabs>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投标人基本情况表（见</w:t>
      </w:r>
      <w:r>
        <w:rPr>
          <w:rFonts w:hint="eastAsia" w:ascii="宋体" w:hAnsi="宋体" w:eastAsia="宋体" w:cs="宋体"/>
          <w:color w:val="auto"/>
          <w:sz w:val="22"/>
          <w:highlight w:val="none"/>
          <w:lang w:eastAsia="zh-CN"/>
        </w:rPr>
        <w:t>附件8</w:t>
      </w:r>
      <w:r>
        <w:rPr>
          <w:rFonts w:hint="eastAsia" w:ascii="宋体" w:hAnsi="宋体" w:eastAsia="宋体" w:cs="宋体"/>
          <w:color w:val="auto"/>
          <w:sz w:val="22"/>
          <w:highlight w:val="none"/>
        </w:rPr>
        <w:t xml:space="preserve">）          </w:t>
      </w:r>
    </w:p>
    <w:p w14:paraId="07FE0972">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投标人同类项目业绩一览表（如有）（见</w:t>
      </w:r>
      <w:r>
        <w:rPr>
          <w:rFonts w:hint="eastAsia" w:ascii="宋体" w:hAnsi="宋体" w:eastAsia="宋体" w:cs="宋体"/>
          <w:color w:val="auto"/>
          <w:sz w:val="22"/>
          <w:highlight w:val="none"/>
          <w:lang w:eastAsia="zh-CN"/>
        </w:rPr>
        <w:t>附件9</w:t>
      </w:r>
      <w:r>
        <w:rPr>
          <w:rFonts w:hint="eastAsia" w:ascii="宋体" w:hAnsi="宋体" w:eastAsia="宋体" w:cs="宋体"/>
          <w:color w:val="auto"/>
          <w:sz w:val="22"/>
          <w:highlight w:val="none"/>
        </w:rPr>
        <w:t>）</w:t>
      </w:r>
    </w:p>
    <w:p w14:paraId="1BAC7FA2">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采购需求偏离表（见</w:t>
      </w:r>
      <w:r>
        <w:rPr>
          <w:rFonts w:hint="eastAsia" w:ascii="宋体" w:hAnsi="宋体" w:eastAsia="宋体" w:cs="宋体"/>
          <w:color w:val="auto"/>
          <w:sz w:val="22"/>
          <w:highlight w:val="none"/>
          <w:lang w:eastAsia="zh-CN"/>
        </w:rPr>
        <w:t>附件10</w:t>
      </w:r>
      <w:r>
        <w:rPr>
          <w:rFonts w:hint="eastAsia" w:ascii="宋体" w:hAnsi="宋体" w:eastAsia="宋体" w:cs="宋体"/>
          <w:color w:val="auto"/>
          <w:sz w:val="22"/>
          <w:highlight w:val="none"/>
        </w:rPr>
        <w:t>）</w:t>
      </w:r>
    </w:p>
    <w:p w14:paraId="7CA89960">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节能、环保产品证明材料</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如有</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（见附件1</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w:t>
      </w:r>
    </w:p>
    <w:p w14:paraId="5E203E10">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货物配置清单（见附件1</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w:t>
      </w:r>
    </w:p>
    <w:p w14:paraId="3EC78FE5">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常用材料、零配件及备品备件报价清单（见附件1</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w:t>
      </w:r>
    </w:p>
    <w:p w14:paraId="04DF7611">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质保期外年维保报价（见附件1</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w:t>
      </w:r>
    </w:p>
    <w:p w14:paraId="25DC79FA">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投标产品技术支持材料（见附件1</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w:t>
      </w:r>
    </w:p>
    <w:p w14:paraId="330419A7">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廉政承诺书（见附件1</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w:t>
      </w:r>
    </w:p>
    <w:p w14:paraId="275DD95B">
      <w:pPr>
        <w:keepNext w:val="0"/>
        <w:keepLines w:val="0"/>
        <w:pageBreakBefore w:val="0"/>
        <w:widowControl w:val="0"/>
        <w:numPr>
          <w:ilvl w:val="0"/>
          <w:numId w:val="5"/>
        </w:numPr>
        <w:kinsoku/>
        <w:wordWrap w:val="0"/>
        <w:overflowPunct/>
        <w:topLinePunct w:val="0"/>
        <w:autoSpaceDE/>
        <w:autoSpaceDN/>
        <w:bidi w:val="0"/>
        <w:adjustRightInd/>
        <w:snapToGrid/>
        <w:spacing w:line="360" w:lineRule="exact"/>
        <w:ind w:left="0" w:leftChars="0"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投标人需要说明的其他文件和说明（格式自拟）。</w:t>
      </w:r>
    </w:p>
    <w:p w14:paraId="2D373C3A">
      <w:pPr>
        <w:pageBreakBefore w:val="0"/>
        <w:kinsoku/>
        <w:wordWrap w:val="0"/>
        <w:topLinePunct w:val="0"/>
        <w:bidi w:val="0"/>
        <w:spacing w:line="360" w:lineRule="exact"/>
        <w:ind w:firstLine="442" w:firstLineChars="200"/>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以上内容按照招标文件第四部分附件所附格式填写，相关证书、报告等</w:t>
      </w:r>
      <w:r>
        <w:rPr>
          <w:rFonts w:hint="eastAsia" w:ascii="宋体" w:hAnsi="宋体" w:eastAsia="宋体" w:cs="宋体"/>
          <w:b/>
          <w:bCs/>
          <w:color w:val="auto"/>
          <w:spacing w:val="-6"/>
          <w:sz w:val="22"/>
          <w:highlight w:val="none"/>
        </w:rPr>
        <w:t>如遇年检或换证等特殊情况须按要求提供相应的证明材料</w:t>
      </w:r>
      <w:r>
        <w:rPr>
          <w:rFonts w:hint="eastAsia" w:ascii="宋体" w:hAnsi="宋体" w:eastAsia="宋体" w:cs="宋体"/>
          <w:b/>
          <w:bCs/>
          <w:color w:val="auto"/>
          <w:sz w:val="22"/>
          <w:highlight w:val="none"/>
        </w:rPr>
        <w:t>。没有提供格式的，投标人根据实际情况自行编制。</w:t>
      </w:r>
    </w:p>
    <w:p w14:paraId="41183A4B">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投标人可在招标文件中对服务的技术规格和要求选用替代标准，但这些替代标准必须相等于或优于招标文件中提出的相应要求，并使采购人满意。同时在采购需求偏离表中作出详细说明。</w:t>
      </w:r>
    </w:p>
    <w:p w14:paraId="053884E7">
      <w:pPr>
        <w:pStyle w:val="14"/>
        <w:pageBreakBefore w:val="0"/>
        <w:kinsoku/>
        <w:wordWrap w:val="0"/>
        <w:topLinePunct w:val="0"/>
        <w:bidi w:val="0"/>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5.投标文件格式</w:t>
      </w:r>
    </w:p>
    <w:p w14:paraId="1A5D6F30">
      <w:pPr>
        <w:pageBreakBefore w:val="0"/>
        <w:tabs>
          <w:tab w:val="left" w:pos="-180"/>
          <w:tab w:val="left" w:pos="180"/>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5.1投标文件须包括本须知第4条中规定的全部内容，投标人不按招标文件的要求提供的投标文件和资料将视为没有对招标文件作实质性响应，其投标将被拒绝，其风险由投标人自行承担。</w:t>
      </w:r>
    </w:p>
    <w:p w14:paraId="7C8CBB05">
      <w:pPr>
        <w:pageBreakBefore w:val="0"/>
        <w:tabs>
          <w:tab w:val="left" w:pos="-180"/>
          <w:tab w:val="left" w:pos="180"/>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7F294EF7">
      <w:pPr>
        <w:pStyle w:val="14"/>
        <w:pageBreakBefore w:val="0"/>
        <w:kinsoku/>
        <w:wordWrap w:val="0"/>
        <w:topLinePunct w:val="0"/>
        <w:bidi w:val="0"/>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6.投标文件编制要求</w:t>
      </w:r>
    </w:p>
    <w:p w14:paraId="0B92D236">
      <w:pPr>
        <w:pageBreakBefore w:val="0"/>
        <w:tabs>
          <w:tab w:val="left" w:pos="-180"/>
          <w:tab w:val="left" w:pos="180"/>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6.1</w:t>
      </w:r>
      <w:r>
        <w:rPr>
          <w:rFonts w:hint="eastAsia" w:ascii="宋体" w:hAnsi="宋体" w:eastAsia="宋体" w:cs="宋体"/>
          <w:b/>
          <w:bCs/>
          <w:color w:val="auto"/>
          <w:sz w:val="22"/>
          <w:highlight w:val="none"/>
        </w:rPr>
        <w:t>投标人应根据电子投标操作指南按本招标文件规定的格式和顺序编制电子投标文件并进行关联定位</w:t>
      </w:r>
      <w:r>
        <w:rPr>
          <w:rFonts w:hint="eastAsia" w:ascii="宋体" w:hAnsi="宋体" w:eastAsia="宋体" w:cs="宋体"/>
          <w:color w:val="auto"/>
          <w:sz w:val="22"/>
          <w:highlight w:val="none"/>
        </w:rPr>
        <w:t>。</w:t>
      </w:r>
    </w:p>
    <w:p w14:paraId="4C71B690">
      <w:pPr>
        <w:pageBreakBefore w:val="0"/>
        <w:tabs>
          <w:tab w:val="left" w:pos="-180"/>
          <w:tab w:val="left" w:pos="180"/>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6.2由于未按招标文件的规定要求编制投标文件，导致评审小组作出的对投标人的误判，责任由投标人自己承担。</w:t>
      </w:r>
    </w:p>
    <w:p w14:paraId="04A7F444">
      <w:pPr>
        <w:pageBreakBefore w:val="0"/>
        <w:tabs>
          <w:tab w:val="left" w:pos="-180"/>
          <w:tab w:val="left" w:pos="180"/>
          <w:tab w:val="left" w:pos="360"/>
        </w:tabs>
        <w:kinsoku/>
        <w:wordWrap w:val="0"/>
        <w:topLinePunct w:val="0"/>
        <w:bidi w:val="0"/>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7.投标报价</w:t>
      </w:r>
    </w:p>
    <w:p w14:paraId="75C94325">
      <w:pPr>
        <w:pageBreakBefore w:val="0"/>
        <w:tabs>
          <w:tab w:val="left" w:pos="-180"/>
          <w:tab w:val="left" w:pos="180"/>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7.1投标人须按第四部分附件的开标一览表（统一格式）、投标报价明细表（统一格式）的内容填写，并由法定代表人或授权代表签字或盖章。</w:t>
      </w:r>
    </w:p>
    <w:p w14:paraId="7799F672">
      <w:pPr>
        <w:pageBreakBefore w:val="0"/>
        <w:tabs>
          <w:tab w:val="left" w:pos="-180"/>
          <w:tab w:val="left" w:pos="180"/>
          <w:tab w:val="left" w:pos="360"/>
        </w:tabs>
        <w:kinsoku/>
        <w:wordWrap w:val="0"/>
        <w:topLinePunct w:val="0"/>
        <w:bidi w:val="0"/>
        <w:spacing w:line="360" w:lineRule="exact"/>
        <w:ind w:firstLine="442" w:firstLineChars="200"/>
        <w:outlineLvl w:val="9"/>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w:t>
      </w: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报价货币为人民币。</w:t>
      </w:r>
    </w:p>
    <w:p w14:paraId="28BAEBF4">
      <w:pPr>
        <w:pageBreakBefore w:val="0"/>
        <w:tabs>
          <w:tab w:val="left" w:pos="-180"/>
          <w:tab w:val="left" w:pos="180"/>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w:t>
      </w:r>
      <w:r>
        <w:rPr>
          <w:rFonts w:hint="eastAsia" w:ascii="宋体" w:hAnsi="宋体" w:eastAsia="宋体" w:cs="宋体"/>
          <w:color w:val="auto"/>
          <w:sz w:val="22"/>
          <w:highlight w:val="none"/>
          <w:u w:val="single"/>
          <w:lang w:val="en-US" w:eastAsia="zh-CN"/>
        </w:rPr>
        <w:t>3</w:t>
      </w:r>
      <w:r>
        <w:rPr>
          <w:rFonts w:hint="eastAsia" w:ascii="宋体" w:hAnsi="宋体" w:eastAsia="宋体" w:cs="宋体"/>
          <w:color w:val="auto"/>
          <w:sz w:val="22"/>
          <w:highlight w:val="none"/>
          <w:u w:val="single"/>
        </w:rPr>
        <w:t>采购人不接受任何选择报价，本次投标每项货物只允许一个报价。</w:t>
      </w:r>
    </w:p>
    <w:p w14:paraId="6879C022">
      <w:pPr>
        <w:pageBreakBefore w:val="0"/>
        <w:tabs>
          <w:tab w:val="left" w:pos="-180"/>
          <w:tab w:val="left" w:pos="180"/>
          <w:tab w:val="left" w:pos="360"/>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最低报价不能作为中标的保证。</w:t>
      </w:r>
    </w:p>
    <w:p w14:paraId="6B339B9F">
      <w:pPr>
        <w:pageBreakBefore w:val="0"/>
        <w:tabs>
          <w:tab w:val="left" w:pos="-180"/>
          <w:tab w:val="left" w:pos="180"/>
          <w:tab w:val="left" w:pos="360"/>
        </w:tabs>
        <w:kinsoku/>
        <w:wordWrap w:val="0"/>
        <w:topLinePunct w:val="0"/>
        <w:bidi w:val="0"/>
        <w:spacing w:line="360" w:lineRule="exact"/>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8.投标保证金</w:t>
      </w:r>
      <w:r>
        <w:rPr>
          <w:rFonts w:hint="eastAsia" w:ascii="宋体" w:hAnsi="宋体" w:eastAsia="宋体" w:cs="宋体"/>
          <w:snapToGrid w:val="0"/>
          <w:color w:val="auto"/>
          <w:kern w:val="0"/>
          <w:sz w:val="22"/>
          <w:highlight w:val="none"/>
        </w:rPr>
        <w:t>退付：供应商在投标截止时间前撤回已提交的投标文件的，自收到供应商书面撤回通知之日起5个工作日内退还已收取的投标保证金；自中标通知书发出之日起5个工作日内退还未中标人的投标保证金，自</w:t>
      </w:r>
      <w:r>
        <w:rPr>
          <w:rFonts w:hint="eastAsia" w:ascii="宋体" w:hAnsi="宋体" w:eastAsia="宋体" w:cs="宋体"/>
          <w:snapToGrid w:val="0"/>
          <w:color w:val="auto"/>
          <w:kern w:val="0"/>
          <w:sz w:val="22"/>
          <w:highlight w:val="none"/>
          <w:lang w:eastAsia="zh-CN"/>
        </w:rPr>
        <w:t>采购</w:t>
      </w:r>
      <w:r>
        <w:rPr>
          <w:rFonts w:hint="eastAsia" w:ascii="宋体" w:hAnsi="宋体" w:eastAsia="宋体" w:cs="宋体"/>
          <w:snapToGrid w:val="0"/>
          <w:color w:val="auto"/>
          <w:kern w:val="0"/>
          <w:sz w:val="22"/>
          <w:highlight w:val="none"/>
        </w:rPr>
        <w:t>合同签订之日起5个工作日内退还中标人的投标保证金，但因供应商自身原因导致无法及时退还的除外。</w:t>
      </w:r>
    </w:p>
    <w:p w14:paraId="2097118C">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9.投标有效期</w:t>
      </w:r>
    </w:p>
    <w:p w14:paraId="2118E45F">
      <w:pPr>
        <w:pageBreakBefore w:val="0"/>
        <w:kinsoku/>
        <w:wordWrap w:val="0"/>
        <w:topLinePunct w:val="0"/>
        <w:bidi w:val="0"/>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9.1</w:t>
      </w:r>
      <w:r>
        <w:rPr>
          <w:rFonts w:hint="eastAsia" w:ascii="宋体" w:hAnsi="宋体" w:eastAsia="宋体" w:cs="宋体"/>
          <w:b/>
          <w:bCs/>
          <w:color w:val="auto"/>
          <w:sz w:val="22"/>
          <w:highlight w:val="none"/>
        </w:rPr>
        <w:t>自提交投标文件的截止之日起</w:t>
      </w:r>
      <w:r>
        <w:rPr>
          <w:rFonts w:hint="eastAsia" w:ascii="宋体" w:hAnsi="宋体" w:eastAsia="宋体" w:cs="宋体"/>
          <w:b/>
          <w:bCs/>
          <w:color w:val="auto"/>
          <w:sz w:val="22"/>
          <w:highlight w:val="none"/>
          <w:u w:val="single"/>
        </w:rPr>
        <w:t>90</w:t>
      </w:r>
      <w:r>
        <w:rPr>
          <w:rFonts w:hint="eastAsia" w:ascii="宋体" w:hAnsi="宋体" w:eastAsia="宋体" w:cs="宋体"/>
          <w:b/>
          <w:bCs/>
          <w:color w:val="auto"/>
          <w:sz w:val="22"/>
          <w:highlight w:val="none"/>
        </w:rPr>
        <w:t>天内投标应保持有效。有效期不足的投标文件将被拒绝。</w:t>
      </w:r>
    </w:p>
    <w:p w14:paraId="7D69CCE7">
      <w:pPr>
        <w:pageBreakBefore w:val="0"/>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9.2特殊情况下，在原投标有效期截止前，采购人可与投标人协商延长投标有效期，这种要求和答复均以书面形式进行。投标人可拒绝接受延期要求。同意延长投标有效期的投标人不得修改投标文件。</w:t>
      </w:r>
    </w:p>
    <w:p w14:paraId="1860AD38">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10.投标文件的签署和规定</w:t>
      </w:r>
    </w:p>
    <w:p w14:paraId="519C0B9A">
      <w:pPr>
        <w:pageBreakBefore w:val="0"/>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10.1投标人应按照招标文件和</w:t>
      </w:r>
      <w:r>
        <w:rPr>
          <w:rFonts w:hint="eastAsia" w:ascii="宋体" w:hAnsi="宋体" w:eastAsia="宋体" w:cs="宋体"/>
          <w:color w:val="auto"/>
          <w:sz w:val="22"/>
          <w:highlight w:val="none"/>
          <w:lang w:val="en-US" w:eastAsia="zh-CN"/>
        </w:rPr>
        <w:t>乐采云</w:t>
      </w:r>
      <w:r>
        <w:rPr>
          <w:rFonts w:hint="eastAsia" w:ascii="宋体" w:hAnsi="宋体" w:eastAsia="宋体" w:cs="宋体"/>
          <w:color w:val="auto"/>
          <w:sz w:val="22"/>
          <w:highlight w:val="none"/>
        </w:rPr>
        <w:t>平台的要求，根据投标文件的组成规定的内容及顺序通过</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电子交易客户端（</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投标客户端）编制加密投标文件，投标文件内容不完整、编排混乱导致投标文件被误读、漏读或者查找不到相关内容的，是投标人的责任。</w:t>
      </w:r>
      <w:r>
        <w:rPr>
          <w:rFonts w:hint="eastAsia" w:ascii="宋体" w:hAnsi="宋体" w:eastAsia="宋体" w:cs="宋体"/>
          <w:b/>
          <w:bCs/>
          <w:color w:val="auto"/>
          <w:spacing w:val="-6"/>
          <w:sz w:val="22"/>
          <w:highlight w:val="none"/>
        </w:rPr>
        <w:t>其中资格文件、商务和技术文件中不得出现投标报价，如因投标人原因提前泄露投标报价，是投标人的责任。</w:t>
      </w:r>
    </w:p>
    <w:p w14:paraId="7E2AB598">
      <w:pPr>
        <w:pageBreakBefore w:val="0"/>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10.2投标文件须由投标人在规定位置加盖公章并由投标人代表签署，投标人应写全称。</w:t>
      </w:r>
    </w:p>
    <w:p w14:paraId="1F5EF6F8">
      <w:pPr>
        <w:pageBreakBefore w:val="0"/>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10.3投标文件不得涂改，若有修改错漏处，须由投标人代表签字并加盖公章。投标文件因字迹潦草或表达不清所引起的后果由投标人负责。</w:t>
      </w:r>
    </w:p>
    <w:p w14:paraId="0EA05F16">
      <w:pPr>
        <w:pageBreakBefore w:val="0"/>
        <w:kinsoku/>
        <w:wordWrap w:val="0"/>
        <w:topLinePunct w:val="0"/>
        <w:bidi w:val="0"/>
        <w:spacing w:line="360" w:lineRule="exact"/>
        <w:ind w:firstLine="440" w:firstLineChars="200"/>
        <w:rPr>
          <w:rFonts w:hint="eastAsia" w:ascii="宋体" w:hAnsi="宋体" w:eastAsia="宋体" w:cs="宋体"/>
          <w:b/>
          <w:color w:val="auto"/>
          <w:sz w:val="26"/>
          <w:highlight w:val="none"/>
        </w:rPr>
      </w:pPr>
      <w:r>
        <w:rPr>
          <w:rFonts w:hint="eastAsia" w:ascii="宋体" w:hAnsi="宋体" w:eastAsia="宋体" w:cs="宋体"/>
          <w:color w:val="auto"/>
          <w:sz w:val="22"/>
          <w:highlight w:val="none"/>
        </w:rPr>
        <w:t>10.4</w:t>
      </w:r>
      <w:r>
        <w:rPr>
          <w:rFonts w:hint="eastAsia" w:ascii="宋体" w:hAnsi="宋体" w:eastAsia="宋体" w:cs="宋体"/>
          <w:b/>
          <w:bCs/>
          <w:color w:val="auto"/>
          <w:sz w:val="22"/>
          <w:highlight w:val="none"/>
        </w:rPr>
        <w:t>投标文件字迹模糊或在关键的技术、商务条款上表述不清楚，将可能导致其投标被拒绝。</w:t>
      </w:r>
    </w:p>
    <w:p w14:paraId="03F9EAD7">
      <w:pPr>
        <w:pageBreakBefore w:val="0"/>
        <w:kinsoku/>
        <w:wordWrap w:val="0"/>
        <w:topLinePunct w:val="0"/>
        <w:bidi w:val="0"/>
        <w:spacing w:line="360" w:lineRule="exact"/>
        <w:ind w:firstLine="522" w:firstLineChars="200"/>
        <w:jc w:val="center"/>
        <w:rPr>
          <w:rFonts w:hint="eastAsia" w:ascii="宋体" w:hAnsi="宋体" w:eastAsia="宋体" w:cs="宋体"/>
          <w:b/>
          <w:color w:val="auto"/>
          <w:sz w:val="26"/>
          <w:highlight w:val="none"/>
        </w:rPr>
      </w:pPr>
    </w:p>
    <w:p w14:paraId="4F166825">
      <w:pPr>
        <w:pageBreakBefore w:val="0"/>
        <w:kinsoku/>
        <w:wordWrap w:val="0"/>
        <w:topLinePunct w:val="0"/>
        <w:bidi w:val="0"/>
        <w:spacing w:line="360" w:lineRule="exact"/>
        <w:ind w:firstLine="522" w:firstLineChars="200"/>
        <w:jc w:val="center"/>
        <w:outlineLvl w:val="1"/>
        <w:rPr>
          <w:rFonts w:hint="eastAsia" w:ascii="宋体" w:hAnsi="宋体" w:eastAsia="宋体" w:cs="宋体"/>
          <w:color w:val="auto"/>
          <w:sz w:val="22"/>
          <w:highlight w:val="none"/>
        </w:rPr>
      </w:pPr>
      <w:bookmarkStart w:id="7" w:name="_Toc31408"/>
      <w:r>
        <w:rPr>
          <w:rFonts w:hint="eastAsia" w:ascii="宋体" w:hAnsi="宋体" w:eastAsia="宋体" w:cs="宋体"/>
          <w:b/>
          <w:color w:val="auto"/>
          <w:sz w:val="26"/>
          <w:highlight w:val="none"/>
        </w:rPr>
        <w:t>四、投标文件的递交</w:t>
      </w:r>
      <w:bookmarkEnd w:id="7"/>
    </w:p>
    <w:p w14:paraId="4B432A11">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1.电子投标文件的加密、递交</w:t>
      </w:r>
    </w:p>
    <w:p w14:paraId="4630DF8D">
      <w:pPr>
        <w:pageBreakBefore w:val="0"/>
        <w:kinsoku/>
        <w:wordWrap w:val="0"/>
        <w:topLinePunct w:val="0"/>
        <w:bidi w:val="0"/>
        <w:spacing w:line="360" w:lineRule="exac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kern w:val="0"/>
          <w:sz w:val="22"/>
          <w:highlight w:val="none"/>
        </w:rPr>
        <w:t>投标人</w:t>
      </w:r>
      <w:r>
        <w:rPr>
          <w:rFonts w:hint="eastAsia" w:ascii="宋体" w:hAnsi="宋体" w:eastAsia="宋体" w:cs="宋体"/>
          <w:color w:val="auto"/>
          <w:spacing w:val="-6"/>
          <w:sz w:val="22"/>
          <w:highlight w:val="none"/>
        </w:rPr>
        <w:t>于投标文件提交截止时间前按照电子投标要求将加密电子投标文件上传到“</w:t>
      </w:r>
      <w:r>
        <w:rPr>
          <w:rFonts w:hint="eastAsia" w:ascii="宋体" w:hAnsi="宋体" w:eastAsia="宋体" w:cs="宋体"/>
          <w:color w:val="auto"/>
          <w:spacing w:val="-6"/>
          <w:sz w:val="22"/>
          <w:highlight w:val="none"/>
          <w:lang w:eastAsia="zh-CN"/>
        </w:rPr>
        <w:t>乐采云</w:t>
      </w:r>
      <w:r>
        <w:rPr>
          <w:rFonts w:hint="eastAsia" w:ascii="宋体" w:hAnsi="宋体" w:eastAsia="宋体" w:cs="宋体"/>
          <w:color w:val="auto"/>
          <w:spacing w:val="-6"/>
          <w:sz w:val="22"/>
          <w:highlight w:val="none"/>
        </w:rPr>
        <w:t>”平台，逾期或未上传成功的将被</w:t>
      </w:r>
      <w:r>
        <w:rPr>
          <w:rFonts w:hint="eastAsia" w:ascii="宋体" w:hAnsi="宋体" w:eastAsia="宋体" w:cs="宋体"/>
          <w:color w:val="auto"/>
          <w:spacing w:val="-6"/>
          <w:sz w:val="22"/>
          <w:highlight w:val="none"/>
          <w:lang w:val="en-US" w:eastAsia="zh-CN"/>
        </w:rPr>
        <w:t>乐采</w:t>
      </w:r>
      <w:r>
        <w:rPr>
          <w:rFonts w:hint="eastAsia" w:ascii="宋体" w:hAnsi="宋体" w:eastAsia="宋体" w:cs="宋体"/>
          <w:color w:val="auto"/>
          <w:spacing w:val="-6"/>
          <w:sz w:val="22"/>
          <w:highlight w:val="none"/>
        </w:rPr>
        <w:t>云平台拒收</w:t>
      </w:r>
      <w:r>
        <w:rPr>
          <w:rFonts w:hint="eastAsia" w:ascii="宋体" w:hAnsi="宋体" w:eastAsia="宋体" w:cs="宋体"/>
          <w:color w:val="auto"/>
          <w:kern w:val="0"/>
          <w:sz w:val="22"/>
          <w:highlight w:val="none"/>
        </w:rPr>
        <w:t>。</w:t>
      </w:r>
    </w:p>
    <w:p w14:paraId="114E1525">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2.</w:t>
      </w:r>
      <w:r>
        <w:rPr>
          <w:rFonts w:hint="eastAsia" w:ascii="宋体" w:hAnsi="宋体" w:eastAsia="宋体" w:cs="宋体"/>
          <w:b/>
          <w:color w:val="auto"/>
          <w:sz w:val="22"/>
          <w:highlight w:val="none"/>
        </w:rPr>
        <w:t>备份投标文件的加密、递交（如有）</w:t>
      </w:r>
    </w:p>
    <w:p w14:paraId="2DBE4F49">
      <w:pPr>
        <w:pageBreakBefore w:val="0"/>
        <w:kinsoku/>
        <w:wordWrap w:val="0"/>
        <w:topLinePunct w:val="0"/>
        <w:bidi w:val="0"/>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sz w:val="22"/>
          <w:highlight w:val="none"/>
        </w:rPr>
        <w:t>为</w:t>
      </w:r>
      <w:r>
        <w:rPr>
          <w:rFonts w:hint="eastAsia" w:ascii="宋体" w:hAnsi="宋体" w:eastAsia="宋体" w:cs="宋体"/>
          <w:color w:val="auto"/>
          <w:kern w:val="0"/>
          <w:sz w:val="22"/>
          <w:highlight w:val="none"/>
        </w:rPr>
        <w:t>确保采购项目顺利实施，避免因</w:t>
      </w:r>
      <w:r>
        <w:rPr>
          <w:rFonts w:hint="eastAsia" w:ascii="宋体" w:hAnsi="宋体" w:eastAsia="宋体" w:cs="宋体"/>
          <w:color w:val="auto"/>
          <w:kern w:val="0"/>
          <w:sz w:val="22"/>
          <w:highlight w:val="none"/>
          <w:lang w:eastAsia="zh-CN"/>
        </w:rPr>
        <w:t>乐采云</w:t>
      </w:r>
      <w:r>
        <w:rPr>
          <w:rFonts w:hint="eastAsia" w:ascii="宋体" w:hAnsi="宋体" w:eastAsia="宋体" w:cs="宋体"/>
          <w:color w:val="auto"/>
          <w:kern w:val="0"/>
          <w:sz w:val="22"/>
          <w:highlight w:val="none"/>
        </w:rPr>
        <w:t>上电子投标文件解密失败导致投标人投标无效，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2"/>
          <w:highlight w:val="none"/>
        </w:rPr>
        <w:t>投标人在</w:t>
      </w:r>
      <w:r>
        <w:rPr>
          <w:rFonts w:hint="eastAsia" w:ascii="宋体" w:hAnsi="宋体" w:eastAsia="宋体" w:cs="宋体"/>
          <w:color w:val="auto"/>
          <w:spacing w:val="-6"/>
          <w:sz w:val="22"/>
          <w:highlight w:val="none"/>
          <w:lang w:val="en-US" w:eastAsia="zh-CN"/>
        </w:rPr>
        <w:t>乐采</w:t>
      </w:r>
      <w:r>
        <w:rPr>
          <w:rFonts w:hint="eastAsia" w:ascii="宋体" w:hAnsi="宋体" w:eastAsia="宋体" w:cs="宋体"/>
          <w:color w:val="auto"/>
          <w:spacing w:val="-6"/>
          <w:sz w:val="22"/>
          <w:highlight w:val="none"/>
        </w:rPr>
        <w:t>云平台</w:t>
      </w:r>
      <w:r>
        <w:rPr>
          <w:rFonts w:hint="eastAsia" w:ascii="宋体" w:hAnsi="宋体" w:eastAsia="宋体" w:cs="宋体"/>
          <w:color w:val="auto"/>
          <w:kern w:val="0"/>
          <w:sz w:val="22"/>
          <w:highlight w:val="none"/>
        </w:rPr>
        <w:t>完成加密电子投标文件的上传后投标文件提交截止时间前将</w:t>
      </w:r>
      <w:r>
        <w:rPr>
          <w:rFonts w:hint="eastAsia" w:ascii="宋体" w:hAnsi="宋体" w:eastAsia="宋体" w:cs="宋体"/>
          <w:b/>
          <w:bCs/>
          <w:color w:val="auto"/>
          <w:sz w:val="22"/>
          <w:highlight w:val="none"/>
        </w:rPr>
        <w:t>以介质存储的数据电文形式的备份投标文件按“</w:t>
      </w:r>
      <w:r>
        <w:rPr>
          <w:rFonts w:hint="eastAsia" w:ascii="宋体" w:hAnsi="宋体" w:eastAsia="宋体" w:cs="宋体"/>
          <w:b/>
          <w:bCs/>
          <w:color w:val="auto"/>
          <w:sz w:val="22"/>
          <w:highlight w:val="none"/>
          <w:lang w:val="zh-CN"/>
        </w:rPr>
        <w:t>投标人须知前附表</w:t>
      </w:r>
      <w:r>
        <w:rPr>
          <w:rFonts w:hint="eastAsia" w:ascii="宋体" w:hAnsi="宋体" w:eastAsia="宋体" w:cs="宋体"/>
          <w:b/>
          <w:bCs/>
          <w:color w:val="auto"/>
          <w:sz w:val="22"/>
          <w:highlight w:val="none"/>
        </w:rPr>
        <w:t>”要求</w:t>
      </w:r>
      <w:r>
        <w:rPr>
          <w:rFonts w:hint="eastAsia" w:ascii="宋体" w:hAnsi="宋体" w:eastAsia="宋体" w:cs="宋体"/>
          <w:b/>
          <w:bCs/>
          <w:color w:val="auto"/>
          <w:sz w:val="22"/>
          <w:highlight w:val="none"/>
        </w:rPr>
        <w:fldChar w:fldCharType="end"/>
      </w:r>
      <w:r>
        <w:rPr>
          <w:rFonts w:hint="eastAsia" w:ascii="宋体" w:hAnsi="宋体" w:eastAsia="宋体" w:cs="宋体"/>
          <w:color w:val="auto"/>
          <w:kern w:val="0"/>
          <w:sz w:val="22"/>
          <w:highlight w:val="none"/>
        </w:rPr>
        <w:t>加密、递交。</w:t>
      </w:r>
    </w:p>
    <w:p w14:paraId="406F724C">
      <w:pPr>
        <w:pStyle w:val="14"/>
        <w:pageBreakBefore w:val="0"/>
        <w:kinsoku/>
        <w:wordWrap w:val="0"/>
        <w:topLinePunct w:val="0"/>
        <w:bidi w:val="0"/>
        <w:snapToGrid w:val="0"/>
        <w:spacing w:line="36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本项目由采购代理机构做好“</w:t>
      </w:r>
      <w:r>
        <w:rPr>
          <w:rFonts w:hint="eastAsia" w:ascii="宋体" w:hAnsi="宋体" w:eastAsia="宋体" w:cs="宋体"/>
          <w:b/>
          <w:bCs/>
          <w:color w:val="auto"/>
          <w:sz w:val="22"/>
          <w:highlight w:val="none"/>
        </w:rPr>
        <w:t>介质存储的数据电文形式的备份投标文件</w:t>
      </w:r>
      <w:r>
        <w:rPr>
          <w:rFonts w:hint="eastAsia" w:ascii="宋体" w:hAnsi="宋体" w:eastAsia="宋体" w:cs="宋体"/>
          <w:color w:val="auto"/>
          <w:kern w:val="0"/>
          <w:sz w:val="22"/>
          <w:highlight w:val="none"/>
        </w:rPr>
        <w:t>”的签收工作后，与投标资料一并归档。投标人授权代表不参加现场开标活动，由相关人员进行现场监督。采购代理机构将记录所有投标文件的开封过程的有关内容，并由相关人员签字确认。</w:t>
      </w:r>
    </w:p>
    <w:p w14:paraId="6957E78D">
      <w:pPr>
        <w:pageBreakBefore w:val="0"/>
        <w:kinsoku/>
        <w:wordWrap w:val="0"/>
        <w:topLinePunct w:val="0"/>
        <w:bidi w:val="0"/>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▲投标人递交的介质存储的数据电文形式的备份投标文件时，如出现下列情况之一的，视为无效备份投标文件：</w:t>
      </w:r>
    </w:p>
    <w:p w14:paraId="0519BB49">
      <w:pPr>
        <w:pageBreakBefore w:val="0"/>
        <w:kinsoku/>
        <w:wordWrap w:val="0"/>
        <w:topLinePunct w:val="0"/>
        <w:bidi w:val="0"/>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（1）超过投标文件提交截止时间送达的；</w:t>
      </w:r>
    </w:p>
    <w:p w14:paraId="607C556E">
      <w:pPr>
        <w:pageBreakBefore w:val="0"/>
        <w:kinsoku/>
        <w:wordWrap w:val="0"/>
        <w:topLinePunct w:val="0"/>
        <w:bidi w:val="0"/>
        <w:snapToGrid w:val="0"/>
        <w:spacing w:line="360" w:lineRule="exact"/>
        <w:ind w:firstLine="440" w:firstLineChars="200"/>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（2）未在</w:t>
      </w:r>
      <w:r>
        <w:rPr>
          <w:rFonts w:hint="eastAsia" w:ascii="宋体" w:hAnsi="宋体" w:eastAsia="宋体" w:cs="宋体"/>
          <w:color w:val="auto"/>
          <w:sz w:val="22"/>
          <w:highlight w:val="none"/>
          <w:u w:val="single"/>
          <w:lang w:eastAsia="zh-CN"/>
        </w:rPr>
        <w:t>乐采云</w:t>
      </w:r>
      <w:r>
        <w:rPr>
          <w:rFonts w:hint="eastAsia" w:ascii="宋体" w:hAnsi="宋体" w:eastAsia="宋体" w:cs="宋体"/>
          <w:color w:val="auto"/>
          <w:sz w:val="22"/>
          <w:highlight w:val="none"/>
          <w:u w:val="single"/>
        </w:rPr>
        <w:t>平台获取招标文件的。</w:t>
      </w:r>
    </w:p>
    <w:p w14:paraId="07FF2D22">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3.投标文件的修改和撤回和撤销</w:t>
      </w:r>
    </w:p>
    <w:p w14:paraId="406C6802">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平台拒收。</w:t>
      </w:r>
    </w:p>
    <w:p w14:paraId="71108767">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3.2在投标文件提交截止时间之后，投标人不得对其投标做任何修改。</w:t>
      </w:r>
    </w:p>
    <w:p w14:paraId="0D060BFC">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3.3在投标(响应）截止时间起至投标（响应）有效期届满，投标人投标（响应）文件不可撤销。</w:t>
      </w:r>
    </w:p>
    <w:p w14:paraId="2B4C0B91">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3.4投标人撤销（撤回）投标不得损害国家利益、社会公共利益、采购人利益、代理机构利益、其他投标人利益，否则，投标人撤销（撤回）投标无效。</w:t>
      </w:r>
    </w:p>
    <w:p w14:paraId="1F048068">
      <w:pPr>
        <w:pageBreakBefore w:val="0"/>
        <w:tabs>
          <w:tab w:val="left" w:pos="360"/>
          <w:tab w:val="left" w:pos="540"/>
          <w:tab w:val="left" w:pos="1260"/>
        </w:tabs>
        <w:kinsoku/>
        <w:wordWrap w:val="0"/>
        <w:topLinePunct w:val="0"/>
        <w:bidi w:val="0"/>
        <w:spacing w:line="400" w:lineRule="exact"/>
        <w:ind w:left="919" w:hanging="919" w:hangingChars="352"/>
        <w:jc w:val="center"/>
        <w:outlineLvl w:val="9"/>
        <w:rPr>
          <w:rFonts w:hint="eastAsia" w:ascii="宋体" w:hAnsi="宋体" w:eastAsia="宋体" w:cs="宋体"/>
          <w:b/>
          <w:color w:val="auto"/>
          <w:sz w:val="26"/>
          <w:highlight w:val="none"/>
        </w:rPr>
      </w:pPr>
    </w:p>
    <w:p w14:paraId="05263198">
      <w:pPr>
        <w:pageBreakBefore w:val="0"/>
        <w:tabs>
          <w:tab w:val="left" w:pos="360"/>
          <w:tab w:val="left" w:pos="540"/>
          <w:tab w:val="left" w:pos="1260"/>
        </w:tabs>
        <w:kinsoku/>
        <w:wordWrap w:val="0"/>
        <w:topLinePunct w:val="0"/>
        <w:bidi w:val="0"/>
        <w:spacing w:line="400" w:lineRule="exact"/>
        <w:ind w:left="919" w:hanging="919" w:hangingChars="352"/>
        <w:jc w:val="center"/>
        <w:outlineLvl w:val="1"/>
        <w:rPr>
          <w:rFonts w:hint="eastAsia" w:ascii="宋体" w:hAnsi="宋体" w:eastAsia="宋体" w:cs="宋体"/>
          <w:b/>
          <w:color w:val="auto"/>
          <w:sz w:val="26"/>
          <w:highlight w:val="none"/>
        </w:rPr>
      </w:pPr>
      <w:bookmarkStart w:id="8" w:name="_Toc20677"/>
      <w:r>
        <w:rPr>
          <w:rFonts w:hint="eastAsia" w:ascii="宋体" w:hAnsi="宋体" w:eastAsia="宋体" w:cs="宋体"/>
          <w:b/>
          <w:color w:val="auto"/>
          <w:sz w:val="26"/>
          <w:highlight w:val="none"/>
        </w:rPr>
        <w:t>五、开标和评标</w:t>
      </w:r>
      <w:bookmarkEnd w:id="8"/>
    </w:p>
    <w:p w14:paraId="1ED7A254">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1.评审小组</w:t>
      </w:r>
    </w:p>
    <w:p w14:paraId="5D3FD0D5">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采购人依法组建评审小组。评审小组的成员在评标过程中必须严格遵守《中华人民共和国政府采购法》等有关法律、法规的规定。</w:t>
      </w:r>
    </w:p>
    <w:p w14:paraId="47F09592">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2.评标过程的保密性</w:t>
      </w:r>
    </w:p>
    <w:p w14:paraId="7D2080B3">
      <w:pPr>
        <w:pageBreakBefore w:val="0"/>
        <w:kinsoku/>
        <w:wordWrap w:val="0"/>
        <w:topLinePunct w:val="0"/>
        <w:bidi w:val="0"/>
        <w:spacing w:line="360" w:lineRule="exact"/>
        <w:ind w:firstLine="442" w:firstLineChars="200"/>
        <w:rPr>
          <w:rFonts w:hint="eastAsia" w:ascii="宋体" w:hAnsi="宋体" w:eastAsia="宋体" w:cs="宋体"/>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2.1开标后直至向中标人授予合同时止，凡与评审有关的资料均不得向投标人及与评标无关人员透露。如果投标人在评标过程中试图向采购人施加影响，其投标将被拒绝。</w:t>
      </w:r>
    </w:p>
    <w:p w14:paraId="6477DC11">
      <w:pPr>
        <w:pageBreakBefore w:val="0"/>
        <w:kinsoku/>
        <w:wordWrap w:val="0"/>
        <w:topLinePunct w:val="0"/>
        <w:bidi w:val="0"/>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3.开标</w:t>
      </w:r>
    </w:p>
    <w:p w14:paraId="2B22B955">
      <w:pPr>
        <w:pStyle w:val="49"/>
        <w:pageBreakBefore w:val="0"/>
        <w:kinsoku/>
        <w:wordWrap w:val="0"/>
        <w:topLinePunct w:val="0"/>
        <w:bidi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本项目实行电子开评标，投标人无需前往开评标现场，只需在规定时间内在“</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”平台上上传电子投标文件。</w:t>
      </w:r>
    </w:p>
    <w:p w14:paraId="0904AF21">
      <w:pPr>
        <w:pStyle w:val="49"/>
        <w:pageBreakBefore w:val="0"/>
        <w:kinsoku/>
        <w:wordWrap w:val="0"/>
        <w:topLinePunct w:val="0"/>
        <w:bidi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3.1开标准备</w:t>
      </w:r>
    </w:p>
    <w:p w14:paraId="7B884E10">
      <w:pPr>
        <w:pStyle w:val="49"/>
        <w:pageBreakBefore w:val="0"/>
        <w:kinsoku/>
        <w:wordWrap w:val="0"/>
        <w:topLinePunct w:val="0"/>
        <w:bidi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3.1.1制订开标、评审工作的组织方案，落实工作场地、设施，检查录音录像采集设备运行情况。采用电子评审方式的，验证电子评审系统是否正常运行。</w:t>
      </w:r>
    </w:p>
    <w:p w14:paraId="5D98BB57">
      <w:pPr>
        <w:pStyle w:val="49"/>
        <w:pageBreakBefore w:val="0"/>
        <w:kinsoku/>
        <w:wordWrap w:val="0"/>
        <w:topLinePunct w:val="0"/>
        <w:bidi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3.1.2通知或邀请相关单位和人员出席开标、评审活动（按规定由相关监管部门或其授权机构随机抽取、通知的</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评审专家除外）。</w:t>
      </w:r>
    </w:p>
    <w:p w14:paraId="393451F5">
      <w:pPr>
        <w:pStyle w:val="49"/>
        <w:pageBreakBefore w:val="0"/>
        <w:kinsoku/>
        <w:wordWrap w:val="0"/>
        <w:topLinePunct w:val="0"/>
        <w:bidi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3.1.3准备</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项目的相关文件资料，如项目专家抽取有关凭证、项目书面说明、招标文件、补充文件及质疑答复情况、现场工作所需的相关登记表单、评审工作底稿等。</w:t>
      </w:r>
    </w:p>
    <w:p w14:paraId="6461A1DE">
      <w:pPr>
        <w:pStyle w:val="49"/>
        <w:pageBreakBefore w:val="0"/>
        <w:kinsoku/>
        <w:wordWrap w:val="0"/>
        <w:topLinePunct w:val="0"/>
        <w:bidi w:val="0"/>
        <w:snapToGrid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3.1.4其他应准备的事项。</w:t>
      </w:r>
    </w:p>
    <w:p w14:paraId="6CED2FD9">
      <w:pPr>
        <w:pStyle w:val="10"/>
        <w:pageBreakBefore w:val="0"/>
        <w:kinsoku/>
        <w:wordWrap w:val="0"/>
        <w:topLinePunct w:val="0"/>
        <w:bidi w:val="0"/>
        <w:spacing w:line="360" w:lineRule="exact"/>
        <w:ind w:left="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3.2采购代理机构按照招标文件规定的时间、地点和程序组织开标，具体按以下程序进行：</w:t>
      </w:r>
    </w:p>
    <w:p w14:paraId="66E2ACE0">
      <w:pPr>
        <w:pStyle w:val="14"/>
        <w:pageBreakBefore w:val="0"/>
        <w:kinsoku/>
        <w:wordWrap w:val="0"/>
        <w:topLinePunct w:val="0"/>
        <w:bidi w:val="0"/>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3.2.1</w:t>
      </w:r>
      <w:r>
        <w:rPr>
          <w:rFonts w:hint="eastAsia" w:ascii="宋体" w:hAnsi="宋体" w:eastAsia="宋体" w:cs="宋体"/>
          <w:color w:val="auto"/>
          <w:spacing w:val="-6"/>
          <w:sz w:val="22"/>
          <w:highlight w:val="none"/>
        </w:rPr>
        <w:t>开启评审场地的录音录像采集设备，并确保其正常运行。</w:t>
      </w:r>
    </w:p>
    <w:p w14:paraId="5CE16E2A">
      <w:pPr>
        <w:pStyle w:val="27"/>
        <w:pageBreakBefore w:val="0"/>
        <w:kinsoku/>
        <w:wordWrap w:val="0"/>
        <w:topLinePunct w:val="0"/>
        <w:bidi w:val="0"/>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3.2.2解密</w:t>
      </w:r>
    </w:p>
    <w:p w14:paraId="56B71512">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投标文件提交截止时间止采购代理机构向各投标人发出电子投标文件开始解密通知，由投标人在</w:t>
      </w:r>
      <w:r>
        <w:rPr>
          <w:rFonts w:hint="eastAsia" w:ascii="宋体" w:hAnsi="宋体" w:eastAsia="宋体" w:cs="宋体"/>
          <w:b/>
          <w:bCs/>
          <w:snapToGrid w:val="0"/>
          <w:color w:val="auto"/>
          <w:sz w:val="22"/>
          <w:highlight w:val="none"/>
          <w:lang w:eastAsia="zh-CN"/>
        </w:rPr>
        <w:t>乐采云</w:t>
      </w:r>
      <w:r>
        <w:rPr>
          <w:rFonts w:hint="eastAsia" w:ascii="宋体" w:hAnsi="宋体" w:eastAsia="宋体" w:cs="宋体"/>
          <w:b/>
          <w:bCs/>
          <w:snapToGrid w:val="0"/>
          <w:color w:val="auto"/>
          <w:sz w:val="22"/>
          <w:highlight w:val="none"/>
        </w:rPr>
        <w:t>平台</w:t>
      </w:r>
      <w:r>
        <w:rPr>
          <w:rFonts w:hint="eastAsia" w:ascii="宋体" w:hAnsi="宋体" w:eastAsia="宋体" w:cs="宋体"/>
          <w:b/>
          <w:bCs/>
          <w:color w:val="auto"/>
          <w:sz w:val="22"/>
          <w:highlight w:val="none"/>
        </w:rPr>
        <w:t>规定时间（不少于30分钟）内自行进行投标文件解密（</w:t>
      </w:r>
      <w:r>
        <w:rPr>
          <w:rFonts w:hint="eastAsia" w:ascii="宋体" w:hAnsi="宋体" w:eastAsia="宋体" w:cs="宋体"/>
          <w:b/>
          <w:bCs/>
          <w:color w:val="auto"/>
          <w:kern w:val="0"/>
          <w:sz w:val="22"/>
          <w:highlight w:val="none"/>
        </w:rPr>
        <w:t>投标人无需在开标当天到达开标现场对电子投标进行解密，可在公司办公场地在</w:t>
      </w:r>
      <w:r>
        <w:rPr>
          <w:rFonts w:hint="eastAsia" w:ascii="宋体" w:hAnsi="宋体" w:eastAsia="宋体" w:cs="宋体"/>
          <w:b/>
          <w:bCs/>
          <w:snapToGrid w:val="0"/>
          <w:color w:val="auto"/>
          <w:sz w:val="22"/>
          <w:highlight w:val="none"/>
          <w:lang w:eastAsia="zh-CN"/>
        </w:rPr>
        <w:t>乐采云</w:t>
      </w:r>
      <w:r>
        <w:rPr>
          <w:rFonts w:hint="eastAsia" w:ascii="宋体" w:hAnsi="宋体" w:eastAsia="宋体" w:cs="宋体"/>
          <w:b/>
          <w:bCs/>
          <w:snapToGrid w:val="0"/>
          <w:color w:val="auto"/>
          <w:sz w:val="22"/>
          <w:highlight w:val="none"/>
        </w:rPr>
        <w:t>平台</w:t>
      </w:r>
      <w:r>
        <w:rPr>
          <w:rFonts w:hint="eastAsia" w:ascii="宋体" w:hAnsi="宋体" w:eastAsia="宋体" w:cs="宋体"/>
          <w:b/>
          <w:bCs/>
          <w:color w:val="auto"/>
          <w:kern w:val="0"/>
          <w:sz w:val="22"/>
          <w:highlight w:val="none"/>
        </w:rPr>
        <w:t>规定时间内</w:t>
      </w:r>
      <w:r>
        <w:rPr>
          <w:rFonts w:hint="eastAsia" w:ascii="宋体" w:hAnsi="宋体" w:eastAsia="宋体" w:cs="宋体"/>
          <w:b/>
          <w:bCs/>
          <w:color w:val="auto"/>
          <w:sz w:val="22"/>
          <w:highlight w:val="none"/>
        </w:rPr>
        <w:t>通过制作电子投标文件的CA锁用“项目采购-开标评标”功能</w:t>
      </w:r>
      <w:r>
        <w:rPr>
          <w:rFonts w:hint="eastAsia" w:ascii="宋体" w:hAnsi="宋体" w:eastAsia="宋体" w:cs="宋体"/>
          <w:b/>
          <w:bCs/>
          <w:color w:val="auto"/>
          <w:kern w:val="0"/>
          <w:sz w:val="22"/>
          <w:highlight w:val="none"/>
        </w:rPr>
        <w:t>对电子投标文件进行解密。</w:t>
      </w:r>
      <w:r>
        <w:rPr>
          <w:rFonts w:hint="eastAsia" w:ascii="宋体" w:hAnsi="宋体" w:eastAsia="宋体" w:cs="宋体"/>
          <w:b/>
          <w:bCs/>
          <w:color w:val="auto"/>
          <w:sz w:val="22"/>
          <w:highlight w:val="none"/>
        </w:rPr>
        <w:t>）。</w:t>
      </w:r>
    </w:p>
    <w:p w14:paraId="7971B680">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本项目原则上采用</w:t>
      </w:r>
      <w:r>
        <w:rPr>
          <w:rFonts w:hint="eastAsia" w:ascii="宋体" w:hAnsi="宋体" w:eastAsia="宋体" w:cs="宋体"/>
          <w:b/>
          <w:bCs/>
          <w:color w:val="auto"/>
          <w:sz w:val="22"/>
          <w:highlight w:val="none"/>
          <w:lang w:eastAsia="zh-CN"/>
        </w:rPr>
        <w:t>乐采云</w:t>
      </w:r>
      <w:r>
        <w:rPr>
          <w:rFonts w:hint="eastAsia" w:ascii="宋体" w:hAnsi="宋体" w:eastAsia="宋体" w:cs="宋体"/>
          <w:b/>
          <w:bCs/>
          <w:color w:val="auto"/>
          <w:sz w:val="22"/>
          <w:highlight w:val="none"/>
        </w:rPr>
        <w:t>电子招投标开标及评审程序，但有以下情形的，按以下情况处理：</w:t>
      </w:r>
    </w:p>
    <w:p w14:paraId="74F34908">
      <w:pPr>
        <w:pStyle w:val="14"/>
        <w:pageBreakBefore w:val="0"/>
        <w:kinsoku/>
        <w:wordWrap w:val="0"/>
        <w:topLinePunct w:val="0"/>
        <w:bidi w:val="0"/>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投标人在</w:t>
      </w:r>
      <w:r>
        <w:rPr>
          <w:rFonts w:hint="eastAsia" w:ascii="宋体" w:hAnsi="宋体" w:eastAsia="宋体" w:cs="宋体"/>
          <w:b/>
          <w:bCs/>
          <w:color w:val="auto"/>
          <w:sz w:val="22"/>
          <w:highlight w:val="none"/>
          <w:lang w:eastAsia="zh-CN"/>
        </w:rPr>
        <w:t>乐采云</w:t>
      </w:r>
      <w:r>
        <w:rPr>
          <w:rFonts w:hint="eastAsia" w:ascii="宋体" w:hAnsi="宋体" w:eastAsia="宋体" w:cs="宋体"/>
          <w:b/>
          <w:bCs/>
          <w:color w:val="auto"/>
          <w:sz w:val="22"/>
          <w:highlight w:val="none"/>
        </w:rPr>
        <w:t>规定时间内无法解密或解密失败的，如已按规定递交以介质存储的数据电文形式的备份投标文件的，采购代理机构将按照投标人自身意愿确认是否同意提供加密密码解密传送至浙江乐诚工程咨询有限公司电子邮箱（</w:t>
      </w:r>
      <w:r>
        <w:rPr>
          <w:rFonts w:hint="eastAsia" w:ascii="宋体" w:hAnsi="宋体" w:eastAsia="宋体" w:cs="宋体"/>
          <w:b/>
          <w:bCs/>
          <w:color w:val="auto"/>
          <w:sz w:val="22"/>
          <w:highlight w:val="none"/>
          <w:lang w:eastAsia="zh-CN"/>
        </w:rPr>
        <w:t>58000634</w:t>
      </w:r>
      <w:r>
        <w:rPr>
          <w:rFonts w:hint="eastAsia" w:ascii="宋体" w:hAnsi="宋体" w:eastAsia="宋体" w:cs="宋体"/>
          <w:b/>
          <w:bCs/>
          <w:color w:val="auto"/>
          <w:sz w:val="22"/>
          <w:highlight w:val="none"/>
        </w:rPr>
        <w:t>@qq.com）的以介质存储的数据电文形式的备份投标文件，并</w:t>
      </w:r>
      <w:r>
        <w:rPr>
          <w:rFonts w:hint="eastAsia" w:ascii="宋体" w:hAnsi="宋体" w:eastAsia="宋体" w:cs="宋体"/>
          <w:b/>
          <w:bCs/>
          <w:color w:val="auto"/>
          <w:sz w:val="22"/>
          <w:highlight w:val="none"/>
          <w:lang w:eastAsia="zh-CN"/>
        </w:rPr>
        <w:t>以</w:t>
      </w:r>
      <w:r>
        <w:rPr>
          <w:rFonts w:hint="eastAsia" w:ascii="宋体" w:hAnsi="宋体" w:eastAsia="宋体" w:cs="宋体"/>
          <w:b/>
          <w:bCs/>
          <w:color w:val="auto"/>
          <w:sz w:val="22"/>
          <w:highlight w:val="none"/>
        </w:rPr>
        <w:t>介质存储的数据电文形式的备份投标文件按</w:t>
      </w:r>
      <w:r>
        <w:rPr>
          <w:rFonts w:hint="eastAsia" w:ascii="宋体" w:hAnsi="宋体" w:eastAsia="宋体" w:cs="宋体"/>
          <w:b/>
          <w:bCs/>
          <w:color w:val="auto"/>
          <w:sz w:val="22"/>
          <w:highlight w:val="none"/>
          <w:lang w:val="en-US" w:eastAsia="zh-CN"/>
        </w:rPr>
        <w:t>乐采云</w:t>
      </w:r>
      <w:r>
        <w:rPr>
          <w:rFonts w:hint="eastAsia" w:ascii="宋体" w:hAnsi="宋体" w:eastAsia="宋体" w:cs="宋体"/>
          <w:b/>
          <w:bCs/>
          <w:color w:val="auto"/>
          <w:sz w:val="22"/>
          <w:highlight w:val="none"/>
        </w:rPr>
        <w:t>平台操作规范上传至</w:t>
      </w:r>
      <w:r>
        <w:rPr>
          <w:rFonts w:hint="eastAsia" w:ascii="宋体" w:hAnsi="宋体" w:eastAsia="宋体" w:cs="宋体"/>
          <w:b/>
          <w:bCs/>
          <w:color w:val="auto"/>
          <w:sz w:val="22"/>
          <w:highlight w:val="none"/>
          <w:lang w:val="en-US" w:eastAsia="zh-CN"/>
        </w:rPr>
        <w:t>乐采</w:t>
      </w:r>
      <w:r>
        <w:rPr>
          <w:rFonts w:hint="eastAsia" w:ascii="宋体" w:hAnsi="宋体" w:eastAsia="宋体" w:cs="宋体"/>
          <w:b/>
          <w:bCs/>
          <w:color w:val="auto"/>
          <w:sz w:val="22"/>
          <w:highlight w:val="none"/>
        </w:rPr>
        <w:t>云平台，上传成功后，电子加密投标文件自动失效，否则视为投标文件撤回。投标文件已按时解密的，以介质存储的数据电文形式的备份投标文件自动失效。</w:t>
      </w:r>
    </w:p>
    <w:p w14:paraId="329550A2">
      <w:pPr>
        <w:pStyle w:val="14"/>
        <w:pageBreakBefore w:val="0"/>
        <w:kinsoku/>
        <w:wordWrap w:val="0"/>
        <w:topLinePunct w:val="0"/>
        <w:bidi w:val="0"/>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请各投标人务必在规定时间内完成电子投标文件的解密工作，在电子开评标期间，投标人（授权代表）需确保在各自所在的区域具备上网的技术条件并保持网络及联系方式畅通，联系方式为获取招标文件时</w:t>
      </w:r>
      <w:r>
        <w:rPr>
          <w:rFonts w:hint="eastAsia" w:ascii="宋体" w:hAnsi="宋体" w:eastAsia="宋体" w:cs="宋体"/>
          <w:b/>
          <w:bCs/>
          <w:color w:val="auto"/>
          <w:sz w:val="22"/>
          <w:highlight w:val="none"/>
          <w:lang w:eastAsia="zh-CN"/>
        </w:rPr>
        <w:t>留下</w:t>
      </w:r>
      <w:r>
        <w:rPr>
          <w:rFonts w:hint="eastAsia" w:ascii="宋体" w:hAnsi="宋体" w:eastAsia="宋体" w:cs="宋体"/>
          <w:b/>
          <w:bCs/>
          <w:color w:val="auto"/>
          <w:sz w:val="22"/>
          <w:highlight w:val="none"/>
        </w:rPr>
        <w:t>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14:paraId="0EC1919B">
      <w:pPr>
        <w:pStyle w:val="14"/>
        <w:pageBreakBefore w:val="0"/>
        <w:widowControl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投标人不足3家的，不得开标。</w:t>
      </w:r>
    </w:p>
    <w:p w14:paraId="45A5C91E">
      <w:pPr>
        <w:pStyle w:val="14"/>
        <w:pageBreakBefore w:val="0"/>
        <w:widowControl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3.2.3投标文件解密结束，组织投标人签署《</w:t>
      </w:r>
      <w:r>
        <w:rPr>
          <w:rFonts w:hint="eastAsia" w:ascii="宋体" w:hAnsi="宋体" w:eastAsia="宋体" w:cs="宋体"/>
          <w:color w:val="auto"/>
          <w:sz w:val="22"/>
          <w:highlight w:val="none"/>
          <w:lang w:eastAsia="zh-CN"/>
        </w:rPr>
        <w:t>采购活动现场确认声明书</w:t>
      </w:r>
      <w:r>
        <w:rPr>
          <w:rFonts w:hint="eastAsia" w:ascii="宋体" w:hAnsi="宋体" w:eastAsia="宋体" w:cs="宋体"/>
          <w:color w:val="auto"/>
          <w:sz w:val="22"/>
          <w:highlight w:val="none"/>
        </w:rPr>
        <w:t>》，格式详见</w:t>
      </w:r>
      <w:r>
        <w:rPr>
          <w:rFonts w:hint="eastAsia" w:ascii="宋体" w:hAnsi="宋体" w:eastAsia="宋体" w:cs="宋体"/>
          <w:color w:val="auto"/>
          <w:sz w:val="22"/>
          <w:highlight w:val="none"/>
          <w:lang w:val="en-US" w:eastAsia="zh-CN"/>
        </w:rPr>
        <w:t>附表</w:t>
      </w:r>
      <w:r>
        <w:rPr>
          <w:rFonts w:hint="eastAsia" w:ascii="宋体" w:hAnsi="宋体" w:eastAsia="宋体" w:cs="宋体"/>
          <w:color w:val="auto"/>
          <w:sz w:val="22"/>
          <w:highlight w:val="none"/>
        </w:rPr>
        <w:t>。</w:t>
      </w:r>
    </w:p>
    <w:p w14:paraId="1607AF7D">
      <w:pPr>
        <w:pStyle w:val="14"/>
        <w:pageBreakBefore w:val="0"/>
        <w:widowControl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3.2.4采购代理机构对资格进行审查。</w:t>
      </w:r>
    </w:p>
    <w:p w14:paraId="2AAE93AB">
      <w:pPr>
        <w:pStyle w:val="14"/>
        <w:pageBreakBefore w:val="0"/>
        <w:widowControl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3.2.5评审小组对商务技术文件进行评审。</w:t>
      </w:r>
    </w:p>
    <w:p w14:paraId="4FE81D59">
      <w:pPr>
        <w:pStyle w:val="14"/>
        <w:pageBreakBefore w:val="0"/>
        <w:widowControl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3.2.6评审小组对报价情况进行评审。</w:t>
      </w:r>
    </w:p>
    <w:p w14:paraId="21E8A9A5">
      <w:pPr>
        <w:pStyle w:val="14"/>
        <w:pageBreakBefore w:val="0"/>
        <w:widowControl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3.2.7在系统上公布评审结果。</w:t>
      </w:r>
    </w:p>
    <w:p w14:paraId="4D57F4F2">
      <w:pPr>
        <w:pStyle w:val="14"/>
        <w:pageBreakBefore w:val="0"/>
        <w:widowControl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特别说明：</w:t>
      </w:r>
      <w:r>
        <w:rPr>
          <w:rFonts w:hint="eastAsia" w:ascii="宋体" w:hAnsi="宋体" w:eastAsia="宋体" w:cs="宋体"/>
          <w:color w:val="auto"/>
          <w:sz w:val="22"/>
          <w:highlight w:val="none"/>
          <w:lang w:eastAsia="zh-CN"/>
        </w:rPr>
        <w:t>乐采云</w:t>
      </w:r>
      <w:r>
        <w:rPr>
          <w:rFonts w:hint="eastAsia" w:ascii="宋体" w:hAnsi="宋体" w:eastAsia="宋体" w:cs="宋体"/>
          <w:color w:val="auto"/>
          <w:sz w:val="22"/>
          <w:highlight w:val="none"/>
        </w:rPr>
        <w:t>公司如对电子化开标及评审程序有调整的，按调整后的程序操作。</w:t>
      </w:r>
    </w:p>
    <w:p w14:paraId="56712B44">
      <w:pPr>
        <w:pageBreakBefore w:val="0"/>
        <w:kinsoku/>
        <w:wordWrap w:val="0"/>
        <w:topLinePunct w:val="0"/>
        <w:bidi w:val="0"/>
        <w:spacing w:line="360" w:lineRule="exact"/>
        <w:ind w:firstLine="440" w:firstLineChars="200"/>
        <w:rPr>
          <w:rFonts w:hint="eastAsia" w:ascii="宋体" w:hAnsi="宋体" w:eastAsia="宋体" w:cs="宋体"/>
          <w:bCs/>
          <w:color w:val="auto"/>
          <w:sz w:val="22"/>
          <w:highlight w:val="none"/>
          <w:lang w:val="zh-CN"/>
        </w:rPr>
      </w:pPr>
      <w:r>
        <w:rPr>
          <w:rFonts w:hint="eastAsia" w:ascii="宋体" w:hAnsi="宋体" w:eastAsia="宋体" w:cs="宋体"/>
          <w:color w:val="auto"/>
          <w:sz w:val="22"/>
          <w:highlight w:val="none"/>
        </w:rPr>
        <w:t>4.评标</w:t>
      </w:r>
    </w:p>
    <w:p w14:paraId="3C1AB3C3">
      <w:pPr>
        <w:pStyle w:val="14"/>
        <w:pageBreakBefore w:val="0"/>
        <w:kinsoku/>
        <w:wordWrap w:val="0"/>
        <w:topLinePunct w:val="0"/>
        <w:bidi w:val="0"/>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采购代理机构按照招标文件规定的时间、地点及程序组织评审。评审活动一般应按以下程序组织开展：</w:t>
      </w:r>
    </w:p>
    <w:p w14:paraId="1B559BF8">
      <w:pPr>
        <w:pStyle w:val="14"/>
        <w:pageBreakBefore w:val="0"/>
        <w:kinsoku/>
        <w:wordWrap w:val="0"/>
        <w:topLinePunct w:val="0"/>
        <w:bidi w:val="0"/>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4.1</w:t>
      </w:r>
      <w:r>
        <w:rPr>
          <w:rFonts w:hint="eastAsia" w:ascii="宋体" w:hAnsi="宋体" w:eastAsia="宋体" w:cs="宋体"/>
          <w:color w:val="auto"/>
          <w:spacing w:val="-6"/>
          <w:sz w:val="22"/>
          <w:highlight w:val="none"/>
        </w:rPr>
        <w:t>开启评审场地的录音录像采集设备，并确保其正常运行。</w:t>
      </w:r>
    </w:p>
    <w:p w14:paraId="5254D4A8">
      <w:pPr>
        <w:pStyle w:val="14"/>
        <w:pageBreakBefore w:val="0"/>
        <w:kinsoku/>
        <w:wordWrap w:val="0"/>
        <w:topLinePunct w:val="0"/>
        <w:bidi w:val="0"/>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4.2</w:t>
      </w:r>
      <w:r>
        <w:rPr>
          <w:rFonts w:hint="eastAsia" w:ascii="宋体" w:hAnsi="宋体" w:eastAsia="宋体" w:cs="宋体"/>
          <w:color w:val="auto"/>
          <w:spacing w:val="-6"/>
          <w:sz w:val="22"/>
          <w:highlight w:val="none"/>
        </w:rPr>
        <w:t>核验出席评审活动现场的评审小组各成员身份，并要求其分别登记、签到，按规定统一收缴、保存其通讯工具，无关人员一律拒绝其进入评审现场。</w:t>
      </w:r>
    </w:p>
    <w:p w14:paraId="425A0AE9">
      <w:pPr>
        <w:pStyle w:val="14"/>
        <w:pageBreakBefore w:val="0"/>
        <w:kinsoku/>
        <w:wordWrap w:val="0"/>
        <w:topLinePunct w:val="0"/>
        <w:bidi w:val="0"/>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4.3介绍评审现场的人员情况，宣布评审工作纪律，告知评审小组应当回避情形；组织推选评审小组组长。</w:t>
      </w:r>
    </w:p>
    <w:p w14:paraId="012DBF59">
      <w:pPr>
        <w:pStyle w:val="14"/>
        <w:pageBreakBefore w:val="0"/>
        <w:kinsoku/>
        <w:wordWrap w:val="0"/>
        <w:topLinePunct w:val="0"/>
        <w:bidi w:val="0"/>
        <w:adjustRightInd/>
        <w:spacing w:line="360" w:lineRule="exact"/>
        <w:ind w:firstLine="440"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4.4宣布获取</w:t>
      </w:r>
      <w:r>
        <w:rPr>
          <w:rFonts w:hint="eastAsia" w:ascii="宋体" w:hAnsi="宋体" w:eastAsia="宋体" w:cs="宋体"/>
          <w:color w:val="auto"/>
          <w:spacing w:val="-6"/>
          <w:sz w:val="22"/>
          <w:highlight w:val="none"/>
        </w:rPr>
        <w:t>本项目采购的投标人名单，宣读最终提交投标文件且通过资格审查的投标人名单，组织评审小组各位成员签订《</w:t>
      </w:r>
      <w:r>
        <w:rPr>
          <w:rFonts w:hint="eastAsia" w:ascii="宋体" w:hAnsi="宋体" w:eastAsia="宋体" w:cs="宋体"/>
          <w:color w:val="auto"/>
          <w:spacing w:val="-6"/>
          <w:sz w:val="22"/>
          <w:highlight w:val="none"/>
          <w:lang w:eastAsia="zh-CN"/>
        </w:rPr>
        <w:t>采购</w:t>
      </w:r>
      <w:r>
        <w:rPr>
          <w:rFonts w:hint="eastAsia" w:ascii="宋体" w:hAnsi="宋体" w:eastAsia="宋体" w:cs="宋体"/>
          <w:color w:val="auto"/>
          <w:spacing w:val="-6"/>
          <w:sz w:val="22"/>
          <w:highlight w:val="none"/>
        </w:rPr>
        <w:t>评审人员廉洁自律承诺书》。</w:t>
      </w:r>
    </w:p>
    <w:p w14:paraId="141F57CB">
      <w:pPr>
        <w:pStyle w:val="14"/>
        <w:pageBreakBefore w:val="0"/>
        <w:kinsoku/>
        <w:wordWrap w:val="0"/>
        <w:topLinePunct w:val="0"/>
        <w:bidi w:val="0"/>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4.5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ascii="宋体" w:hAnsi="宋体" w:eastAsia="宋体" w:cs="宋体"/>
          <w:color w:val="auto"/>
          <w:kern w:val="0"/>
          <w:sz w:val="22"/>
          <w:highlight w:val="none"/>
        </w:rPr>
        <w:t>评审小组要求投标人澄清、说明或者补正，须通过</w:t>
      </w:r>
      <w:r>
        <w:rPr>
          <w:rFonts w:hint="eastAsia" w:ascii="宋体" w:hAnsi="宋体" w:eastAsia="宋体" w:cs="宋体"/>
          <w:color w:val="auto"/>
          <w:kern w:val="0"/>
          <w:sz w:val="22"/>
          <w:highlight w:val="none"/>
          <w:lang w:eastAsia="zh-CN"/>
        </w:rPr>
        <w:t>乐采云</w:t>
      </w:r>
      <w:r>
        <w:rPr>
          <w:rFonts w:hint="eastAsia" w:ascii="宋体" w:hAnsi="宋体" w:eastAsia="宋体" w:cs="宋体"/>
          <w:color w:val="auto"/>
          <w:kern w:val="0"/>
          <w:sz w:val="22"/>
          <w:highlight w:val="none"/>
        </w:rPr>
        <w:t>平台要求澄清、说明或者补正。</w:t>
      </w:r>
    </w:p>
    <w:p w14:paraId="36B45C16">
      <w:pPr>
        <w:pStyle w:val="49"/>
        <w:pageBreakBefore w:val="0"/>
        <w:kinsoku/>
        <w:wordWrap w:val="0"/>
        <w:topLinePunct w:val="0"/>
        <w:bidi w:val="0"/>
        <w:snapToGrid w:val="0"/>
        <w:spacing w:line="360" w:lineRule="exact"/>
        <w:ind w:firstLine="416"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4.6评审小组组长组织评审小组独立评审。评审小组对拟认定为投标文件无效的，应组织相关投标人代表进行陈述、澄清或申辩；评审小组组长对打分结果进行校对、核对并汇总统计；对明显畸高、畸低的评分（其</w:t>
      </w:r>
      <w:r>
        <w:rPr>
          <w:rFonts w:hint="eastAsia" w:ascii="宋体" w:hAnsi="宋体" w:eastAsia="宋体" w:cs="宋体"/>
          <w:color w:val="auto"/>
          <w:spacing w:val="-6"/>
          <w:sz w:val="22"/>
          <w:highlight w:val="none"/>
          <w:lang w:val="en-US" w:eastAsia="zh-CN"/>
        </w:rPr>
        <w:t>主观</w:t>
      </w:r>
      <w:r>
        <w:rPr>
          <w:rFonts w:hint="eastAsia" w:ascii="宋体" w:hAnsi="宋体" w:eastAsia="宋体" w:cs="宋体"/>
          <w:color w:val="auto"/>
          <w:spacing w:val="-6"/>
          <w:sz w:val="22"/>
          <w:highlight w:val="none"/>
        </w:rPr>
        <w:t>评分偏离平均分30%以上的），评审小组组长应提醒相关评审人员进行复核或书面说明理由，评审人员拒绝说明的，由现场监督员据实记录；评审人员的评审、修改记录应保留原件，随项目其他资料一并存档。</w:t>
      </w:r>
    </w:p>
    <w:p w14:paraId="0047E7BA">
      <w:pPr>
        <w:pStyle w:val="14"/>
        <w:pageBreakBefore w:val="0"/>
        <w:kinsoku/>
        <w:wordWrap w:val="0"/>
        <w:topLinePunct w:val="0"/>
        <w:bidi w:val="0"/>
        <w:adjustRightInd/>
        <w:spacing w:line="360" w:lineRule="exact"/>
        <w:ind w:firstLine="416" w:firstLineChars="200"/>
        <w:textAlignment w:val="auto"/>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做好评审现场相关记录，做好评审报告起草、有关内容电脑文字录入等工作，并要求评审小组各成员签字确认。</w:t>
      </w:r>
    </w:p>
    <w:p w14:paraId="1D5BC311">
      <w:pPr>
        <w:pStyle w:val="14"/>
        <w:pageBreakBefore w:val="0"/>
        <w:kinsoku/>
        <w:wordWrap w:val="0"/>
        <w:topLinePunct w:val="0"/>
        <w:bidi w:val="0"/>
        <w:adjustRightInd/>
        <w:spacing w:line="360" w:lineRule="exact"/>
        <w:ind w:firstLine="416" w:firstLineChars="200"/>
        <w:textAlignment w:val="auto"/>
        <w:rPr>
          <w:rFonts w:hint="eastAsia" w:ascii="宋体" w:hAnsi="宋体" w:eastAsia="宋体" w:cs="宋体"/>
          <w:b/>
          <w:bCs/>
          <w:color w:val="auto"/>
          <w:sz w:val="22"/>
          <w:highlight w:val="none"/>
        </w:rPr>
      </w:pPr>
      <w:r>
        <w:rPr>
          <w:rFonts w:hint="eastAsia" w:ascii="宋体" w:hAnsi="宋体" w:eastAsia="宋体" w:cs="宋体"/>
          <w:color w:val="auto"/>
          <w:spacing w:val="-6"/>
          <w:sz w:val="22"/>
          <w:highlight w:val="none"/>
        </w:rPr>
        <w:t>4.7评审结束后，采购代理机构交还评审人员及其他现场相关人员的通讯工具。</w:t>
      </w:r>
    </w:p>
    <w:p w14:paraId="37F9DF76">
      <w:pPr>
        <w:pageBreakBefore w:val="0"/>
        <w:kinsoku/>
        <w:wordWrap w:val="0"/>
        <w:topLinePunct w:val="0"/>
        <w:bidi w:val="0"/>
        <w:spacing w:line="360" w:lineRule="exact"/>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5.投标无效的情形</w:t>
      </w:r>
    </w:p>
    <w:p w14:paraId="4F725CB9">
      <w:pPr>
        <w:pStyle w:val="14"/>
        <w:pageBreakBefore w:val="0"/>
        <w:kinsoku/>
        <w:wordWrap w:val="0"/>
        <w:topLinePunct w:val="0"/>
        <w:bidi w:val="0"/>
        <w:adjustRightInd/>
        <w:spacing w:line="360" w:lineRule="exact"/>
        <w:ind w:firstLine="440"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rPr>
        <w:t>5.1、有下列情形之一的，将不予受理投标文件：</w:t>
      </w:r>
    </w:p>
    <w:p w14:paraId="77ED27E7">
      <w:pPr>
        <w:pStyle w:val="14"/>
        <w:pageBreakBefore w:val="0"/>
        <w:kinsoku/>
        <w:wordWrap w:val="0"/>
        <w:topLinePunct w:val="0"/>
        <w:bidi w:val="0"/>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（1）逾期上传电子档投标文件至“</w:t>
      </w:r>
      <w:r>
        <w:rPr>
          <w:rFonts w:hint="eastAsia" w:ascii="宋体" w:hAnsi="宋体" w:eastAsia="宋体" w:cs="宋体"/>
          <w:color w:val="auto"/>
          <w:spacing w:val="-6"/>
          <w:sz w:val="22"/>
          <w:highlight w:val="none"/>
          <w:u w:val="single"/>
          <w:lang w:eastAsia="zh-CN"/>
        </w:rPr>
        <w:t>乐采云</w:t>
      </w:r>
      <w:r>
        <w:rPr>
          <w:rFonts w:hint="eastAsia" w:ascii="宋体" w:hAnsi="宋体" w:eastAsia="宋体" w:cs="宋体"/>
          <w:color w:val="auto"/>
          <w:spacing w:val="-6"/>
          <w:sz w:val="22"/>
          <w:highlight w:val="none"/>
          <w:u w:val="single"/>
        </w:rPr>
        <w:t>”平台的；</w:t>
      </w:r>
    </w:p>
    <w:p w14:paraId="3DFA7350">
      <w:pPr>
        <w:pStyle w:val="14"/>
        <w:pageBreakBefore w:val="0"/>
        <w:kinsoku/>
        <w:wordWrap w:val="0"/>
        <w:topLinePunct w:val="0"/>
        <w:bidi w:val="0"/>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（2）</w:t>
      </w:r>
      <w:r>
        <w:rPr>
          <w:rFonts w:hint="eastAsia" w:ascii="宋体" w:hAnsi="宋体" w:eastAsia="宋体" w:cs="宋体"/>
          <w:color w:val="auto"/>
          <w:sz w:val="22"/>
          <w:highlight w:val="none"/>
          <w:u w:val="single"/>
        </w:rPr>
        <w:t>电子投标文件解密失败的，且未在规定时间内提交备份投标文件的视为投标无效</w:t>
      </w:r>
      <w:r>
        <w:rPr>
          <w:rFonts w:hint="eastAsia" w:ascii="宋体" w:hAnsi="宋体" w:eastAsia="宋体" w:cs="宋体"/>
          <w:color w:val="auto"/>
          <w:spacing w:val="-6"/>
          <w:sz w:val="22"/>
          <w:highlight w:val="none"/>
          <w:u w:val="single"/>
        </w:rPr>
        <w:t>；</w:t>
      </w:r>
    </w:p>
    <w:p w14:paraId="78D706DC">
      <w:pPr>
        <w:pStyle w:val="14"/>
        <w:pageBreakBefore w:val="0"/>
        <w:kinsoku/>
        <w:wordWrap w:val="0"/>
        <w:topLinePunct w:val="0"/>
        <w:bidi w:val="0"/>
        <w:adjustRightInd/>
        <w:spacing w:line="360" w:lineRule="exact"/>
        <w:ind w:firstLine="416" w:firstLineChars="200"/>
        <w:textAlignment w:val="auto"/>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（3）仅递交备份电子投标文件的；</w:t>
      </w:r>
    </w:p>
    <w:p w14:paraId="70BA5DC2">
      <w:pPr>
        <w:pageBreakBefore w:val="0"/>
        <w:kinsoku/>
        <w:wordWrap w:val="0"/>
        <w:topLinePunct w:val="0"/>
        <w:bidi w:val="0"/>
        <w:spacing w:line="360" w:lineRule="exact"/>
        <w:ind w:firstLine="416" w:firstLineChars="200"/>
        <w:rPr>
          <w:rFonts w:hint="eastAsia" w:ascii="宋体" w:hAnsi="宋体" w:eastAsia="宋体" w:cs="宋体"/>
          <w:color w:val="auto"/>
          <w:spacing w:val="-6"/>
          <w:sz w:val="22"/>
          <w:highlight w:val="none"/>
          <w:u w:val="single"/>
        </w:rPr>
      </w:pPr>
      <w:r>
        <w:rPr>
          <w:rFonts w:hint="eastAsia" w:ascii="宋体" w:hAnsi="宋体" w:eastAsia="宋体" w:cs="宋体"/>
          <w:color w:val="auto"/>
          <w:spacing w:val="-6"/>
          <w:sz w:val="22"/>
          <w:highlight w:val="none"/>
          <w:u w:val="single"/>
        </w:rPr>
        <w:t>（4）投标文件只有商务技术文件或者商务技术文件与报价文件部分上传在一份文档中的</w:t>
      </w:r>
      <w:r>
        <w:rPr>
          <w:rFonts w:hint="eastAsia" w:ascii="宋体" w:hAnsi="宋体" w:eastAsia="宋体" w:cs="宋体"/>
          <w:color w:val="auto"/>
          <w:sz w:val="22"/>
          <w:highlight w:val="none"/>
          <w:u w:val="single"/>
        </w:rPr>
        <w:t>。</w:t>
      </w:r>
    </w:p>
    <w:p w14:paraId="6DFAD5EC">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▲5.2在资格审查时，如发现下列情形之一的，投标无效；</w:t>
      </w:r>
    </w:p>
    <w:p w14:paraId="2349B876">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（1）资格审查材料不全的，或者不符合招标文件要求的；</w:t>
      </w:r>
    </w:p>
    <w:p w14:paraId="08D6A313">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（2）“资格文件”未按招标文件要求签署、盖章的；</w:t>
      </w:r>
    </w:p>
    <w:p w14:paraId="27032C3D">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（3）不具备招标文件中规定的资格条件的；</w:t>
      </w:r>
    </w:p>
    <w:p w14:paraId="7B5B6030">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（4）被财政部门列入不良行为记录名单的供应商，参加本项目</w:t>
      </w:r>
      <w:r>
        <w:rPr>
          <w:rFonts w:hint="eastAsia" w:ascii="宋体" w:hAnsi="宋体" w:eastAsia="宋体" w:cs="宋体"/>
          <w:color w:val="auto"/>
          <w:sz w:val="22"/>
          <w:highlight w:val="none"/>
          <w:u w:val="single"/>
          <w:lang w:eastAsia="zh-CN"/>
        </w:rPr>
        <w:t>采购</w:t>
      </w:r>
      <w:r>
        <w:rPr>
          <w:rFonts w:hint="eastAsia" w:ascii="宋体" w:hAnsi="宋体" w:eastAsia="宋体" w:cs="宋体"/>
          <w:color w:val="auto"/>
          <w:sz w:val="22"/>
          <w:highlight w:val="none"/>
          <w:u w:val="single"/>
        </w:rPr>
        <w:t>活动的未按照招标文件要求提交投标保证金或未在资格文件中提供保证金缴纳凭证的；</w:t>
      </w:r>
    </w:p>
    <w:p w14:paraId="6480B9CE">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（5）经查询存在不良信用记录的。</w:t>
      </w:r>
    </w:p>
    <w:p w14:paraId="17E57C1D">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▲5.3在符合性审查、商务和技术评审时，如发现下列情形之一的，投标无效：</w:t>
      </w:r>
    </w:p>
    <w:p w14:paraId="5B702F63">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（1）“资格文件”或“商务和技术文件”未按招标文件要求签署、盖章的；</w:t>
      </w:r>
    </w:p>
    <w:p w14:paraId="11A29DCE">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（2）未提供合法、有效</w:t>
      </w:r>
      <w:r>
        <w:rPr>
          <w:rFonts w:hint="eastAsia" w:ascii="宋体" w:hAnsi="宋体" w:eastAsia="宋体" w:cs="宋体"/>
          <w:color w:val="auto"/>
          <w:sz w:val="22"/>
          <w:highlight w:val="none"/>
          <w:u w:val="single"/>
          <w:lang w:eastAsia="zh-CN"/>
        </w:rPr>
        <w:t>授权委托书</w:t>
      </w:r>
      <w:r>
        <w:rPr>
          <w:rFonts w:hint="eastAsia" w:ascii="宋体" w:hAnsi="宋体" w:eastAsia="宋体" w:cs="宋体"/>
          <w:color w:val="auto"/>
          <w:sz w:val="22"/>
          <w:highlight w:val="none"/>
          <w:u w:val="single"/>
        </w:rPr>
        <w:t>；法定代表人或委托授权代表与投标文件所附身份证明复印件不符；</w:t>
      </w:r>
    </w:p>
    <w:p w14:paraId="19AE4191">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（3）明显不符合招标文件实质性要求或者与招标文件中标“▲且加下划线”的内容发生实质性偏离的；</w:t>
      </w:r>
    </w:p>
    <w:p w14:paraId="2DD466FD">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（4）未提供或未如实提供采购需求偏离表的；</w:t>
      </w:r>
    </w:p>
    <w:p w14:paraId="7593574D">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（5）未提供或未如实提供货物的技术参数，或者投标文件标明的响应或偏离与事实不符或虚假投标的；</w:t>
      </w:r>
    </w:p>
    <w:p w14:paraId="35B14626">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（6）投标有效期不能满足招标文件要求的；</w:t>
      </w:r>
    </w:p>
    <w:p w14:paraId="41E8B1D1">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（7）投标技术方案不明确，存在一个或一个以上备选（替代）投标方案的；</w:t>
      </w:r>
    </w:p>
    <w:p w14:paraId="491D42D3">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（8）投标文件含有采购人不能接受的附加条件的；</w:t>
      </w:r>
    </w:p>
    <w:p w14:paraId="0DEEC0A9">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（9）在“资格文件”或“商务和技术文件”中出现投标报价的；</w:t>
      </w:r>
    </w:p>
    <w:p w14:paraId="40108C79">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（10）法律、法规和招标文件中规定的其他无效情形的。</w:t>
      </w:r>
    </w:p>
    <w:p w14:paraId="6AEEE1F7">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▲5.4在报价评审时，如发现下列情形之一的，投标无效：</w:t>
      </w:r>
    </w:p>
    <w:p w14:paraId="7F67752B">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（1）报价文件未按招标文件要求签署、盖章的；</w:t>
      </w:r>
    </w:p>
    <w:p w14:paraId="5DE76537">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（2）未按照招标文件标明的币种报价的；</w:t>
      </w:r>
    </w:p>
    <w:p w14:paraId="1E6C2465">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（3）报价超出招标文件中规定的预算金额或者最高限价的；</w:t>
      </w:r>
    </w:p>
    <w:p w14:paraId="6BA59A6B">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（4）投标报价具有选择性，或者开标价格与投标文件承诺的价格不一致的；</w:t>
      </w:r>
    </w:p>
    <w:p w14:paraId="48DFBC8D">
      <w:pPr>
        <w:pStyle w:val="10"/>
        <w:pageBreakBefore w:val="0"/>
        <w:kinsoku/>
        <w:wordWrap w:val="0"/>
        <w:topLinePunct w:val="0"/>
        <w:bidi w:val="0"/>
        <w:spacing w:line="360" w:lineRule="exact"/>
        <w:ind w:left="437" w:leftChars="208" w:firstLine="0" w:firstLineChars="0"/>
        <w:rPr>
          <w:rFonts w:hint="eastAsia" w:ascii="宋体" w:hAnsi="宋体" w:eastAsia="宋体" w:cs="宋体"/>
          <w:color w:val="auto"/>
          <w:highlight w:val="none"/>
        </w:rPr>
      </w:pPr>
      <w:r>
        <w:rPr>
          <w:rFonts w:hint="eastAsia" w:ascii="宋体" w:hAnsi="宋体" w:eastAsia="宋体" w:cs="宋体"/>
          <w:color w:val="auto"/>
          <w:sz w:val="22"/>
          <w:highlight w:val="none"/>
          <w:u w:val="single"/>
        </w:rPr>
        <w:t>（5）</w:t>
      </w:r>
      <w:r>
        <w:rPr>
          <w:rFonts w:hint="eastAsia" w:ascii="宋体" w:hAnsi="宋体" w:eastAsia="宋体" w:cs="宋体"/>
          <w:color w:val="auto"/>
          <w:kern w:val="2"/>
          <w:sz w:val="22"/>
          <w:szCs w:val="22"/>
          <w:highlight w:val="none"/>
          <w:u w:val="single"/>
          <w:lang w:val="en-US" w:eastAsia="zh-CN" w:bidi="ar-SA"/>
        </w:rPr>
        <w:t>不接受按招标文件规定的修正错误原则修正后的报价的或在规定的时间内不予确认的</w:t>
      </w:r>
      <w:r>
        <w:rPr>
          <w:rFonts w:hint="eastAsia" w:ascii="宋体" w:hAnsi="宋体" w:eastAsia="宋体" w:cs="宋体"/>
          <w:color w:val="auto"/>
          <w:kern w:val="0"/>
          <w:sz w:val="22"/>
          <w:highlight w:val="none"/>
          <w:u w:val="single"/>
        </w:rPr>
        <w:t>；</w:t>
      </w:r>
    </w:p>
    <w:p w14:paraId="1CBDDC1B">
      <w:pPr>
        <w:pageBreakBefore w:val="0"/>
        <w:kinsoku/>
        <w:wordWrap w:val="0"/>
        <w:topLinePunct w:val="0"/>
        <w:bidi w:val="0"/>
        <w:spacing w:line="40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6）评审小组启动异常低价投标（响应）审查程序的，投标（响应）供应商不能提供书面说明、证明材料，或者提供的书面说明、证明材料不能证明其报价合理性的，评审小组应当将其作为无效投标（响应）处理</w:t>
      </w:r>
      <w:r>
        <w:rPr>
          <w:rFonts w:hint="eastAsia" w:ascii="宋体" w:hAnsi="宋体" w:eastAsia="宋体" w:cs="宋体"/>
          <w:color w:val="auto"/>
          <w:kern w:val="0"/>
          <w:sz w:val="22"/>
          <w:highlight w:val="none"/>
          <w:u w:val="single"/>
        </w:rPr>
        <w:t>。</w:t>
      </w:r>
    </w:p>
    <w:p w14:paraId="0E80A50A">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rPr>
        <w:t>▲5.5</w:t>
      </w:r>
      <w:r>
        <w:rPr>
          <w:rFonts w:hint="eastAsia" w:ascii="宋体" w:hAnsi="宋体" w:eastAsia="宋体" w:cs="宋体"/>
          <w:color w:val="auto"/>
          <w:sz w:val="22"/>
          <w:highlight w:val="none"/>
          <w:u w:val="single"/>
          <w:lang w:val="zh-CN"/>
        </w:rPr>
        <w:t>有下列情形之一的，视为投标人串通投标，</w:t>
      </w:r>
      <w:r>
        <w:rPr>
          <w:rFonts w:hint="eastAsia" w:ascii="宋体" w:hAnsi="宋体" w:eastAsia="宋体" w:cs="宋体"/>
          <w:color w:val="auto"/>
          <w:sz w:val="22"/>
          <w:highlight w:val="none"/>
          <w:u w:val="single"/>
        </w:rPr>
        <w:t>投标无效</w:t>
      </w:r>
      <w:r>
        <w:rPr>
          <w:rFonts w:hint="eastAsia" w:ascii="宋体" w:hAnsi="宋体" w:eastAsia="宋体" w:cs="宋体"/>
          <w:color w:val="auto"/>
          <w:sz w:val="22"/>
          <w:highlight w:val="none"/>
          <w:u w:val="single"/>
          <w:lang w:val="zh-CN"/>
        </w:rPr>
        <w:t>，由采购人或采购代理机构上报采购监督管理部门，视情列入不良行为记录名单，在一至三年内禁止参加</w:t>
      </w:r>
      <w:r>
        <w:rPr>
          <w:rFonts w:hint="eastAsia" w:ascii="宋体" w:hAnsi="宋体" w:eastAsia="宋体" w:cs="宋体"/>
          <w:color w:val="auto"/>
          <w:sz w:val="22"/>
          <w:highlight w:val="none"/>
          <w:u w:val="single"/>
          <w:lang w:val="en-US" w:eastAsia="zh-CN"/>
        </w:rPr>
        <w:t>本单位</w:t>
      </w:r>
      <w:r>
        <w:rPr>
          <w:rFonts w:hint="eastAsia" w:ascii="宋体" w:hAnsi="宋体" w:eastAsia="宋体" w:cs="宋体"/>
          <w:color w:val="auto"/>
          <w:sz w:val="22"/>
          <w:highlight w:val="none"/>
          <w:u w:val="single"/>
          <w:lang w:val="zh-CN"/>
        </w:rPr>
        <w:t>采购活动：</w:t>
      </w:r>
    </w:p>
    <w:p w14:paraId="70895A8D">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1</w:t>
      </w:r>
      <w:r>
        <w:rPr>
          <w:rFonts w:hint="eastAsia" w:ascii="宋体" w:hAnsi="宋体" w:eastAsia="宋体" w:cs="宋体"/>
          <w:color w:val="auto"/>
          <w:sz w:val="22"/>
          <w:highlight w:val="none"/>
          <w:u w:val="single"/>
          <w:lang w:val="zh-CN"/>
        </w:rPr>
        <w:t>）不同投标人的投标文件由同一单位或者个人编制；</w:t>
      </w:r>
    </w:p>
    <w:p w14:paraId="6067B5AF">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2</w:t>
      </w:r>
      <w:r>
        <w:rPr>
          <w:rFonts w:hint="eastAsia" w:ascii="宋体" w:hAnsi="宋体" w:eastAsia="宋体" w:cs="宋体"/>
          <w:color w:val="auto"/>
          <w:sz w:val="22"/>
          <w:highlight w:val="none"/>
          <w:u w:val="single"/>
          <w:lang w:val="zh-CN"/>
        </w:rPr>
        <w:t>）不同投标人委托同一单位或者个人办理投标事宜；</w:t>
      </w:r>
    </w:p>
    <w:p w14:paraId="32FF23F7">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3</w:t>
      </w:r>
      <w:r>
        <w:rPr>
          <w:rFonts w:hint="eastAsia" w:ascii="宋体" w:hAnsi="宋体" w:eastAsia="宋体" w:cs="宋体"/>
          <w:color w:val="auto"/>
          <w:sz w:val="22"/>
          <w:highlight w:val="none"/>
          <w:u w:val="single"/>
          <w:lang w:val="zh-CN"/>
        </w:rPr>
        <w:t>）不同投标人的投标文件载明的项目管理成员或者联系人员为同一人；</w:t>
      </w:r>
    </w:p>
    <w:p w14:paraId="6EDD1C79">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4</w:t>
      </w:r>
      <w:r>
        <w:rPr>
          <w:rFonts w:hint="eastAsia" w:ascii="宋体" w:hAnsi="宋体" w:eastAsia="宋体" w:cs="宋体"/>
          <w:color w:val="auto"/>
          <w:sz w:val="22"/>
          <w:highlight w:val="none"/>
          <w:u w:val="single"/>
          <w:lang w:val="zh-CN"/>
        </w:rPr>
        <w:t>）不同投标人的投标文件异常一致或者投标报价呈规律性差异；</w:t>
      </w:r>
    </w:p>
    <w:p w14:paraId="63CEAAF0">
      <w:pPr>
        <w:keepNext w:val="0"/>
        <w:keepLines w:val="0"/>
        <w:pageBreakBefore w:val="0"/>
        <w:kinsoku/>
        <w:wordWrap w:val="0"/>
        <w:overflowPunct/>
        <w:topLinePunct w:val="0"/>
        <w:bidi w:val="0"/>
        <w:snapToGrid w:val="0"/>
        <w:spacing w:line="400" w:lineRule="exact"/>
        <w:ind w:firstLine="440" w:firstLineChars="200"/>
        <w:jc w:val="left"/>
        <w:textAlignment w:val="auto"/>
        <w:rPr>
          <w:rFonts w:hint="eastAsia" w:ascii="宋体" w:hAnsi="宋体" w:eastAsia="宋体" w:cs="宋体"/>
          <w:bCs/>
          <w:color w:val="auto"/>
          <w:sz w:val="22"/>
          <w:szCs w:val="22"/>
          <w:highlight w:val="none"/>
          <w:u w:val="single"/>
        </w:rPr>
      </w:pPr>
      <w:r>
        <w:rPr>
          <w:rFonts w:hint="eastAsia" w:ascii="宋体" w:hAnsi="宋体" w:eastAsia="宋体" w:cs="宋体"/>
          <w:color w:val="auto"/>
          <w:sz w:val="22"/>
          <w:highlight w:val="none"/>
          <w:u w:val="single"/>
          <w:lang w:val="zh-CN"/>
        </w:rPr>
        <w:t>（</w:t>
      </w:r>
      <w:r>
        <w:rPr>
          <w:rFonts w:hint="eastAsia" w:ascii="宋体" w:hAnsi="宋体" w:eastAsia="宋体" w:cs="宋体"/>
          <w:color w:val="auto"/>
          <w:sz w:val="22"/>
          <w:highlight w:val="none"/>
          <w:u w:val="single"/>
        </w:rPr>
        <w:t>5</w:t>
      </w:r>
      <w:r>
        <w:rPr>
          <w:rFonts w:hint="eastAsia" w:ascii="宋体" w:hAnsi="宋体" w:eastAsia="宋体" w:cs="宋体"/>
          <w:color w:val="auto"/>
          <w:sz w:val="22"/>
          <w:highlight w:val="none"/>
          <w:u w:val="single"/>
          <w:lang w:val="zh-CN"/>
        </w:rPr>
        <w:t>）不同投标人的投标文件相互混装</w:t>
      </w:r>
      <w:r>
        <w:rPr>
          <w:rFonts w:hint="eastAsia" w:ascii="宋体" w:hAnsi="宋体" w:eastAsia="宋体" w:cs="宋体"/>
          <w:bCs/>
          <w:color w:val="auto"/>
          <w:sz w:val="22"/>
          <w:szCs w:val="22"/>
          <w:highlight w:val="none"/>
          <w:u w:val="single"/>
        </w:rPr>
        <w:t>；</w:t>
      </w:r>
    </w:p>
    <w:p w14:paraId="3002757C">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u w:val="single"/>
          <w:lang w:val="zh-CN"/>
        </w:rPr>
      </w:pPr>
      <w:r>
        <w:rPr>
          <w:rFonts w:hint="eastAsia" w:ascii="宋体" w:hAnsi="宋体" w:eastAsia="宋体" w:cs="宋体"/>
          <w:bCs/>
          <w:color w:val="auto"/>
          <w:sz w:val="22"/>
          <w:szCs w:val="22"/>
          <w:highlight w:val="none"/>
          <w:u w:val="single"/>
        </w:rPr>
        <w:t>（6）不同投标人的投标保证金从同一单位或者个人的账户转出</w:t>
      </w:r>
      <w:r>
        <w:rPr>
          <w:rFonts w:hint="eastAsia" w:ascii="宋体" w:hAnsi="宋体" w:eastAsia="宋体" w:cs="宋体"/>
          <w:color w:val="auto"/>
          <w:sz w:val="22"/>
          <w:highlight w:val="none"/>
          <w:u w:val="single"/>
          <w:lang w:val="zh-CN"/>
        </w:rPr>
        <w:t>。</w:t>
      </w:r>
    </w:p>
    <w:p w14:paraId="375A496D">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▲5.6参与同一个采购包（标段）的供应商存在下列情形之一且无法合理解释的，其投标（响应）文件无效：</w:t>
      </w:r>
    </w:p>
    <w:p w14:paraId="0F2B68F0">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（1）不同供应商的电子投标（响应）文件上传计算机的网卡MAC地址或硬盘序列号等硬件信息相同的；</w:t>
      </w:r>
    </w:p>
    <w:p w14:paraId="3A2A70AA">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（2）上传的电子投标（响应）文件若出现使用本项目其他投标（响应）供应商的数字证书加密的，或者加盖本项目其他投标（响应）供应商的电子印章的；</w:t>
      </w:r>
    </w:p>
    <w:p w14:paraId="2CEC21AD">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（3）不同供应商的投标（响应）文件的内容存在</w:t>
      </w:r>
      <w:r>
        <w:rPr>
          <w:rFonts w:hint="eastAsia" w:ascii="宋体" w:hAnsi="宋体" w:eastAsia="宋体" w:cs="宋体"/>
          <w:color w:val="auto"/>
          <w:sz w:val="22"/>
          <w:highlight w:val="none"/>
          <w:u w:val="single"/>
          <w:lang w:eastAsia="zh"/>
        </w:rPr>
        <w:t>3</w:t>
      </w:r>
      <w:r>
        <w:rPr>
          <w:rFonts w:hint="eastAsia" w:ascii="宋体" w:hAnsi="宋体" w:eastAsia="宋体" w:cs="宋体"/>
          <w:color w:val="auto"/>
          <w:sz w:val="22"/>
          <w:highlight w:val="none"/>
          <w:u w:val="single"/>
        </w:rPr>
        <w:t>处（含）以上错误一致的；</w:t>
      </w:r>
    </w:p>
    <w:p w14:paraId="2C606A06">
      <w:pPr>
        <w:spacing w:line="360" w:lineRule="exact"/>
        <w:ind w:firstLine="440" w:firstLineChars="200"/>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（4）不同供应商联系人为同一人或不同联系人的联系电话一致的。</w:t>
      </w:r>
    </w:p>
    <w:p w14:paraId="15E60763">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评审中出现下列情形之一的，评审小组应当启动异常低价投标（响应）审查程序：</w:t>
      </w:r>
    </w:p>
    <w:p w14:paraId="7A90467B">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（1）投标（响应）报价低于全部通过符合性审查供应商投标（响应）报价平均值</w:t>
      </w:r>
      <w:r>
        <w:rPr>
          <w:rFonts w:hint="eastAsia" w:ascii="宋体" w:hAnsi="宋体" w:eastAsia="宋体" w:cs="宋体"/>
          <w:color w:val="auto"/>
          <w:sz w:val="22"/>
          <w:highlight w:val="none"/>
          <w:lang w:eastAsia="zh-CN"/>
        </w:rPr>
        <w:t>50%</w:t>
      </w:r>
      <w:r>
        <w:rPr>
          <w:rFonts w:hint="eastAsia" w:ascii="宋体" w:hAnsi="宋体" w:eastAsia="宋体" w:cs="宋体"/>
          <w:color w:val="auto"/>
          <w:sz w:val="22"/>
          <w:highlight w:val="none"/>
        </w:rPr>
        <w:t>的，即投标（响应）报价&lt;全部通过符合性审查供应商投标（响应）报价平均值×</w:t>
      </w:r>
      <w:r>
        <w:rPr>
          <w:rFonts w:hint="eastAsia" w:ascii="宋体" w:hAnsi="宋体" w:eastAsia="宋体" w:cs="宋体"/>
          <w:color w:val="auto"/>
          <w:sz w:val="22"/>
          <w:highlight w:val="none"/>
          <w:lang w:eastAsia="zh-CN"/>
        </w:rPr>
        <w:t>50%</w:t>
      </w:r>
      <w:r>
        <w:rPr>
          <w:rFonts w:hint="eastAsia" w:ascii="宋体" w:hAnsi="宋体" w:eastAsia="宋体" w:cs="宋体"/>
          <w:color w:val="auto"/>
          <w:sz w:val="22"/>
          <w:highlight w:val="none"/>
        </w:rPr>
        <w:t>；</w:t>
      </w:r>
    </w:p>
    <w:p w14:paraId="12CA6C06">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（2）投标（响应）报价低于通过符合性审查的次低报价供应商投标（响应）报价</w:t>
      </w:r>
      <w:r>
        <w:rPr>
          <w:rFonts w:hint="eastAsia" w:ascii="宋体" w:hAnsi="宋体" w:eastAsia="宋体" w:cs="宋体"/>
          <w:color w:val="auto"/>
          <w:sz w:val="22"/>
          <w:highlight w:val="none"/>
          <w:lang w:eastAsia="zh-CN"/>
        </w:rPr>
        <w:t>50%</w:t>
      </w:r>
      <w:r>
        <w:rPr>
          <w:rFonts w:hint="eastAsia" w:ascii="宋体" w:hAnsi="宋体" w:eastAsia="宋体" w:cs="宋体"/>
          <w:color w:val="auto"/>
          <w:sz w:val="22"/>
          <w:highlight w:val="none"/>
        </w:rPr>
        <w:t>的，即投标（响应）报价&lt;通过符合性审查的次低报价供应商投标（响应）报价×</w:t>
      </w:r>
      <w:r>
        <w:rPr>
          <w:rFonts w:hint="eastAsia" w:ascii="宋体" w:hAnsi="宋体" w:eastAsia="宋体" w:cs="宋体"/>
          <w:color w:val="auto"/>
          <w:sz w:val="22"/>
          <w:highlight w:val="none"/>
          <w:lang w:eastAsia="zh-CN"/>
        </w:rPr>
        <w:t>50%</w:t>
      </w:r>
      <w:r>
        <w:rPr>
          <w:rFonts w:hint="eastAsia" w:ascii="宋体" w:hAnsi="宋体" w:eastAsia="宋体" w:cs="宋体"/>
          <w:color w:val="auto"/>
          <w:sz w:val="22"/>
          <w:highlight w:val="none"/>
        </w:rPr>
        <w:t>；</w:t>
      </w:r>
    </w:p>
    <w:p w14:paraId="32C5C4B0">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（3）投标（响应）报价低于采购项目最高限价</w:t>
      </w:r>
      <w:r>
        <w:rPr>
          <w:rFonts w:hint="eastAsia" w:ascii="宋体" w:hAnsi="宋体" w:eastAsia="宋体" w:cs="宋体"/>
          <w:color w:val="auto"/>
          <w:sz w:val="22"/>
          <w:highlight w:val="none"/>
          <w:lang w:eastAsia="zh-CN"/>
        </w:rPr>
        <w:t>50%</w:t>
      </w:r>
      <w:r>
        <w:rPr>
          <w:rFonts w:hint="eastAsia" w:ascii="宋体" w:hAnsi="宋体" w:eastAsia="宋体" w:cs="宋体"/>
          <w:color w:val="auto"/>
          <w:sz w:val="22"/>
          <w:highlight w:val="none"/>
        </w:rPr>
        <w:t>的，即投标（响应）报价&lt;采购项目最高限价×</w:t>
      </w:r>
      <w:r>
        <w:rPr>
          <w:rFonts w:hint="eastAsia" w:ascii="宋体" w:hAnsi="宋体" w:eastAsia="宋体" w:cs="宋体"/>
          <w:color w:val="auto"/>
          <w:sz w:val="22"/>
          <w:highlight w:val="none"/>
          <w:lang w:eastAsia="zh-CN"/>
        </w:rPr>
        <w:t>50%</w:t>
      </w:r>
      <w:r>
        <w:rPr>
          <w:rFonts w:hint="eastAsia" w:ascii="宋体" w:hAnsi="宋体" w:eastAsia="宋体" w:cs="宋体"/>
          <w:color w:val="auto"/>
          <w:sz w:val="22"/>
          <w:highlight w:val="none"/>
        </w:rPr>
        <w:t>；</w:t>
      </w:r>
    </w:p>
    <w:p w14:paraId="0111AEE1">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（4）评审小组基于专业判断，认为供应商报价过低，有可能影响产品质量或者不能诚信履约的其他情形。</w:t>
      </w:r>
    </w:p>
    <w:p w14:paraId="2E5D8395">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审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系指同类项目中标（成交）价格、类似产品市场价格水平、行业人工费用标准、国家有关部门指导行业协会发布的行业平均成本等），给予相关供应商的合理时间一般不少于30分钟。其中，</w:t>
      </w:r>
      <w:r>
        <w:rPr>
          <w:rFonts w:hint="eastAsia" w:ascii="宋体" w:hAnsi="宋体" w:eastAsia="宋体" w:cs="宋体"/>
          <w:b/>
          <w:color w:val="auto"/>
          <w:sz w:val="22"/>
          <w:highlight w:val="none"/>
          <w:u w:val="single"/>
          <w:lang w:val="zh-CN"/>
        </w:rPr>
        <w:t>▲</w:t>
      </w:r>
      <w:r>
        <w:rPr>
          <w:rFonts w:hint="eastAsia" w:ascii="宋体" w:hAnsi="宋体" w:eastAsia="宋体" w:cs="宋体"/>
          <w:color w:val="auto"/>
          <w:sz w:val="22"/>
          <w:highlight w:val="none"/>
          <w:u w:val="single"/>
        </w:rPr>
        <w:t>属于第（3）项情形，供应商必须在报价文件中提交相关书面说明及必要的证明材料，在评审现场不再重复提交。</w:t>
      </w:r>
    </w:p>
    <w:p w14:paraId="4D4D2BE8">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b/>
          <w:color w:val="auto"/>
          <w:sz w:val="22"/>
          <w:highlight w:val="none"/>
          <w:u w:val="single"/>
        </w:rPr>
      </w:pPr>
      <w:r>
        <w:rPr>
          <w:rFonts w:hint="eastAsia" w:ascii="宋体" w:hAnsi="宋体" w:eastAsia="宋体" w:cs="宋体"/>
          <w:color w:val="auto"/>
          <w:sz w:val="22"/>
          <w:highlight w:val="none"/>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color w:val="auto"/>
          <w:sz w:val="22"/>
          <w:highlight w:val="none"/>
          <w:u w:val="single"/>
          <w:lang w:val="zh-CN"/>
        </w:rPr>
        <w:t>▲</w:t>
      </w:r>
      <w:r>
        <w:rPr>
          <w:rFonts w:hint="eastAsia" w:ascii="宋体" w:hAnsi="宋体" w:eastAsia="宋体" w:cs="宋体"/>
          <w:b/>
          <w:color w:val="auto"/>
          <w:sz w:val="22"/>
          <w:highlight w:val="none"/>
          <w:u w:val="single"/>
        </w:rPr>
        <w:t>投标（响应）供应商不能提供书面说明、证明材料，或者提供的书面说明、证明材料不能证明其报价合理性的，评审小组应当将其作为无效投标（响应）处理。</w:t>
      </w:r>
    </w:p>
    <w:p w14:paraId="2A2132C6">
      <w:pPr>
        <w:pStyle w:val="14"/>
        <w:pageBreakBefore w:val="0"/>
        <w:kinsoku/>
        <w:wordWrap w:val="0"/>
        <w:topLinePunct w:val="0"/>
        <w:bidi w:val="0"/>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6.错误修正</w:t>
      </w:r>
    </w:p>
    <w:p w14:paraId="1B5CEFF0">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投标文件报价出现前后不一致的，除招标文件另有规定外，按照下列规定修正：</w:t>
      </w:r>
    </w:p>
    <w:p w14:paraId="3D22802D">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6.1投标文件中开标一览表（报价表）内容与投标文件中相应内容不一致的，以开标一览表（报价表）为准；</w:t>
      </w:r>
    </w:p>
    <w:p w14:paraId="2E6D3091">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6.2大写金额和小写金额不一致的，以大写金额为准；</w:t>
      </w:r>
    </w:p>
    <w:p w14:paraId="1E793A24">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6.3单价金额小数点或者百分比有明显错位的，以开标一览表的总价为准，并修改单价；</w:t>
      </w:r>
    </w:p>
    <w:p w14:paraId="152BE70C">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6.4总价金额与按单价汇总金额不一致的，以单价金额计算结果为准。</w:t>
      </w:r>
    </w:p>
    <w:p w14:paraId="3688BC43">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6.5对不同文字文本投标文件的解释发生</w:t>
      </w:r>
      <w:r>
        <w:rPr>
          <w:rFonts w:hint="eastAsia" w:ascii="宋体" w:hAnsi="宋体" w:eastAsia="宋体" w:cs="宋体"/>
          <w:color w:val="auto"/>
          <w:sz w:val="22"/>
          <w:highlight w:val="none"/>
          <w:lang w:eastAsia="zh-CN"/>
        </w:rPr>
        <w:t>异议</w:t>
      </w:r>
      <w:r>
        <w:rPr>
          <w:rFonts w:hint="eastAsia" w:ascii="宋体" w:hAnsi="宋体" w:eastAsia="宋体" w:cs="宋体"/>
          <w:color w:val="auto"/>
          <w:sz w:val="22"/>
          <w:highlight w:val="none"/>
        </w:rPr>
        <w:t>的，以中文文本为准</w:t>
      </w:r>
    </w:p>
    <w:p w14:paraId="17E5934E">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6.6客户端填写的报价与以pdf格式上传文件中的报价不一致的，应以Pdf格式上传文件中的报价为准。</w:t>
      </w:r>
    </w:p>
    <w:p w14:paraId="479B62AF">
      <w:pPr>
        <w:pStyle w:val="14"/>
        <w:pageBreakBefore w:val="0"/>
        <w:kinsoku/>
        <w:wordWrap w:val="0"/>
        <w:topLinePunct w:val="0"/>
        <w:bidi w:val="0"/>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同时出现两种以上不一致的，按照前款规定的顺序修正。修正后的报价按照本招标文件“7.投标文件的澄清”规定经投标人确认后产生约束力，投标人不接受修正或在规定的时间内不予确认的，其投标无效。</w:t>
      </w:r>
    </w:p>
    <w:p w14:paraId="26FF5297">
      <w:pPr>
        <w:pStyle w:val="14"/>
        <w:pageBreakBefore w:val="0"/>
        <w:kinsoku/>
        <w:wordWrap w:val="0"/>
        <w:topLinePunct w:val="0"/>
        <w:bidi w:val="0"/>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7.投标文件的澄清</w:t>
      </w:r>
    </w:p>
    <w:p w14:paraId="46EBC85D">
      <w:pPr>
        <w:pageBreakBefore w:val="0"/>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7.1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或通过投标人代表签字或通过法定代表人签字的扫描件。给予投标人提交澄清、说明或补正的时间不得少于半小时，投标人已经明确表示澄清说明或补正完毕的除外。投标人的澄清、说明或者补正不得超出投标文件的范围或者改变投标文件的实质性内容。根据上述第6条规定，凡属于评审小组在评标中发现的计算错误并进行核实的修改不在此列。</w:t>
      </w:r>
    </w:p>
    <w:p w14:paraId="0531AEB9">
      <w:pPr>
        <w:pStyle w:val="14"/>
        <w:pageBreakBefore w:val="0"/>
        <w:tabs>
          <w:tab w:val="left" w:pos="0"/>
        </w:tabs>
        <w:kinsoku/>
        <w:wordWrap w:val="0"/>
        <w:topLinePunct w:val="0"/>
        <w:bidi w:val="0"/>
        <w:spacing w:line="360" w:lineRule="exact"/>
        <w:ind w:firstLine="442" w:firstLineChars="200"/>
        <w:rPr>
          <w:rFonts w:hint="eastAsia" w:ascii="宋体" w:hAnsi="宋体" w:eastAsia="宋体" w:cs="宋体"/>
          <w:b/>
          <w:color w:val="auto"/>
          <w:sz w:val="22"/>
          <w:highlight w:val="none"/>
        </w:rPr>
      </w:pPr>
      <w:r>
        <w:rPr>
          <w:rFonts w:hint="eastAsia" w:ascii="宋体" w:hAnsi="宋体" w:eastAsia="宋体" w:cs="宋体"/>
          <w:b/>
          <w:bCs/>
          <w:color w:val="auto"/>
          <w:sz w:val="22"/>
          <w:highlight w:val="none"/>
        </w:rPr>
        <w:t>7.2如果投标人代表拒绝按评审小组要求在“</w:t>
      </w:r>
      <w:r>
        <w:rPr>
          <w:rFonts w:hint="eastAsia" w:ascii="宋体" w:hAnsi="宋体" w:eastAsia="宋体" w:cs="宋体"/>
          <w:b/>
          <w:bCs/>
          <w:color w:val="auto"/>
          <w:sz w:val="22"/>
          <w:highlight w:val="none"/>
          <w:lang w:eastAsia="zh-CN"/>
        </w:rPr>
        <w:t>乐采云</w:t>
      </w:r>
      <w:r>
        <w:rPr>
          <w:rFonts w:hint="eastAsia" w:ascii="宋体" w:hAnsi="宋体" w:eastAsia="宋体" w:cs="宋体"/>
          <w:b/>
          <w:bCs/>
          <w:color w:val="auto"/>
          <w:sz w:val="22"/>
          <w:highlight w:val="none"/>
        </w:rPr>
        <w:t>”平台作出在线回复且无其他有效回复方式的，评审小组可以对其作出投标无效处理。</w:t>
      </w:r>
    </w:p>
    <w:p w14:paraId="2C86B954">
      <w:pPr>
        <w:pageBreakBefore w:val="0"/>
        <w:tabs>
          <w:tab w:val="left" w:pos="1365"/>
        </w:tabs>
        <w:kinsoku/>
        <w:wordWrap w:val="0"/>
        <w:topLinePunct w:val="0"/>
        <w:bidi w:val="0"/>
        <w:spacing w:line="360" w:lineRule="exact"/>
        <w:ind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color w:val="auto"/>
          <w:sz w:val="22"/>
          <w:highlight w:val="none"/>
          <w:u w:val="single"/>
        </w:rPr>
        <w:t>7.3经澄清后，若偏差仍存在，且不可接受，投标人则被认为是“没有实质性响应招标文件要求”，其投标不进入下一步评审。</w:t>
      </w:r>
    </w:p>
    <w:p w14:paraId="0EC01674">
      <w:pPr>
        <w:pStyle w:val="14"/>
        <w:pageBreakBefore w:val="0"/>
        <w:tabs>
          <w:tab w:val="left" w:pos="630"/>
        </w:tabs>
        <w:kinsoku/>
        <w:wordWrap w:val="0"/>
        <w:topLinePunct w:val="0"/>
        <w:bidi w:val="0"/>
        <w:adjustRightInd/>
        <w:snapToGrid w:val="0"/>
        <w:spacing w:line="360" w:lineRule="exact"/>
        <w:ind w:firstLine="433" w:firstLineChars="196"/>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8.评标原则和评标办法</w:t>
      </w:r>
    </w:p>
    <w:p w14:paraId="46E77877">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14:paraId="76D78C62">
      <w:pPr>
        <w:pStyle w:val="27"/>
        <w:pageBreakBefore w:val="0"/>
        <w:kinsoku/>
        <w:wordWrap w:val="0"/>
        <w:topLinePunct w:val="0"/>
        <w:bidi w:val="0"/>
        <w:spacing w:before="0" w:beforeAutospacing="0" w:after="0" w:afterAutospacing="0" w:line="360" w:lineRule="exact"/>
        <w:ind w:firstLine="440" w:firstLineChars="200"/>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8.2评标中因评审小组成员缺席、回避或者健康等特殊原因导致评审小组组成不符合规定的，依法补足后继续评标。被更换的评审小组成员所作出的评标意见无效。</w:t>
      </w:r>
    </w:p>
    <w:p w14:paraId="3C7B4EB9">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8.3评审小组成员对需要共同认定的事项存在争议的，应当按照少数服从多数的原则作出结论。持不同意见的评审小组成员应当在评标报告上签署不同意见及理由，否则视为同意评标报告。</w:t>
      </w:r>
    </w:p>
    <w:p w14:paraId="1D39E72F">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8.4评标办法。本项目评标办法是综合评分法，具体评标内容及评分标准等详见第六部分“评标原则及方法”。</w:t>
      </w:r>
    </w:p>
    <w:p w14:paraId="198186DB">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8.5评标过程中遇到特殊情况，由评审小组遵循公开、公正原则，采取投票方式按照少数服从多数原则决定。</w:t>
      </w:r>
    </w:p>
    <w:p w14:paraId="6A1870F7">
      <w:pPr>
        <w:pStyle w:val="14"/>
        <w:pageBreakBefore w:val="0"/>
        <w:kinsoku/>
        <w:wordWrap w:val="0"/>
        <w:topLinePunct w:val="0"/>
        <w:bidi w:val="0"/>
        <w:adjustRightInd/>
        <w:snapToGrid w:val="0"/>
        <w:spacing w:line="360" w:lineRule="exact"/>
        <w:ind w:firstLine="440" w:firstLineChars="200"/>
        <w:textAlignment w:val="auto"/>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8.6</w:t>
      </w:r>
      <w:r>
        <w:rPr>
          <w:rFonts w:hint="eastAsia" w:ascii="宋体" w:hAnsi="宋体" w:eastAsia="宋体" w:cs="宋体"/>
          <w:b/>
          <w:bCs/>
          <w:color w:val="auto"/>
          <w:sz w:val="22"/>
          <w:highlight w:val="none"/>
        </w:rPr>
        <w:t>出现下列情形之一的，应予废标：</w:t>
      </w:r>
    </w:p>
    <w:p w14:paraId="00BD02B7">
      <w:pPr>
        <w:pStyle w:val="14"/>
        <w:pageBreakBefore w:val="0"/>
        <w:kinsoku/>
        <w:wordWrap w:val="0"/>
        <w:topLinePunct w:val="0"/>
        <w:bidi w:val="0"/>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（一）符合专业条件的投标人或者对招标文件作实质响应的投标人不足三家的；</w:t>
      </w:r>
    </w:p>
    <w:p w14:paraId="0DE1CB98">
      <w:pPr>
        <w:pStyle w:val="14"/>
        <w:pageBreakBefore w:val="0"/>
        <w:kinsoku/>
        <w:wordWrap w:val="0"/>
        <w:topLinePunct w:val="0"/>
        <w:bidi w:val="0"/>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（二）出现影响采购公正的违法、违规行为的；</w:t>
      </w:r>
    </w:p>
    <w:p w14:paraId="474DDBC0">
      <w:pPr>
        <w:pStyle w:val="14"/>
        <w:pageBreakBefore w:val="0"/>
        <w:kinsoku/>
        <w:wordWrap w:val="0"/>
        <w:topLinePunct w:val="0"/>
        <w:bidi w:val="0"/>
        <w:adjustRightInd/>
        <w:snapToGrid w:val="0"/>
        <w:spacing w:line="360" w:lineRule="exact"/>
        <w:ind w:firstLine="442" w:firstLineChars="200"/>
        <w:textAlignment w:val="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（三）投标人的报价均超过了采购预算，采购人不能支付的；</w:t>
      </w:r>
    </w:p>
    <w:p w14:paraId="65F37CA9">
      <w:pPr>
        <w:pStyle w:val="14"/>
        <w:pageBreakBefore w:val="0"/>
        <w:kinsoku/>
        <w:wordWrap w:val="0"/>
        <w:topLinePunct w:val="0"/>
        <w:bidi w:val="0"/>
        <w:adjustRightInd/>
        <w:snapToGrid w:val="0"/>
        <w:spacing w:line="360" w:lineRule="exact"/>
        <w:ind w:firstLine="442" w:firstLineChars="200"/>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（四）因重大变故，采购任务取消的。</w:t>
      </w:r>
    </w:p>
    <w:p w14:paraId="3A015FA7">
      <w:pPr>
        <w:pageBreakBefore w:val="0"/>
        <w:tabs>
          <w:tab w:val="left" w:pos="1365"/>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9.确定中标候选人</w:t>
      </w:r>
    </w:p>
    <w:p w14:paraId="0A453221">
      <w:pPr>
        <w:pageBreakBefore w:val="0"/>
        <w:tabs>
          <w:tab w:val="left" w:pos="1365"/>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9.1本次招标由评审小组确定中标候选人（招标文件另有规定的除外）。</w:t>
      </w:r>
    </w:p>
    <w:p w14:paraId="7EC4CF58">
      <w:pPr>
        <w:pageBreakBefore w:val="0"/>
        <w:tabs>
          <w:tab w:val="left" w:pos="1365"/>
        </w:tabs>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9.2本项目评标结果按评审后得分由高到低顺序排列推荐</w:t>
      </w:r>
      <w:r>
        <w:rPr>
          <w:rFonts w:hint="eastAsia" w:ascii="宋体" w:hAnsi="宋体" w:eastAsia="宋体" w:cs="宋体"/>
          <w:b/>
          <w:bCs/>
          <w:color w:val="auto"/>
          <w:sz w:val="22"/>
          <w:highlight w:val="none"/>
        </w:rPr>
        <w:t>不少于2名中标候选人</w:t>
      </w:r>
      <w:r>
        <w:rPr>
          <w:rFonts w:hint="eastAsia" w:ascii="宋体" w:hAnsi="宋体" w:eastAsia="宋体" w:cs="宋体"/>
          <w:color w:val="auto"/>
          <w:sz w:val="22"/>
          <w:highlight w:val="none"/>
        </w:rPr>
        <w:t>，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14:paraId="076246DE">
      <w:pPr>
        <w:pageBreakBefore w:val="0"/>
        <w:widowControl/>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14:paraId="29E085E4">
      <w:pPr>
        <w:pageBreakBefore w:val="0"/>
        <w:tabs>
          <w:tab w:val="left" w:pos="1365"/>
        </w:tabs>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9.4采购人根据招标文件、中标人的投标文件、合同等材料及时组织验收，并严把质量关。</w:t>
      </w:r>
    </w:p>
    <w:p w14:paraId="471EBD2D">
      <w:pPr>
        <w:pageBreakBefore w:val="0"/>
        <w:tabs>
          <w:tab w:val="left" w:pos="1365"/>
        </w:tabs>
        <w:kinsoku/>
        <w:wordWrap w:val="0"/>
        <w:topLinePunct w:val="0"/>
        <w:bidi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9.5采购代理机构对决标结果不做任何解释，也不保证最低价中标。</w:t>
      </w:r>
    </w:p>
    <w:p w14:paraId="2BD21DC3">
      <w:pPr>
        <w:pStyle w:val="14"/>
        <w:pageBreakBefore w:val="0"/>
        <w:kinsoku/>
        <w:wordWrap w:val="0"/>
        <w:topLinePunct w:val="0"/>
        <w:bidi w:val="0"/>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10.定标</w:t>
      </w:r>
    </w:p>
    <w:p w14:paraId="7CEA1377">
      <w:pPr>
        <w:pStyle w:val="14"/>
        <w:pageBreakBefore w:val="0"/>
        <w:kinsoku/>
        <w:wordWrap w:val="0"/>
        <w:topLinePunct w:val="0"/>
        <w:bidi w:val="0"/>
        <w:snapToGrid w:val="0"/>
        <w:spacing w:line="360" w:lineRule="exact"/>
        <w:ind w:firstLine="433" w:firstLineChars="196"/>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（一）确定中标人。本项目由采购人确定中标人。</w:t>
      </w:r>
    </w:p>
    <w:p w14:paraId="76BCE372">
      <w:pPr>
        <w:pageBreakBefore w:val="0"/>
        <w:widowControl/>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在采购结果确认环节，中标（成交）候选人撤销投标（响应）文件不能成为采购人不确认采购结果的正当理由。</w:t>
      </w:r>
    </w:p>
    <w:p w14:paraId="698F60DC">
      <w:pPr>
        <w:pageBreakBefore w:val="0"/>
        <w:widowControl/>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10.2.采购代理机构自中标人确定之日起2个工作日内，在</w:t>
      </w:r>
      <w:r>
        <w:rPr>
          <w:rFonts w:hint="eastAsia" w:ascii="宋体" w:hAnsi="宋体" w:eastAsia="宋体" w:cs="宋体"/>
          <w:color w:val="auto"/>
          <w:sz w:val="22"/>
          <w:highlight w:val="none"/>
          <w:lang w:val="en-US" w:eastAsia="zh-CN"/>
        </w:rPr>
        <w:t>浙江企业采购信息服务网上</w:t>
      </w:r>
      <w:r>
        <w:rPr>
          <w:rFonts w:hint="eastAsia" w:ascii="宋体" w:hAnsi="宋体" w:eastAsia="宋体" w:cs="宋体"/>
          <w:color w:val="auto"/>
          <w:sz w:val="22"/>
          <w:highlight w:val="none"/>
        </w:rPr>
        <w:t>发布媒体上公告中标结果，同时向中标人发出中标通知书。</w:t>
      </w:r>
    </w:p>
    <w:p w14:paraId="154D7C51">
      <w:pPr>
        <w:pageBreakBefore w:val="0"/>
        <w:kinsoku/>
        <w:wordWrap w:val="0"/>
        <w:topLinePunct w:val="0"/>
        <w:bidi w:val="0"/>
        <w:spacing w:line="400" w:lineRule="exact"/>
        <w:jc w:val="center"/>
        <w:outlineLvl w:val="9"/>
        <w:rPr>
          <w:rFonts w:hint="eastAsia" w:ascii="宋体" w:hAnsi="宋体" w:eastAsia="宋体" w:cs="宋体"/>
          <w:b/>
          <w:color w:val="auto"/>
          <w:sz w:val="26"/>
          <w:highlight w:val="none"/>
        </w:rPr>
      </w:pPr>
    </w:p>
    <w:p w14:paraId="7C45C043">
      <w:pPr>
        <w:pageBreakBefore w:val="0"/>
        <w:kinsoku/>
        <w:wordWrap w:val="0"/>
        <w:topLinePunct w:val="0"/>
        <w:bidi w:val="0"/>
        <w:spacing w:line="400" w:lineRule="exact"/>
        <w:jc w:val="center"/>
        <w:outlineLvl w:val="1"/>
        <w:rPr>
          <w:rFonts w:hint="eastAsia" w:ascii="宋体" w:hAnsi="宋体" w:eastAsia="宋体" w:cs="宋体"/>
          <w:b/>
          <w:color w:val="auto"/>
          <w:sz w:val="26"/>
          <w:highlight w:val="none"/>
        </w:rPr>
      </w:pPr>
      <w:bookmarkStart w:id="9" w:name="_Toc4136"/>
      <w:r>
        <w:rPr>
          <w:rFonts w:hint="eastAsia" w:ascii="宋体" w:hAnsi="宋体" w:eastAsia="宋体" w:cs="宋体"/>
          <w:b/>
          <w:color w:val="auto"/>
          <w:sz w:val="26"/>
          <w:highlight w:val="none"/>
        </w:rPr>
        <w:t>六、授予合同</w:t>
      </w:r>
      <w:bookmarkEnd w:id="9"/>
    </w:p>
    <w:p w14:paraId="458ED2E7">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6848F0F">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2.中标后无正当理由拒不与采购人签订</w:t>
      </w:r>
      <w:r>
        <w:rPr>
          <w:rFonts w:hint="eastAsia" w:ascii="宋体" w:hAnsi="宋体" w:eastAsia="宋体" w:cs="宋体"/>
          <w:color w:val="auto"/>
          <w:spacing w:val="6"/>
          <w:sz w:val="22"/>
          <w:highlight w:val="none"/>
          <w:lang w:eastAsia="zh-CN"/>
        </w:rPr>
        <w:t>采购</w:t>
      </w:r>
      <w:r>
        <w:rPr>
          <w:rFonts w:hint="eastAsia" w:ascii="宋体" w:hAnsi="宋体" w:eastAsia="宋体" w:cs="宋体"/>
          <w:color w:val="auto"/>
          <w:spacing w:val="6"/>
          <w:sz w:val="22"/>
          <w:highlight w:val="none"/>
        </w:rPr>
        <w:t>合同，将取消中标资格，并处以采购金额千分之五以上千分之十以下的罚款，由</w:t>
      </w:r>
      <w:r>
        <w:rPr>
          <w:rFonts w:hint="eastAsia" w:ascii="宋体" w:hAnsi="宋体" w:eastAsia="宋体" w:cs="宋体"/>
          <w:color w:val="auto"/>
          <w:spacing w:val="6"/>
          <w:sz w:val="22"/>
          <w:highlight w:val="none"/>
          <w:lang w:eastAsia="zh-CN"/>
        </w:rPr>
        <w:t>采购</w:t>
      </w:r>
      <w:r>
        <w:rPr>
          <w:rFonts w:hint="eastAsia" w:ascii="宋体" w:hAnsi="宋体" w:eastAsia="宋体" w:cs="宋体"/>
          <w:color w:val="auto"/>
          <w:spacing w:val="6"/>
          <w:sz w:val="22"/>
          <w:highlight w:val="none"/>
        </w:rPr>
        <w:t>监督管理部门列入不良行为记录名单，在一至三年内禁止参加</w:t>
      </w:r>
      <w:r>
        <w:rPr>
          <w:rFonts w:hint="eastAsia" w:ascii="宋体" w:hAnsi="宋体" w:eastAsia="宋体" w:cs="宋体"/>
          <w:color w:val="auto"/>
          <w:spacing w:val="6"/>
          <w:sz w:val="22"/>
          <w:highlight w:val="none"/>
          <w:lang w:eastAsia="zh-CN"/>
        </w:rPr>
        <w:t>采购</w:t>
      </w:r>
      <w:r>
        <w:rPr>
          <w:rFonts w:hint="eastAsia" w:ascii="宋体" w:hAnsi="宋体" w:eastAsia="宋体" w:cs="宋体"/>
          <w:color w:val="auto"/>
          <w:spacing w:val="6"/>
          <w:sz w:val="22"/>
          <w:highlight w:val="none"/>
        </w:rPr>
        <w:t>活动，有违法所得的，并处没收违法所得。</w:t>
      </w:r>
    </w:p>
    <w:p w14:paraId="037A48AB">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3.投标人在</w:t>
      </w:r>
      <w:r>
        <w:rPr>
          <w:rFonts w:hint="eastAsia" w:ascii="宋体" w:hAnsi="宋体" w:eastAsia="宋体" w:cs="宋体"/>
          <w:color w:val="auto"/>
          <w:spacing w:val="6"/>
          <w:sz w:val="22"/>
          <w:highlight w:val="none"/>
          <w:lang w:eastAsia="zh-CN"/>
        </w:rPr>
        <w:t>采购</w:t>
      </w:r>
      <w:r>
        <w:rPr>
          <w:rFonts w:hint="eastAsia" w:ascii="宋体" w:hAnsi="宋体" w:eastAsia="宋体" w:cs="宋体"/>
          <w:color w:val="auto"/>
          <w:spacing w:val="6"/>
          <w:sz w:val="22"/>
          <w:highlight w:val="none"/>
        </w:rPr>
        <w:t>活动中违反</w:t>
      </w:r>
      <w:r>
        <w:rPr>
          <w:rFonts w:hint="eastAsia" w:ascii="宋体" w:hAnsi="宋体" w:eastAsia="宋体" w:cs="宋体"/>
          <w:color w:val="auto"/>
          <w:spacing w:val="6"/>
          <w:sz w:val="22"/>
          <w:highlight w:val="none"/>
          <w:lang w:eastAsia="zh-CN"/>
        </w:rPr>
        <w:t>采购</w:t>
      </w:r>
      <w:r>
        <w:rPr>
          <w:rFonts w:hint="eastAsia" w:ascii="宋体" w:hAnsi="宋体" w:eastAsia="宋体" w:cs="宋体"/>
          <w:color w:val="auto"/>
          <w:spacing w:val="6"/>
          <w:sz w:val="22"/>
          <w:highlight w:val="none"/>
        </w:rPr>
        <w:t>相关规定给采购组织机构造成损失的，投标人承担赔偿责任；中标投标人放弃中标资格导致重新采购的，应当承担支付采购代理服务费和专家评审费等费用在内的赔偿责任。</w:t>
      </w:r>
    </w:p>
    <w:p w14:paraId="01257923">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4.采购人不得向投标人索要或者接受其给予的赠品、回扣或者与采购无关的其他商品、服务。采购过程（采购文件）中应明确以下要求：</w:t>
      </w:r>
    </w:p>
    <w:p w14:paraId="6605E314">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4.1不得明示或暗示投标人提供赠品、回扣、采购预算中本身不包含的其他商品或服务；</w:t>
      </w:r>
    </w:p>
    <w:p w14:paraId="1A67C893">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4.2投标人承诺提供赠品、回扣、采购预算中本身不包含的其他商品或服务，视作无效承诺；不得因无效承诺对投标人实行差别待遇或者歧视待遇；</w:t>
      </w:r>
    </w:p>
    <w:p w14:paraId="526F4788">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4.3合同总价不为零，报价明细表中部分产品、服务单价为零的，视作已包含在总价中（采购文件中明确）；</w:t>
      </w:r>
    </w:p>
    <w:p w14:paraId="0E8E24B6">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4.4不得将投标人提供赠品、回扣、采购预算中本身不包含的其他商品或服务作为中标（成交）条件或者合同签订条件；</w:t>
      </w:r>
    </w:p>
    <w:p w14:paraId="0DBB9E26">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4.5合同签订后，不得接受投标人无效承诺的赠品、回扣、采购预算中本身不包含的其他商品或服务；</w:t>
      </w:r>
    </w:p>
    <w:p w14:paraId="6E86369E">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4.6合同签订后，不得向投标人索要赠品、回扣、采购预算中本身不包含的其他商品或服务；</w:t>
      </w:r>
    </w:p>
    <w:p w14:paraId="1C9CD27D">
      <w:pPr>
        <w:pageBreakBefore w:val="0"/>
        <w:kinsoku/>
        <w:wordWrap w:val="0"/>
        <w:topLinePunct w:val="0"/>
        <w:bidi w:val="0"/>
        <w:spacing w:line="360" w:lineRule="exact"/>
        <w:ind w:firstLine="464" w:firstLineChars="200"/>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4.7履约验收环节，不得因投标人提供赠品、回扣、采购预算中本身不包含的其他商品或服务减免投标人违约责任。</w:t>
      </w:r>
    </w:p>
    <w:p w14:paraId="708B86C8">
      <w:pPr>
        <w:pageBreakBefore w:val="0"/>
        <w:kinsoku/>
        <w:wordWrap w:val="0"/>
        <w:topLinePunct w:val="0"/>
        <w:bidi w:val="0"/>
        <w:spacing w:line="360" w:lineRule="exact"/>
        <w:jc w:val="center"/>
        <w:rPr>
          <w:rFonts w:hint="eastAsia" w:ascii="宋体" w:hAnsi="宋体" w:eastAsia="宋体" w:cs="宋体"/>
          <w:b/>
          <w:color w:val="auto"/>
          <w:sz w:val="26"/>
          <w:highlight w:val="none"/>
        </w:rPr>
      </w:pPr>
    </w:p>
    <w:p w14:paraId="0DF81B25">
      <w:pPr>
        <w:pageBreakBefore w:val="0"/>
        <w:kinsoku/>
        <w:wordWrap w:val="0"/>
        <w:topLinePunct w:val="0"/>
        <w:bidi w:val="0"/>
        <w:spacing w:line="360" w:lineRule="exact"/>
        <w:jc w:val="center"/>
        <w:outlineLvl w:val="1"/>
        <w:rPr>
          <w:rFonts w:hint="eastAsia" w:ascii="宋体" w:hAnsi="宋体" w:eastAsia="宋体" w:cs="宋体"/>
          <w:b/>
          <w:color w:val="auto"/>
          <w:sz w:val="28"/>
          <w:szCs w:val="28"/>
          <w:highlight w:val="none"/>
        </w:rPr>
      </w:pPr>
      <w:bookmarkStart w:id="10" w:name="_Toc8073"/>
      <w:r>
        <w:rPr>
          <w:rFonts w:hint="eastAsia" w:ascii="宋体" w:hAnsi="宋体" w:eastAsia="宋体" w:cs="宋体"/>
          <w:b/>
          <w:color w:val="auto"/>
          <w:sz w:val="26"/>
          <w:highlight w:val="none"/>
        </w:rPr>
        <w:t xml:space="preserve">七、 </w:t>
      </w:r>
      <w:r>
        <w:rPr>
          <w:rFonts w:hint="eastAsia" w:ascii="宋体" w:hAnsi="宋体" w:eastAsia="宋体" w:cs="宋体"/>
          <w:b/>
          <w:color w:val="auto"/>
          <w:sz w:val="28"/>
          <w:szCs w:val="28"/>
          <w:highlight w:val="none"/>
        </w:rPr>
        <w:t>可中止电子交易活动的情形</w:t>
      </w:r>
      <w:bookmarkEnd w:id="10"/>
    </w:p>
    <w:p w14:paraId="69525A14">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zh-CN"/>
        </w:rPr>
        <w:t>采购过程中出现以下情形，导致电子交易平台无法正常运行，或者无法保证电子交易的公平、公正和安全时，采购组织机构可中止电子交易活动：</w:t>
      </w:r>
    </w:p>
    <w:p w14:paraId="18EDC565">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w:t>
      </w: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val="zh-CN"/>
        </w:rPr>
        <w:t>）电子交易平台发生故障而无法登录访问的； </w:t>
      </w:r>
    </w:p>
    <w:p w14:paraId="24686670">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w:t>
      </w: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zh-CN"/>
        </w:rPr>
        <w:t>）电子交易平台应用或数据库出现错误，不能进行正常操作的；</w:t>
      </w:r>
    </w:p>
    <w:p w14:paraId="4730AC3B">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w:t>
      </w:r>
      <w:r>
        <w:rPr>
          <w:rFonts w:hint="eastAsia" w:ascii="宋体" w:hAnsi="宋体" w:eastAsia="宋体" w:cs="宋体"/>
          <w:color w:val="auto"/>
          <w:sz w:val="22"/>
          <w:highlight w:val="none"/>
        </w:rPr>
        <w:t>3</w:t>
      </w:r>
      <w:r>
        <w:rPr>
          <w:rFonts w:hint="eastAsia" w:ascii="宋体" w:hAnsi="宋体" w:eastAsia="宋体" w:cs="宋体"/>
          <w:color w:val="auto"/>
          <w:sz w:val="22"/>
          <w:highlight w:val="none"/>
          <w:lang w:val="zh-CN"/>
        </w:rPr>
        <w:t>）电子交易平台发现严重安全漏洞，有潜在泄密危险的；</w:t>
      </w:r>
    </w:p>
    <w:p w14:paraId="3FA7ACC7">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w:t>
      </w:r>
      <w:r>
        <w:rPr>
          <w:rFonts w:hint="eastAsia" w:ascii="宋体" w:hAnsi="宋体" w:eastAsia="宋体" w:cs="宋体"/>
          <w:color w:val="auto"/>
          <w:sz w:val="22"/>
          <w:highlight w:val="none"/>
        </w:rPr>
        <w:t>4</w:t>
      </w:r>
      <w:r>
        <w:rPr>
          <w:rFonts w:hint="eastAsia" w:ascii="宋体" w:hAnsi="宋体" w:eastAsia="宋体" w:cs="宋体"/>
          <w:color w:val="auto"/>
          <w:sz w:val="22"/>
          <w:highlight w:val="none"/>
          <w:lang w:val="zh-CN"/>
        </w:rPr>
        <w:t>）病毒发作导致不能进行正常操作的； </w:t>
      </w:r>
    </w:p>
    <w:p w14:paraId="7C72C5A8">
      <w:pPr>
        <w:pageBreakBefore w:val="0"/>
        <w:kinsoku/>
        <w:wordWrap w:val="0"/>
        <w:topLinePunct w:val="0"/>
        <w:bidi w:val="0"/>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（5）其他无法保证电子交易的公平、公正和安全的情况。</w:t>
      </w:r>
    </w:p>
    <w:p w14:paraId="186B4E38">
      <w:pPr>
        <w:pageBreakBefore w:val="0"/>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出现前款规定情形，不影响采购公平、公正性的，采购代理机构可以待上述情形消除后继续组织电子交易活动，也可以决定某些环节以纸质形式进行；影响或可能影响采购公平、公正性的，重新采购。</w:t>
      </w:r>
    </w:p>
    <w:p w14:paraId="1A85F78E">
      <w:pPr>
        <w:pageBreakBefore w:val="0"/>
        <w:kinsoku/>
        <w:wordWrap w:val="0"/>
        <w:topLinePunct w:val="0"/>
        <w:bidi w:val="0"/>
        <w:spacing w:line="360" w:lineRule="exact"/>
        <w:ind w:firstLine="440" w:firstLineChars="200"/>
        <w:jc w:val="left"/>
        <w:rPr>
          <w:rFonts w:hint="eastAsia" w:ascii="宋体" w:hAnsi="宋体" w:eastAsia="宋体" w:cs="宋体"/>
          <w:color w:val="auto"/>
          <w:sz w:val="22"/>
          <w:highlight w:val="none"/>
        </w:rPr>
      </w:pPr>
    </w:p>
    <w:p w14:paraId="6A037FB4">
      <w:pPr>
        <w:pageBreakBefore w:val="0"/>
        <w:kinsoku/>
        <w:wordWrap w:val="0"/>
        <w:topLinePunct w:val="0"/>
        <w:bidi w:val="0"/>
        <w:spacing w:line="360" w:lineRule="exact"/>
        <w:jc w:val="center"/>
        <w:outlineLvl w:val="1"/>
        <w:rPr>
          <w:rFonts w:hint="eastAsia" w:ascii="宋体" w:hAnsi="宋体" w:eastAsia="宋体" w:cs="宋体"/>
          <w:b/>
          <w:color w:val="auto"/>
          <w:sz w:val="26"/>
          <w:highlight w:val="none"/>
        </w:rPr>
      </w:pPr>
      <w:bookmarkStart w:id="11" w:name="_Toc4471"/>
      <w:r>
        <w:rPr>
          <w:rFonts w:hint="eastAsia" w:ascii="宋体" w:hAnsi="宋体" w:eastAsia="宋体" w:cs="宋体"/>
          <w:b/>
          <w:color w:val="auto"/>
          <w:sz w:val="26"/>
          <w:highlight w:val="none"/>
        </w:rPr>
        <w:t>八、验收</w:t>
      </w:r>
      <w:bookmarkEnd w:id="11"/>
    </w:p>
    <w:p w14:paraId="5824480A">
      <w:pPr>
        <w:pStyle w:val="10"/>
        <w:pageBreakBefore w:val="0"/>
        <w:kinsoku/>
        <w:wordWrap w:val="0"/>
        <w:topLinePunct w:val="0"/>
        <w:bidi w:val="0"/>
        <w:snapToGrid w:val="0"/>
        <w:spacing w:line="360" w:lineRule="exact"/>
        <w:ind w:left="440" w:hanging="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1.验收</w:t>
      </w:r>
    </w:p>
    <w:p w14:paraId="6D7A06E5">
      <w:pPr>
        <w:pageBreakBefore w:val="0"/>
        <w:tabs>
          <w:tab w:val="left" w:pos="0"/>
        </w:tabs>
        <w:kinsoku/>
        <w:wordWrap w:val="0"/>
        <w:topLinePunct w:val="0"/>
        <w:bidi w:val="0"/>
        <w:snapToGrid w:val="0"/>
        <w:spacing w:line="360" w:lineRule="exact"/>
        <w:ind w:firstLine="442" w:firstLineChars="201"/>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（1）采购人组织对投标人履约的验收。大型或者复杂的</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项目，应当邀请国家认可的质量检测机构参加验收工作。验收方成员应当在验收书上签字，并承担相应的法律责任。如果发现与合同中要求不符，投标人须承担由此发生的一切损失和费用，并接受相应的处理。</w:t>
      </w:r>
    </w:p>
    <w:p w14:paraId="6104F5E9">
      <w:pPr>
        <w:pageBreakBefore w:val="0"/>
        <w:tabs>
          <w:tab w:val="left" w:pos="0"/>
        </w:tabs>
        <w:kinsoku/>
        <w:wordWrap w:val="0"/>
        <w:topLinePunct w:val="0"/>
        <w:bidi w:val="0"/>
        <w:snapToGrid w:val="0"/>
        <w:spacing w:line="360" w:lineRule="exact"/>
        <w:ind w:firstLine="442" w:firstLineChars="201"/>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（2）采购人可以邀请参加本项目的其他投标人或者第三方机构参与验收。参与验收的投标人或者第三方机构的意见作为验收书的参考资料一并存档。</w:t>
      </w:r>
    </w:p>
    <w:p w14:paraId="64950BD0">
      <w:pPr>
        <w:pageBreakBefore w:val="0"/>
        <w:tabs>
          <w:tab w:val="left" w:pos="0"/>
        </w:tabs>
        <w:kinsoku/>
        <w:wordWrap w:val="0"/>
        <w:topLinePunct w:val="0"/>
        <w:bidi w:val="0"/>
        <w:snapToGrid w:val="0"/>
        <w:spacing w:line="360" w:lineRule="exact"/>
        <w:ind w:firstLine="442" w:firstLineChars="201"/>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严格按照采购合同开展履约验收。采购人成立验收小组，按照采购合同的约定对投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E9E7EC3">
      <w:pPr>
        <w:pageBreakBefore w:val="0"/>
        <w:tabs>
          <w:tab w:val="left" w:pos="0"/>
        </w:tabs>
        <w:kinsoku/>
        <w:wordWrap w:val="0"/>
        <w:topLinePunct w:val="0"/>
        <w:bidi w:val="0"/>
        <w:snapToGrid w:val="0"/>
        <w:spacing w:line="360" w:lineRule="exact"/>
        <w:ind w:firstLine="442" w:firstLineChars="201"/>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验收合格的项目，采购人将根据采购合同的约定及时向投标人支付采购资金、退还履约保证金。验收不合格的项目，采购人将依法及时处理。采购合同的履行、违约责任和解决争议的方式等适用《中华人民共和国民法典》。投标人在履约过程中有</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法律法规规定的违法违规情形的，采购人应当及时报告本级</w:t>
      </w:r>
      <w:r>
        <w:rPr>
          <w:rFonts w:hint="eastAsia" w:ascii="宋体" w:hAnsi="宋体" w:eastAsia="宋体" w:cs="宋体"/>
          <w:color w:val="auto"/>
          <w:sz w:val="22"/>
          <w:highlight w:val="none"/>
          <w:lang w:val="en-US" w:eastAsia="zh-CN"/>
        </w:rPr>
        <w:t>监督</w:t>
      </w:r>
      <w:r>
        <w:rPr>
          <w:rFonts w:hint="eastAsia" w:ascii="宋体" w:hAnsi="宋体" w:eastAsia="宋体" w:cs="宋体"/>
          <w:color w:val="auto"/>
          <w:sz w:val="22"/>
          <w:highlight w:val="none"/>
        </w:rPr>
        <w:t>部门。</w:t>
      </w:r>
    </w:p>
    <w:p w14:paraId="474EED8B">
      <w:pPr>
        <w:pageBreakBefore w:val="0"/>
        <w:kinsoku/>
        <w:wordWrap w:val="0"/>
        <w:topLinePunct w:val="0"/>
        <w:bidi w:val="0"/>
        <w:spacing w:line="360" w:lineRule="exact"/>
        <w:ind w:firstLine="442" w:firstLineChars="200"/>
        <w:jc w:val="center"/>
        <w:outlineLvl w:val="0"/>
        <w:rPr>
          <w:rFonts w:hint="eastAsia" w:ascii="宋体" w:hAnsi="宋体" w:eastAsia="宋体" w:cs="宋体"/>
          <w:b/>
          <w:bCs/>
          <w:color w:val="auto"/>
          <w:szCs w:val="21"/>
          <w:highlight w:val="none"/>
        </w:rPr>
      </w:pPr>
      <w:r>
        <w:rPr>
          <w:rFonts w:hint="eastAsia" w:ascii="宋体" w:hAnsi="宋体" w:eastAsia="宋体" w:cs="宋体"/>
          <w:b/>
          <w:color w:val="auto"/>
          <w:sz w:val="22"/>
          <w:highlight w:val="none"/>
        </w:rPr>
        <w:br w:type="page"/>
      </w:r>
      <w:bookmarkStart w:id="12" w:name="_Toc363"/>
      <w:r>
        <w:rPr>
          <w:rFonts w:hint="eastAsia" w:ascii="宋体" w:hAnsi="宋体" w:eastAsia="宋体" w:cs="宋体"/>
          <w:b/>
          <w:color w:val="auto"/>
          <w:sz w:val="32"/>
          <w:highlight w:val="none"/>
        </w:rPr>
        <w:t>第三部分</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bCs/>
          <w:color w:val="auto"/>
          <w:sz w:val="32"/>
          <w:szCs w:val="32"/>
          <w:highlight w:val="none"/>
        </w:rPr>
        <w:t>拟签订的合同文本</w:t>
      </w:r>
      <w:bookmarkEnd w:id="12"/>
    </w:p>
    <w:p w14:paraId="4D144046">
      <w:pPr>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注：如甲、乙双方同意，合同格式也可以按照其他形式</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 xml:space="preserve"> 具体条款以甲方为主协商确定。但合同条款的基本内容应与以下要求的内容相一致。</w:t>
      </w:r>
    </w:p>
    <w:p w14:paraId="7B669A22">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甲方：（采购人）</w:t>
      </w:r>
    </w:p>
    <w:p w14:paraId="22F413DA">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 （</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w:t>
      </w:r>
    </w:p>
    <w:p w14:paraId="2F8EA342">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温州市第七人民医院的（项目名称、编号）在国内以公开遴选方式进行采购，经评审委员会评定（</w:t>
      </w:r>
      <w:r>
        <w:rPr>
          <w:rFonts w:hint="eastAsia" w:ascii="宋体" w:hAnsi="宋体" w:eastAsia="宋体" w:cs="宋体"/>
          <w:bCs/>
          <w:color w:val="auto"/>
          <w:sz w:val="22"/>
          <w:szCs w:val="22"/>
          <w:highlight w:val="none"/>
          <w:lang w:eastAsia="zh-CN"/>
        </w:rPr>
        <w:t>中标人</w:t>
      </w:r>
      <w:r>
        <w:rPr>
          <w:rFonts w:hint="eastAsia" w:ascii="宋体" w:hAnsi="宋体" w:eastAsia="宋体" w:cs="宋体"/>
          <w:bCs/>
          <w:color w:val="auto"/>
          <w:sz w:val="22"/>
          <w:szCs w:val="22"/>
          <w:highlight w:val="none"/>
        </w:rPr>
        <w:t>名称）为</w:t>
      </w:r>
      <w:r>
        <w:rPr>
          <w:rFonts w:hint="eastAsia" w:ascii="宋体" w:hAnsi="宋体" w:eastAsia="宋体" w:cs="宋体"/>
          <w:bCs/>
          <w:color w:val="auto"/>
          <w:sz w:val="22"/>
          <w:szCs w:val="22"/>
          <w:highlight w:val="none"/>
          <w:lang w:eastAsia="zh-CN"/>
        </w:rPr>
        <w:t>中标人</w:t>
      </w:r>
      <w:r>
        <w:rPr>
          <w:rFonts w:hint="eastAsia" w:ascii="宋体" w:hAnsi="宋体" w:eastAsia="宋体" w:cs="宋体"/>
          <w:bCs/>
          <w:color w:val="auto"/>
          <w:sz w:val="22"/>
          <w:szCs w:val="22"/>
          <w:highlight w:val="none"/>
        </w:rPr>
        <w:t>。双方本着诚信及互利互惠的原则，同意按照下面条款和条件，签署本合同。</w:t>
      </w:r>
    </w:p>
    <w:p w14:paraId="02496235">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13" w:name="_Toc14612"/>
      <w:bookmarkStart w:id="14" w:name="_Toc14546"/>
      <w:r>
        <w:rPr>
          <w:rFonts w:hint="eastAsia" w:ascii="宋体" w:hAnsi="宋体" w:eastAsia="宋体" w:cs="宋体"/>
          <w:b/>
          <w:color w:val="auto"/>
          <w:sz w:val="22"/>
          <w:szCs w:val="22"/>
          <w:highlight w:val="none"/>
        </w:rPr>
        <w:t>一、本合同签订依据</w:t>
      </w:r>
      <w:bookmarkEnd w:id="13"/>
      <w:bookmarkEnd w:id="14"/>
    </w:p>
    <w:p w14:paraId="10D86C00">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《中华人民共和国民法典》</w:t>
      </w:r>
    </w:p>
    <w:p w14:paraId="6F94EEF3">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15" w:name="_Toc4310"/>
      <w:bookmarkStart w:id="16" w:name="_Toc32194"/>
      <w:r>
        <w:rPr>
          <w:rFonts w:hint="eastAsia" w:ascii="宋体" w:hAnsi="宋体" w:eastAsia="宋体" w:cs="宋体"/>
          <w:b/>
          <w:color w:val="auto"/>
          <w:sz w:val="22"/>
          <w:szCs w:val="22"/>
          <w:highlight w:val="none"/>
        </w:rPr>
        <w:t>二、合同文件的优先次序</w:t>
      </w:r>
      <w:bookmarkEnd w:id="15"/>
      <w:bookmarkEnd w:id="16"/>
    </w:p>
    <w:p w14:paraId="62A1D7D3">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合同文件如存在歧义或不一致则根据以下优先次序来判断：</w:t>
      </w:r>
    </w:p>
    <w:p w14:paraId="43139610">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1、合同书及合同补充条款或说明 </w:t>
      </w:r>
    </w:p>
    <w:p w14:paraId="50371BE9">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2、成交通知书</w:t>
      </w:r>
    </w:p>
    <w:p w14:paraId="5C20511E">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3、承诺书（含询标记录和优惠条款）</w:t>
      </w:r>
    </w:p>
    <w:p w14:paraId="24C62C6E">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4、投标文件</w:t>
      </w:r>
    </w:p>
    <w:p w14:paraId="408FAA5D">
      <w:pPr>
        <w:keepNext w:val="0"/>
        <w:keepLines w:val="0"/>
        <w:pageBreakBefore w:val="0"/>
        <w:kinsoku/>
        <w:wordWrap/>
        <w:overflowPunct/>
        <w:topLinePunct w:val="0"/>
        <w:autoSpaceDE/>
        <w:autoSpaceDN/>
        <w:bidi w:val="0"/>
        <w:adjustRightInd/>
        <w:snapToGrid/>
        <w:spacing w:line="3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5、招标文件</w:t>
      </w:r>
    </w:p>
    <w:p w14:paraId="45AE6CD0">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17" w:name="_Toc14689"/>
      <w:bookmarkStart w:id="18" w:name="_Toc10631"/>
      <w:r>
        <w:rPr>
          <w:rFonts w:hint="eastAsia" w:ascii="宋体" w:hAnsi="宋体" w:eastAsia="宋体" w:cs="宋体"/>
          <w:b/>
          <w:color w:val="auto"/>
          <w:sz w:val="22"/>
          <w:szCs w:val="22"/>
          <w:highlight w:val="none"/>
        </w:rPr>
        <w:t>三、合同内容：</w:t>
      </w:r>
      <w:bookmarkEnd w:id="17"/>
      <w:bookmarkEnd w:id="18"/>
    </w:p>
    <w:p w14:paraId="669412C6">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依据招标文件内容。</w:t>
      </w:r>
    </w:p>
    <w:p w14:paraId="2EAF4F16">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19" w:name="_Toc22078"/>
      <w:bookmarkStart w:id="20" w:name="_Toc28398"/>
      <w:r>
        <w:rPr>
          <w:rFonts w:hint="eastAsia" w:ascii="宋体" w:hAnsi="宋体" w:eastAsia="宋体" w:cs="宋体"/>
          <w:b/>
          <w:color w:val="auto"/>
          <w:sz w:val="22"/>
          <w:szCs w:val="22"/>
          <w:highlight w:val="none"/>
        </w:rPr>
        <w:t>四、合同价格</w:t>
      </w:r>
      <w:bookmarkEnd w:id="19"/>
      <w:bookmarkEnd w:id="20"/>
    </w:p>
    <w:p w14:paraId="72FAE88B">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1、本合同总价为人民币万元。</w:t>
      </w:r>
    </w:p>
    <w:p w14:paraId="198F7491">
      <w:pPr>
        <w:keepNext w:val="0"/>
        <w:keepLines w:val="0"/>
        <w:pageBreakBefore w:val="0"/>
        <w:tabs>
          <w:tab w:val="left" w:pos="360"/>
        </w:tabs>
        <w:kinsoku/>
        <w:wordWrap/>
        <w:overflowPunct/>
        <w:topLinePunct w:val="0"/>
        <w:autoSpaceDE/>
        <w:autoSpaceDN/>
        <w:bidi w:val="0"/>
        <w:adjustRightInd/>
        <w:snapToGrid/>
        <w:spacing w:line="360" w:lineRule="exact"/>
        <w:ind w:firstLine="552" w:firstLineChars="2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本合同总价包括设备的供货、税金、包装、运输、保险、装卸、检验、调试、验收（含第三方验收）、技术服务、售后服务、质保期保障、材料等完成合同所需的一切本身和不可或缺的所有工作开支、政策性文件规定及合同包含的所有风险、责任等各项全部费用，实行固定费用总包干。除发生下列原因可调整合同价外，不得以任何其他理由调整费用。</w:t>
      </w:r>
    </w:p>
    <w:p w14:paraId="168E7AD2">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2、甲方提出的货物变更或由乙方提出的合理化建议，经甲方同意采纳的货物型号、规格等方面的变更，可根据原成交单价计算变更费用。但属乙方漏项少算的货物及服务费用不得追补。</w:t>
      </w:r>
    </w:p>
    <w:p w14:paraId="5759DD9A">
      <w:pPr>
        <w:keepNext w:val="0"/>
        <w:keepLines w:val="0"/>
        <w:pageBreakBefore w:val="0"/>
        <w:tabs>
          <w:tab w:val="left" w:pos="360"/>
        </w:tabs>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3、设备清单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10"/>
        <w:gridCol w:w="1559"/>
        <w:gridCol w:w="993"/>
        <w:gridCol w:w="1344"/>
        <w:gridCol w:w="892"/>
        <w:gridCol w:w="949"/>
      </w:tblGrid>
      <w:tr w14:paraId="2EA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center"/>
          </w:tcPr>
          <w:p w14:paraId="5943A82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410" w:type="dxa"/>
            <w:noWrap/>
            <w:vAlign w:val="center"/>
          </w:tcPr>
          <w:p w14:paraId="0C527FE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w:t>
            </w:r>
          </w:p>
        </w:tc>
        <w:tc>
          <w:tcPr>
            <w:tcW w:w="1559" w:type="dxa"/>
            <w:noWrap/>
            <w:vAlign w:val="center"/>
          </w:tcPr>
          <w:p w14:paraId="4A7E2E8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规格型号</w:t>
            </w:r>
          </w:p>
        </w:tc>
        <w:tc>
          <w:tcPr>
            <w:tcW w:w="993" w:type="dxa"/>
            <w:noWrap/>
            <w:vAlign w:val="center"/>
          </w:tcPr>
          <w:p w14:paraId="7C2349F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344" w:type="dxa"/>
            <w:noWrap/>
            <w:vAlign w:val="center"/>
          </w:tcPr>
          <w:p w14:paraId="1B1FC9D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892" w:type="dxa"/>
            <w:noWrap/>
            <w:vAlign w:val="center"/>
          </w:tcPr>
          <w:p w14:paraId="06C6DE3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合价</w:t>
            </w:r>
          </w:p>
        </w:tc>
        <w:tc>
          <w:tcPr>
            <w:tcW w:w="949" w:type="dxa"/>
            <w:noWrap/>
            <w:vAlign w:val="center"/>
          </w:tcPr>
          <w:p w14:paraId="7DF04F1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7BF3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32591A2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410" w:type="dxa"/>
            <w:noWrap/>
            <w:vAlign w:val="bottom"/>
          </w:tcPr>
          <w:p w14:paraId="2B3A3098">
            <w:pPr>
              <w:keepNext w:val="0"/>
              <w:keepLines w:val="0"/>
              <w:pageBreakBefore w:val="0"/>
              <w:widowControl/>
              <w:kinsoku/>
              <w:wordWrap/>
              <w:overflowPunct/>
              <w:topLinePunct w:val="0"/>
              <w:autoSpaceDE/>
              <w:autoSpaceDN/>
              <w:bidi w:val="0"/>
              <w:adjustRightInd/>
              <w:snapToGrid/>
              <w:spacing w:line="360" w:lineRule="exact"/>
              <w:jc w:val="left"/>
              <w:textAlignment w:val="bottom"/>
              <w:rPr>
                <w:rFonts w:hint="eastAsia" w:ascii="宋体" w:hAnsi="宋体" w:eastAsia="宋体" w:cs="宋体"/>
                <w:b/>
                <w:color w:val="auto"/>
                <w:sz w:val="20"/>
                <w:szCs w:val="20"/>
                <w:highlight w:val="none"/>
              </w:rPr>
            </w:pPr>
          </w:p>
        </w:tc>
        <w:tc>
          <w:tcPr>
            <w:tcW w:w="1559" w:type="dxa"/>
            <w:noWrap/>
            <w:vAlign w:val="bottom"/>
          </w:tcPr>
          <w:p w14:paraId="2DA3399E">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eastAsia="宋体" w:cs="宋体"/>
                <w:b/>
                <w:color w:val="auto"/>
                <w:sz w:val="20"/>
                <w:szCs w:val="20"/>
                <w:highlight w:val="none"/>
              </w:rPr>
            </w:pPr>
          </w:p>
        </w:tc>
        <w:tc>
          <w:tcPr>
            <w:tcW w:w="993" w:type="dxa"/>
            <w:noWrap/>
            <w:vAlign w:val="bottom"/>
          </w:tcPr>
          <w:p w14:paraId="4FAB2D7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highlight w:val="none"/>
              </w:rPr>
            </w:pPr>
          </w:p>
        </w:tc>
        <w:tc>
          <w:tcPr>
            <w:tcW w:w="1344" w:type="dxa"/>
            <w:noWrap/>
            <w:vAlign w:val="bottom"/>
          </w:tcPr>
          <w:p w14:paraId="481CCE9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sz w:val="20"/>
                <w:szCs w:val="20"/>
                <w:highlight w:val="none"/>
              </w:rPr>
            </w:pPr>
          </w:p>
        </w:tc>
        <w:tc>
          <w:tcPr>
            <w:tcW w:w="892" w:type="dxa"/>
            <w:noWrap/>
            <w:vAlign w:val="bottom"/>
          </w:tcPr>
          <w:p w14:paraId="1D2AF0A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sz w:val="20"/>
                <w:szCs w:val="20"/>
                <w:highlight w:val="none"/>
              </w:rPr>
            </w:pPr>
          </w:p>
        </w:tc>
        <w:tc>
          <w:tcPr>
            <w:tcW w:w="949" w:type="dxa"/>
            <w:noWrap/>
            <w:vAlign w:val="top"/>
          </w:tcPr>
          <w:p w14:paraId="00FAB42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p>
        </w:tc>
      </w:tr>
      <w:tr w14:paraId="7748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18BBDF9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410" w:type="dxa"/>
            <w:noWrap/>
            <w:vAlign w:val="bottom"/>
          </w:tcPr>
          <w:p w14:paraId="65D14FB5">
            <w:pPr>
              <w:keepNext w:val="0"/>
              <w:keepLines w:val="0"/>
              <w:pageBreakBefore w:val="0"/>
              <w:widowControl/>
              <w:kinsoku/>
              <w:wordWrap/>
              <w:overflowPunct/>
              <w:topLinePunct w:val="0"/>
              <w:autoSpaceDE/>
              <w:autoSpaceDN/>
              <w:bidi w:val="0"/>
              <w:adjustRightInd/>
              <w:snapToGrid/>
              <w:spacing w:line="360" w:lineRule="exact"/>
              <w:jc w:val="left"/>
              <w:textAlignment w:val="bottom"/>
              <w:rPr>
                <w:rFonts w:hint="eastAsia" w:ascii="宋体" w:hAnsi="宋体" w:eastAsia="宋体" w:cs="宋体"/>
                <w:b/>
                <w:color w:val="auto"/>
                <w:kern w:val="0"/>
                <w:sz w:val="20"/>
                <w:szCs w:val="20"/>
                <w:highlight w:val="none"/>
              </w:rPr>
            </w:pPr>
          </w:p>
        </w:tc>
        <w:tc>
          <w:tcPr>
            <w:tcW w:w="1559" w:type="dxa"/>
            <w:noWrap/>
            <w:vAlign w:val="bottom"/>
          </w:tcPr>
          <w:p w14:paraId="585CA9BC">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eastAsia="宋体" w:cs="宋体"/>
                <w:b/>
                <w:color w:val="auto"/>
                <w:kern w:val="0"/>
                <w:sz w:val="20"/>
                <w:szCs w:val="20"/>
                <w:highlight w:val="none"/>
              </w:rPr>
            </w:pPr>
          </w:p>
        </w:tc>
        <w:tc>
          <w:tcPr>
            <w:tcW w:w="993" w:type="dxa"/>
            <w:noWrap/>
            <w:vAlign w:val="bottom"/>
          </w:tcPr>
          <w:p w14:paraId="351D4D3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highlight w:val="none"/>
              </w:rPr>
            </w:pPr>
          </w:p>
        </w:tc>
        <w:tc>
          <w:tcPr>
            <w:tcW w:w="1344" w:type="dxa"/>
            <w:noWrap/>
            <w:vAlign w:val="bottom"/>
          </w:tcPr>
          <w:p w14:paraId="0ED40B8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sz w:val="20"/>
                <w:szCs w:val="20"/>
                <w:highlight w:val="none"/>
              </w:rPr>
            </w:pPr>
          </w:p>
        </w:tc>
        <w:tc>
          <w:tcPr>
            <w:tcW w:w="892" w:type="dxa"/>
            <w:noWrap/>
            <w:vAlign w:val="bottom"/>
          </w:tcPr>
          <w:p w14:paraId="5AD6709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sz w:val="20"/>
                <w:szCs w:val="20"/>
                <w:highlight w:val="none"/>
              </w:rPr>
            </w:pPr>
          </w:p>
        </w:tc>
        <w:tc>
          <w:tcPr>
            <w:tcW w:w="949" w:type="dxa"/>
            <w:noWrap/>
            <w:vAlign w:val="top"/>
          </w:tcPr>
          <w:p w14:paraId="5F376B3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p>
        </w:tc>
      </w:tr>
      <w:tr w14:paraId="3B9B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ign w:val="top"/>
          </w:tcPr>
          <w:p w14:paraId="15CE1A65">
            <w:pPr>
              <w:keepNext w:val="0"/>
              <w:keepLines w:val="0"/>
              <w:pageBreakBefore w:val="0"/>
              <w:tabs>
                <w:tab w:val="left" w:pos="360"/>
              </w:tabs>
              <w:kinsoku/>
              <w:wordWrap/>
              <w:overflowPunct/>
              <w:topLinePunct w:val="0"/>
              <w:autoSpaceDE/>
              <w:autoSpaceDN/>
              <w:bidi w:val="0"/>
              <w:adjustRightInd/>
              <w:snapToGrid/>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410" w:type="dxa"/>
            <w:noWrap/>
            <w:vAlign w:val="bottom"/>
          </w:tcPr>
          <w:p w14:paraId="7405A791">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559" w:type="dxa"/>
            <w:noWrap/>
            <w:vAlign w:val="bottom"/>
          </w:tcPr>
          <w:p w14:paraId="7092EBC8">
            <w:pPr>
              <w:keepNext w:val="0"/>
              <w:keepLines w:val="0"/>
              <w:pageBreakBefore w:val="0"/>
              <w:widowControl/>
              <w:kinsoku/>
              <w:wordWrap/>
              <w:overflowPunct/>
              <w:topLinePunct w:val="0"/>
              <w:autoSpaceDE/>
              <w:autoSpaceDN/>
              <w:bidi w:val="0"/>
              <w:adjustRightInd/>
              <w:snapToGrid/>
              <w:spacing w:line="360" w:lineRule="exact"/>
              <w:jc w:val="center"/>
              <w:textAlignment w:val="bottom"/>
              <w:rPr>
                <w:rFonts w:hint="eastAsia" w:ascii="宋体" w:hAnsi="宋体" w:eastAsia="宋体" w:cs="宋体"/>
                <w:b/>
                <w:color w:val="auto"/>
                <w:kern w:val="0"/>
                <w:sz w:val="20"/>
                <w:szCs w:val="20"/>
                <w:highlight w:val="none"/>
              </w:rPr>
            </w:pPr>
          </w:p>
        </w:tc>
        <w:tc>
          <w:tcPr>
            <w:tcW w:w="993" w:type="dxa"/>
            <w:noWrap/>
            <w:vAlign w:val="bottom"/>
          </w:tcPr>
          <w:p w14:paraId="039F995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highlight w:val="none"/>
              </w:rPr>
            </w:pPr>
          </w:p>
        </w:tc>
        <w:tc>
          <w:tcPr>
            <w:tcW w:w="1344" w:type="dxa"/>
            <w:noWrap/>
            <w:vAlign w:val="bottom"/>
          </w:tcPr>
          <w:p w14:paraId="3EFF798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highlight w:val="none"/>
              </w:rPr>
            </w:pPr>
          </w:p>
        </w:tc>
        <w:tc>
          <w:tcPr>
            <w:tcW w:w="892" w:type="dxa"/>
            <w:noWrap/>
            <w:vAlign w:val="bottom"/>
          </w:tcPr>
          <w:p w14:paraId="55506D7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highlight w:val="none"/>
              </w:rPr>
            </w:pPr>
          </w:p>
        </w:tc>
        <w:tc>
          <w:tcPr>
            <w:tcW w:w="949" w:type="dxa"/>
            <w:noWrap/>
            <w:vAlign w:val="top"/>
          </w:tcPr>
          <w:p w14:paraId="26403C6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p>
        </w:tc>
      </w:tr>
    </w:tbl>
    <w:p w14:paraId="7A9DEA33">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21" w:name="_Toc23367"/>
      <w:bookmarkStart w:id="22" w:name="_Toc2654"/>
      <w:r>
        <w:rPr>
          <w:rFonts w:hint="eastAsia" w:ascii="宋体" w:hAnsi="宋体" w:eastAsia="宋体" w:cs="宋体"/>
          <w:b/>
          <w:color w:val="auto"/>
          <w:sz w:val="22"/>
          <w:szCs w:val="22"/>
          <w:highlight w:val="none"/>
        </w:rPr>
        <w:t>五、货物、材料供应</w:t>
      </w:r>
      <w:bookmarkEnd w:id="21"/>
      <w:bookmarkEnd w:id="22"/>
    </w:p>
    <w:p w14:paraId="6CCA1B01">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本合同范围内所需的货物、材料全部由乙方提供，但必须附有合格证、质保书等相关技术资料，如发现不合格的货物、材料由乙方承担全部责任。</w:t>
      </w:r>
    </w:p>
    <w:p w14:paraId="4866FE2E">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23" w:name="_Toc23680"/>
      <w:bookmarkStart w:id="24" w:name="_Toc9032"/>
      <w:r>
        <w:rPr>
          <w:rFonts w:hint="eastAsia" w:ascii="宋体" w:hAnsi="宋体" w:eastAsia="宋体" w:cs="宋体"/>
          <w:b/>
          <w:color w:val="auto"/>
          <w:sz w:val="22"/>
          <w:szCs w:val="22"/>
          <w:highlight w:val="none"/>
        </w:rPr>
        <w:t>六、质量保证</w:t>
      </w:r>
      <w:bookmarkEnd w:id="23"/>
      <w:bookmarkEnd w:id="24"/>
    </w:p>
    <w:p w14:paraId="43C7B29E">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所提供的系统设备应保证是全新的、未使用过的，且完全符合合同规定的质量、规格和性能要求，甲方将在现场验收。乙方应保证所提供的系统设备经正常运转和保养，在其使用寿命期内应具有使甲方满意的性能，并且确保一次性通过各项检验和测试。在质量保证期内乙方应对系统设备的缺陷所产生的任何不足或故障负责。</w:t>
      </w:r>
    </w:p>
    <w:p w14:paraId="2E54A745">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甲方按检验标准检验的结果或当地质检部门检验的结果，或者在质量保证期内，如果系统设备的质量或规格型号与合同不符，或证实系统设备是有缺陷的，包括潜在的缺陷或不符合要求等，甲方尽快以书面形式通知乙方，提出索赔。</w:t>
      </w:r>
    </w:p>
    <w:p w14:paraId="74319953">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3、乙方在收到通知后，应在规定期限内免费维修或更换有缺陷的部件。</w:t>
      </w:r>
    </w:p>
    <w:p w14:paraId="62D6F210">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4、系统设备的质量、技术标准如在招标文件中无相应说明，则按中华人民共和国颁布的最新国家标准或行业（部）标准或相应的国际标准执行。没有国家或行业（部）标准的则按企业标准执行。</w:t>
      </w:r>
    </w:p>
    <w:p w14:paraId="1C48A44B">
      <w:pPr>
        <w:keepNext w:val="0"/>
        <w:keepLines w:val="0"/>
        <w:pageBreakBefore w:val="0"/>
        <w:tabs>
          <w:tab w:val="left" w:pos="360"/>
        </w:tabs>
        <w:kinsoku/>
        <w:wordWrap/>
        <w:overflowPunct/>
        <w:topLinePunct w:val="0"/>
        <w:autoSpaceDE/>
        <w:autoSpaceDN/>
        <w:bidi w:val="0"/>
        <w:adjustRightInd/>
        <w:snapToGrid/>
        <w:spacing w:line="360" w:lineRule="exact"/>
        <w:ind w:firstLine="552" w:firstLineChars="250"/>
        <w:rPr>
          <w:rFonts w:hint="eastAsia" w:ascii="宋体" w:hAnsi="宋体" w:eastAsia="宋体" w:cs="宋体"/>
          <w:b/>
          <w:color w:val="auto"/>
          <w:sz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highlight w:val="none"/>
        </w:rPr>
        <w:t>本合同项下货物质量保证期为自货物通过验收，向甲方移交之日起</w:t>
      </w:r>
      <w:r>
        <w:rPr>
          <w:rFonts w:hint="eastAsia" w:ascii="宋体" w:hAnsi="宋体" w:eastAsia="宋体" w:cs="宋体"/>
          <w:b/>
          <w:color w:val="auto"/>
          <w:sz w:val="22"/>
          <w:highlight w:val="none"/>
          <w:u w:val="single"/>
        </w:rPr>
        <w:t xml:space="preserve">  </w:t>
      </w:r>
      <w:r>
        <w:rPr>
          <w:rFonts w:hint="eastAsia" w:ascii="宋体" w:hAnsi="宋体" w:eastAsia="宋体" w:cs="宋体"/>
          <w:b/>
          <w:color w:val="auto"/>
          <w:sz w:val="22"/>
          <w:highlight w:val="none"/>
          <w:u w:val="single"/>
          <w:lang w:val="en-US" w:eastAsia="zh-CN"/>
        </w:rPr>
        <w:t xml:space="preserve"> </w:t>
      </w:r>
      <w:r>
        <w:rPr>
          <w:rFonts w:hint="eastAsia" w:ascii="宋体" w:hAnsi="宋体" w:eastAsia="宋体" w:cs="宋体"/>
          <w:b/>
          <w:color w:val="auto"/>
          <w:sz w:val="22"/>
          <w:highlight w:val="none"/>
          <w:u w:val="single"/>
        </w:rPr>
        <w:t xml:space="preserve">   </w:t>
      </w:r>
      <w:r>
        <w:rPr>
          <w:rFonts w:hint="eastAsia" w:ascii="宋体" w:hAnsi="宋体" w:eastAsia="宋体" w:cs="宋体"/>
          <w:b/>
          <w:color w:val="auto"/>
          <w:sz w:val="22"/>
          <w:highlight w:val="none"/>
        </w:rPr>
        <w:t>年（</w:t>
      </w:r>
      <w:r>
        <w:rPr>
          <w:rFonts w:hint="eastAsia" w:ascii="宋体" w:hAnsi="宋体" w:eastAsia="宋体" w:cs="宋体"/>
          <w:b/>
          <w:color w:val="auto"/>
          <w:sz w:val="22"/>
          <w:highlight w:val="none"/>
          <w:u w:val="single"/>
        </w:rPr>
        <w:t xml:space="preserve">  </w:t>
      </w:r>
      <w:r>
        <w:rPr>
          <w:rFonts w:hint="eastAsia" w:ascii="宋体" w:hAnsi="宋体" w:eastAsia="宋体" w:cs="宋体"/>
          <w:b/>
          <w:color w:val="auto"/>
          <w:sz w:val="22"/>
          <w:highlight w:val="none"/>
          <w:u w:val="single"/>
          <w:lang w:val="en-US" w:eastAsia="zh-CN"/>
        </w:rPr>
        <w:t xml:space="preserve"> </w:t>
      </w:r>
      <w:r>
        <w:rPr>
          <w:rFonts w:hint="eastAsia" w:ascii="宋体" w:hAnsi="宋体" w:eastAsia="宋体" w:cs="宋体"/>
          <w:b/>
          <w:color w:val="auto"/>
          <w:sz w:val="22"/>
          <w:highlight w:val="none"/>
          <w:u w:val="single"/>
        </w:rPr>
        <w:t xml:space="preserve"> </w:t>
      </w:r>
      <w:r>
        <w:rPr>
          <w:rFonts w:hint="eastAsia" w:ascii="宋体" w:hAnsi="宋体" w:eastAsia="宋体" w:cs="宋体"/>
          <w:b/>
          <w:color w:val="auto"/>
          <w:sz w:val="22"/>
          <w:highlight w:val="none"/>
        </w:rPr>
        <w:t>个月）（设备另有超过质保期规定或招标文件另有规定的按就高原则执行），在保修期内所产生的相关费用由乙方承担，合同内的所有产品要求乙方提供上门服务。</w:t>
      </w:r>
    </w:p>
    <w:p w14:paraId="27ADB9E4">
      <w:pPr>
        <w:keepNext w:val="0"/>
        <w:keepLines w:val="0"/>
        <w:pageBreakBefore w:val="0"/>
        <w:tabs>
          <w:tab w:val="left" w:pos="360"/>
        </w:tabs>
        <w:kinsoku/>
        <w:wordWrap/>
        <w:overflowPunct/>
        <w:topLinePunct w:val="0"/>
        <w:autoSpaceDE/>
        <w:autoSpaceDN/>
        <w:bidi w:val="0"/>
        <w:adjustRightInd/>
        <w:snapToGrid/>
        <w:spacing w:line="360" w:lineRule="exact"/>
        <w:ind w:firstLine="552" w:firstLineChars="25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在质保期内，如乙方经甲方催促未能按承诺及时到达现场维修或多次未能修复的，甲方有权邀请第三方进行维护，费用由乙方承担</w:t>
      </w:r>
    </w:p>
    <w:p w14:paraId="61FD1A40">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25" w:name="_Toc21045"/>
      <w:bookmarkStart w:id="26" w:name="_Toc30805"/>
      <w:r>
        <w:rPr>
          <w:rFonts w:hint="eastAsia" w:ascii="宋体" w:hAnsi="宋体" w:eastAsia="宋体" w:cs="宋体"/>
          <w:b/>
          <w:color w:val="auto"/>
          <w:sz w:val="22"/>
          <w:szCs w:val="22"/>
          <w:highlight w:val="none"/>
        </w:rPr>
        <w:t>七、专利权</w:t>
      </w:r>
      <w:bookmarkEnd w:id="25"/>
      <w:bookmarkEnd w:id="26"/>
    </w:p>
    <w:p w14:paraId="2C4F9837">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1、投标供应商应对采购人在使用该产品时所涉及到的专利负责，并不伤害采购人的利益。</w:t>
      </w:r>
    </w:p>
    <w:p w14:paraId="5794B3AE">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2、所有文字、商标、技术和其他知识产权侵权所造成的相关责任及费用采购人概不负责。</w:t>
      </w:r>
    </w:p>
    <w:p w14:paraId="16ED8C41">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27" w:name="_Toc6844"/>
      <w:bookmarkStart w:id="28" w:name="_Toc24679"/>
      <w:r>
        <w:rPr>
          <w:rFonts w:hint="eastAsia" w:ascii="宋体" w:hAnsi="宋体" w:eastAsia="宋体" w:cs="宋体"/>
          <w:b/>
          <w:color w:val="auto"/>
          <w:sz w:val="22"/>
          <w:szCs w:val="22"/>
          <w:highlight w:val="none"/>
        </w:rPr>
        <w:t>八、包装要求</w:t>
      </w:r>
      <w:bookmarkEnd w:id="27"/>
      <w:bookmarkEnd w:id="28"/>
    </w:p>
    <w:p w14:paraId="7D71E359">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除合同另有规定外，乙方提供的货物，均采用国家或专业标准保护措施进行包装，使包装适用于陆上的长途运输，确保货物安全无损运抵现场。对由于运输过程中引起的货物锈蚀、损坏或损失乙方应承担全部责任。</w:t>
      </w:r>
    </w:p>
    <w:p w14:paraId="291996C6">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2、随机附件：包装箱内必须附有装箱清单、合格证、质量保证书和保修保养卡。</w:t>
      </w:r>
    </w:p>
    <w:p w14:paraId="02E03380">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3、乙方负责将系统设备安全、无损的运抵甲方指定的地点。</w:t>
      </w:r>
    </w:p>
    <w:p w14:paraId="2CDEEB26">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4、系统设备在发运过程中发生损坏或短缺、由乙方无条件负责索赔。</w:t>
      </w:r>
    </w:p>
    <w:p w14:paraId="2D46E7D0">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29" w:name="_Toc3088"/>
      <w:bookmarkStart w:id="30" w:name="_Toc5520"/>
      <w:r>
        <w:rPr>
          <w:rFonts w:hint="eastAsia" w:ascii="宋体" w:hAnsi="宋体" w:eastAsia="宋体" w:cs="宋体"/>
          <w:b/>
          <w:color w:val="auto"/>
          <w:sz w:val="22"/>
          <w:szCs w:val="22"/>
          <w:highlight w:val="none"/>
        </w:rPr>
        <w:t>九、档案资料</w:t>
      </w:r>
      <w:bookmarkEnd w:id="29"/>
      <w:bookmarkEnd w:id="30"/>
    </w:p>
    <w:p w14:paraId="6E69E1A9">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档案资料，包括：设备的数量、型号、规格、生产厂家的产品检测证书、出厂检验报告、合格证书、质量服务卡等有关资料。（进口配件交货时，乙方必须提交原产地证明、海关相关证明等相应的证明文件）随机工具清单等。全部随机资料归甲方所有。</w:t>
      </w:r>
    </w:p>
    <w:p w14:paraId="49FF610B">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31" w:name="_Toc14061"/>
      <w:bookmarkStart w:id="32" w:name="_Toc3522"/>
      <w:r>
        <w:rPr>
          <w:rFonts w:hint="eastAsia" w:ascii="宋体" w:hAnsi="宋体" w:eastAsia="宋体" w:cs="宋体"/>
          <w:b/>
          <w:color w:val="auto"/>
          <w:sz w:val="22"/>
          <w:szCs w:val="22"/>
          <w:highlight w:val="none"/>
        </w:rPr>
        <w:t>十、技术资料</w:t>
      </w:r>
      <w:bookmarkEnd w:id="31"/>
      <w:bookmarkEnd w:id="32"/>
    </w:p>
    <w:p w14:paraId="7A83B72D">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技术资料包括：技术说明书、操作和维修手册及其他必须提供的技术资料。</w:t>
      </w:r>
    </w:p>
    <w:p w14:paraId="13E591BA">
      <w:pPr>
        <w:keepNext w:val="0"/>
        <w:keepLines w:val="0"/>
        <w:pageBreakBefore w:val="0"/>
        <w:kinsoku/>
        <w:wordWrap/>
        <w:overflowPunct/>
        <w:topLinePunct w:val="0"/>
        <w:autoSpaceDE/>
        <w:autoSpaceDN/>
        <w:bidi w:val="0"/>
        <w:adjustRightInd/>
        <w:snapToGrid/>
        <w:spacing w:line="360" w:lineRule="exact"/>
        <w:ind w:firstLine="442" w:firstLineChars="200"/>
        <w:rPr>
          <w:rFonts w:hint="eastAsia" w:ascii="宋体" w:hAnsi="宋体" w:eastAsia="宋体" w:cs="宋体"/>
          <w:b/>
          <w:color w:val="auto"/>
          <w:sz w:val="22"/>
          <w:szCs w:val="22"/>
          <w:highlight w:val="none"/>
        </w:rPr>
      </w:pPr>
      <w:bookmarkStart w:id="33" w:name="_Toc31062"/>
      <w:bookmarkStart w:id="34" w:name="_Toc24696"/>
      <w:r>
        <w:rPr>
          <w:rFonts w:hint="eastAsia" w:ascii="宋体" w:hAnsi="宋体" w:eastAsia="宋体" w:cs="宋体"/>
          <w:b/>
          <w:color w:val="auto"/>
          <w:sz w:val="22"/>
          <w:szCs w:val="22"/>
          <w:highlight w:val="none"/>
        </w:rPr>
        <w:t>十一、交付日期：</w:t>
      </w:r>
      <w:r>
        <w:rPr>
          <w:rFonts w:hint="eastAsia" w:ascii="宋体" w:hAnsi="宋体" w:eastAsia="宋体" w:cs="宋体"/>
          <w:color w:val="auto"/>
          <w:sz w:val="22"/>
          <w:szCs w:val="22"/>
          <w:highlight w:val="none"/>
        </w:rPr>
        <w:t>合同签订后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天内</w:t>
      </w:r>
      <w:bookmarkEnd w:id="33"/>
      <w:bookmarkEnd w:id="34"/>
      <w:r>
        <w:rPr>
          <w:rFonts w:hint="eastAsia" w:ascii="宋体" w:hAnsi="宋体" w:eastAsia="宋体" w:cs="宋体"/>
          <w:color w:val="auto"/>
          <w:szCs w:val="22"/>
          <w:highlight w:val="none"/>
        </w:rPr>
        <w:t>完成设备的供货、</w:t>
      </w:r>
      <w:r>
        <w:rPr>
          <w:rFonts w:hint="eastAsia" w:ascii="宋体" w:hAnsi="宋体" w:eastAsia="宋体" w:cs="宋体"/>
          <w:bCs/>
          <w:color w:val="auto"/>
          <w:kern w:val="0"/>
          <w:sz w:val="22"/>
          <w:szCs w:val="22"/>
          <w:highlight w:val="none"/>
        </w:rPr>
        <w:t>安装、调试、现场培训及验收工作。</w:t>
      </w:r>
    </w:p>
    <w:p w14:paraId="699C591E">
      <w:pPr>
        <w:keepNext w:val="0"/>
        <w:keepLines w:val="0"/>
        <w:pageBreakBefore w:val="0"/>
        <w:tabs>
          <w:tab w:val="left" w:pos="360"/>
        </w:tabs>
        <w:kinsoku/>
        <w:wordWrap/>
        <w:overflowPunct/>
        <w:topLinePunct w:val="0"/>
        <w:autoSpaceDE/>
        <w:autoSpaceDN/>
        <w:bidi w:val="0"/>
        <w:adjustRightInd/>
        <w:snapToGrid/>
        <w:spacing w:line="360" w:lineRule="exact"/>
        <w:ind w:firstLine="552" w:firstLineChars="2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交货地点：甲方指定地点</w:t>
      </w:r>
    </w:p>
    <w:p w14:paraId="067EB030">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35" w:name="_Toc12642"/>
      <w:bookmarkStart w:id="36" w:name="_Toc10385"/>
      <w:r>
        <w:rPr>
          <w:rFonts w:hint="eastAsia" w:ascii="宋体" w:hAnsi="宋体" w:eastAsia="宋体" w:cs="宋体"/>
          <w:b/>
          <w:color w:val="auto"/>
          <w:sz w:val="22"/>
          <w:szCs w:val="22"/>
          <w:highlight w:val="none"/>
        </w:rPr>
        <w:t>十二、双方责任</w:t>
      </w:r>
      <w:bookmarkEnd w:id="35"/>
      <w:bookmarkEnd w:id="36"/>
    </w:p>
    <w:p w14:paraId="0D45CCD6">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w:t>
      </w:r>
    </w:p>
    <w:p w14:paraId="1159ED56">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（1）按合同规定向乙方支付货款。</w:t>
      </w:r>
    </w:p>
    <w:p w14:paraId="68675BB7">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（2）组织对货物的验收。</w:t>
      </w:r>
    </w:p>
    <w:p w14:paraId="2325C63E">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w:t>
      </w:r>
    </w:p>
    <w:p w14:paraId="14DFC33D">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（1）按合同要求提供货物、技术服务和售后服务。</w:t>
      </w:r>
    </w:p>
    <w:p w14:paraId="2B6BE7F3">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（2）对所提供货物的质量问题无条件负责处理。</w:t>
      </w:r>
    </w:p>
    <w:p w14:paraId="6719B144">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（3）乙方保证甲方能够及时买到所需的配件。</w:t>
      </w:r>
    </w:p>
    <w:p w14:paraId="70267BA6">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（4）为甲方提供人员培训服务：</w:t>
      </w:r>
    </w:p>
    <w:p w14:paraId="6C36BBA5">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1）乙方应指派专业人员给甲方操作员进行基本操作、简单故障识别、排除和安全知识等方面的培训。</w:t>
      </w:r>
    </w:p>
    <w:p w14:paraId="00536699">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2）提出培训计划方法、时间安排。</w:t>
      </w:r>
    </w:p>
    <w:p w14:paraId="5FF770C5">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3）乙方负责使参与培训的人员达到能正确操作的上岗资格。</w:t>
      </w:r>
    </w:p>
    <w:p w14:paraId="4EC2167C">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4）货物验收后，乙方应协助甲方建立和健全维修保养制度，制订安全防范措施。</w:t>
      </w:r>
    </w:p>
    <w:p w14:paraId="6605C9F1">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37" w:name="_Toc14766"/>
      <w:bookmarkStart w:id="38" w:name="_Toc12855"/>
      <w:r>
        <w:rPr>
          <w:rFonts w:hint="eastAsia" w:ascii="宋体" w:hAnsi="宋体" w:eastAsia="宋体" w:cs="宋体"/>
          <w:b/>
          <w:color w:val="auto"/>
          <w:sz w:val="22"/>
          <w:szCs w:val="22"/>
          <w:highlight w:val="none"/>
        </w:rPr>
        <w:t>十三、付款方式与结算</w:t>
      </w:r>
      <w:bookmarkEnd w:id="37"/>
      <w:bookmarkEnd w:id="38"/>
      <w:bookmarkStart w:id="39" w:name="_Toc3032"/>
      <w:bookmarkStart w:id="40" w:name="_Toc107"/>
    </w:p>
    <w:p w14:paraId="674FD75B">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p>
    <w:p w14:paraId="05649525">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十四、违约责任</w:t>
      </w:r>
      <w:bookmarkEnd w:id="39"/>
      <w:bookmarkEnd w:id="40"/>
    </w:p>
    <w:p w14:paraId="7A7D9796">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1、货物的质量责任</w:t>
      </w:r>
    </w:p>
    <w:p w14:paraId="051AFC2E">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质量保证期内，凡货物在到货检验、试运行、过程中出现的质量问题，由乙方负责处理，实行包修、包换、包退，直至产品符合质量要求。乙方承担因修理、调换、退货发生的一切费用和因此而造成的一切直接经济损失。</w:t>
      </w:r>
    </w:p>
    <w:p w14:paraId="6AE518E6">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（2）乙方在接到甲方通知后，应迅速作出反应，温州及附近地区24小时内派人赴现场处理质量问题，修理和交换不符合质量要求的零部件，直到甲方满意为止。</w:t>
      </w:r>
    </w:p>
    <w:p w14:paraId="42FC425B">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（3）由于甲方保管不善或使用不当造成货物短缺、故障或损坏，由甲方负责。但乙方应无条件及时给予补齐或修复。</w:t>
      </w:r>
    </w:p>
    <w:p w14:paraId="4CEEE6F3">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2、违约赔偿</w:t>
      </w:r>
    </w:p>
    <w:p w14:paraId="2058106C">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不可抗力外（包括战争、严重火灾、水灾、破坏性台风和地震），如乙方发生不能按期交货或提供服务，甲方发生中途退货等情况，应及时以书面形式通知对方。双方应本着友好的态度进行协商，如协商无效，按下列规定处以罚金：</w:t>
      </w:r>
    </w:p>
    <w:p w14:paraId="1181C7C4">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（1）逾期交货</w:t>
      </w:r>
    </w:p>
    <w:p w14:paraId="281320C5">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乙方逾期交货，应向甲方偿付误期赔偿费。每逾一周的赔偿费按迟交货物交货价的0.5%计收，直至交货为止。（一周按7天计算，不足一周按一周计算）</w:t>
      </w:r>
    </w:p>
    <w:p w14:paraId="7B160E2C">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（2）乙方不能交货，或甲方中途退货</w:t>
      </w:r>
    </w:p>
    <w:p w14:paraId="67D9AD2C">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乙方不能交货，应向甲方偿付违约金。违约金按合同总价的 </w:t>
      </w:r>
      <w:r>
        <w:rPr>
          <w:rFonts w:hint="eastAsia" w:ascii="宋体" w:hAnsi="宋体" w:eastAsia="宋体" w:cs="宋体"/>
          <w:b/>
          <w:bCs/>
          <w:color w:val="auto"/>
          <w:sz w:val="22"/>
          <w:szCs w:val="22"/>
          <w:highlight w:val="none"/>
        </w:rPr>
        <w:t>10% -20%</w:t>
      </w:r>
      <w:r>
        <w:rPr>
          <w:rFonts w:hint="eastAsia" w:ascii="宋体" w:hAnsi="宋体" w:eastAsia="宋体" w:cs="宋体"/>
          <w:color w:val="auto"/>
          <w:sz w:val="22"/>
          <w:szCs w:val="22"/>
          <w:highlight w:val="none"/>
        </w:rPr>
        <w:t>计算。</w:t>
      </w:r>
    </w:p>
    <w:p w14:paraId="3D14005B">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甲方中途退货，应向乙方支付与上述相同的违约金。 </w:t>
      </w:r>
    </w:p>
    <w:p w14:paraId="1AD3A4C3">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（3）逾期交货的违约赔偿最高限额为货物合同总价的</w:t>
      </w:r>
      <w:r>
        <w:rPr>
          <w:rFonts w:hint="eastAsia" w:ascii="宋体" w:hAnsi="宋体" w:eastAsia="宋体" w:cs="宋体"/>
          <w:b/>
          <w:bCs/>
          <w:color w:val="auto"/>
          <w:sz w:val="22"/>
          <w:szCs w:val="22"/>
          <w:highlight w:val="none"/>
        </w:rPr>
        <w:t>5%</w:t>
      </w:r>
      <w:r>
        <w:rPr>
          <w:rFonts w:hint="eastAsia" w:ascii="宋体" w:hAnsi="宋体" w:eastAsia="宋体" w:cs="宋体"/>
          <w:color w:val="auto"/>
          <w:sz w:val="22"/>
          <w:szCs w:val="22"/>
          <w:highlight w:val="none"/>
        </w:rPr>
        <w:t>，一旦达到误期赔偿费的最高限额时乙方仍不能交货，甲方可考虑终止合同。</w:t>
      </w:r>
    </w:p>
    <w:p w14:paraId="7952426D">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（4）经双方友好协商同意延期交货或经双方友好协商同意退货无须罚款者不在此例。</w:t>
      </w:r>
    </w:p>
    <w:p w14:paraId="496DD07B">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41" w:name="_Toc25255"/>
      <w:bookmarkStart w:id="42" w:name="_Toc14816"/>
      <w:r>
        <w:rPr>
          <w:rFonts w:hint="eastAsia" w:ascii="宋体" w:hAnsi="宋体" w:eastAsia="宋体" w:cs="宋体"/>
          <w:b/>
          <w:color w:val="auto"/>
          <w:sz w:val="22"/>
          <w:szCs w:val="22"/>
          <w:highlight w:val="none"/>
        </w:rPr>
        <w:t>十五、仲裁</w:t>
      </w:r>
      <w:bookmarkEnd w:id="41"/>
      <w:bookmarkEnd w:id="42"/>
    </w:p>
    <w:p w14:paraId="3EDA74BF">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1、在执行本合同时所发生的或与本合同有关的一切争端，双方首先应通过友好协商解决，如果协商得不到解决，任何一方可向履行合同所在地或合同签约地的仲裁机构申请调解或仲裁。</w:t>
      </w:r>
    </w:p>
    <w:p w14:paraId="7D72C911">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2、仲裁裁决应为最终裁决，对双方均有约束力。</w:t>
      </w:r>
    </w:p>
    <w:p w14:paraId="2CDDD2F4">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3、仲裁费用除仲裁机构另有裁决外应由败诉方承担。</w:t>
      </w:r>
    </w:p>
    <w:p w14:paraId="5743C305">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4、在仲裁期间，除正在执行仲裁的部分，本合同的其他部分应继续执行。</w:t>
      </w:r>
    </w:p>
    <w:p w14:paraId="6FE262B1">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43" w:name="_Toc22482"/>
      <w:bookmarkStart w:id="44" w:name="_Toc7550"/>
      <w:r>
        <w:rPr>
          <w:rFonts w:hint="eastAsia" w:ascii="宋体" w:hAnsi="宋体" w:eastAsia="宋体" w:cs="宋体"/>
          <w:b/>
          <w:color w:val="auto"/>
          <w:sz w:val="22"/>
          <w:szCs w:val="22"/>
          <w:highlight w:val="none"/>
        </w:rPr>
        <w:t>十六、适用法律</w:t>
      </w:r>
      <w:bookmarkEnd w:id="43"/>
      <w:bookmarkEnd w:id="44"/>
    </w:p>
    <w:p w14:paraId="09883B28">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本合同按照中华人民共和国的法律进行解释。</w:t>
      </w:r>
    </w:p>
    <w:p w14:paraId="53D8605F">
      <w:pPr>
        <w:keepNext w:val="0"/>
        <w:keepLines w:val="0"/>
        <w:pageBreakBefore w:val="0"/>
        <w:kinsoku/>
        <w:wordWrap/>
        <w:overflowPunct/>
        <w:topLinePunct w:val="0"/>
        <w:autoSpaceDE/>
        <w:autoSpaceDN/>
        <w:bidi w:val="0"/>
        <w:adjustRightInd/>
        <w:snapToGrid/>
        <w:spacing w:line="360" w:lineRule="exact"/>
        <w:ind w:firstLine="541" w:firstLineChars="245"/>
        <w:outlineLvl w:val="2"/>
        <w:rPr>
          <w:rFonts w:hint="eastAsia" w:ascii="宋体" w:hAnsi="宋体" w:eastAsia="宋体" w:cs="宋体"/>
          <w:b/>
          <w:color w:val="auto"/>
          <w:sz w:val="22"/>
          <w:szCs w:val="22"/>
          <w:highlight w:val="none"/>
        </w:rPr>
      </w:pPr>
      <w:bookmarkStart w:id="45" w:name="_Toc12155"/>
      <w:bookmarkStart w:id="46" w:name="_Toc28562"/>
      <w:r>
        <w:rPr>
          <w:rFonts w:hint="eastAsia" w:ascii="宋体" w:hAnsi="宋体" w:eastAsia="宋体" w:cs="宋体"/>
          <w:b/>
          <w:color w:val="auto"/>
          <w:sz w:val="22"/>
          <w:szCs w:val="22"/>
          <w:highlight w:val="none"/>
        </w:rPr>
        <w:t>十七、合同生效及其他</w:t>
      </w:r>
      <w:bookmarkEnd w:id="45"/>
      <w:bookmarkEnd w:id="46"/>
    </w:p>
    <w:p w14:paraId="3D89C973">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1、合同应在双方签字盖章后开始生效。</w:t>
      </w:r>
    </w:p>
    <w:p w14:paraId="209D865E">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2、如需修改或补充合同内容，经协商，双方应签署书面修改或补充协议，该协议将作为本合同的一个组成部分。</w:t>
      </w:r>
    </w:p>
    <w:p w14:paraId="062F9D6E">
      <w:pPr>
        <w:keepNext w:val="0"/>
        <w:keepLines w:val="0"/>
        <w:pageBreakBefore w:val="0"/>
        <w:kinsoku/>
        <w:wordWrap/>
        <w:overflowPunct/>
        <w:topLinePunct w:val="0"/>
        <w:autoSpaceDE/>
        <w:autoSpaceDN/>
        <w:bidi w:val="0"/>
        <w:adjustRightInd/>
        <w:snapToGrid/>
        <w:spacing w:line="3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十八、本合同一式伍份，双方各执贰份，壹份送遴选代理机构备案。</w:t>
      </w:r>
    </w:p>
    <w:p w14:paraId="003E099E">
      <w:pPr>
        <w:keepNext w:val="0"/>
        <w:keepLines w:val="0"/>
        <w:pageBreakBefore w:val="0"/>
        <w:kinsoku/>
        <w:wordWrap/>
        <w:overflowPunct/>
        <w:topLinePunct w:val="0"/>
        <w:autoSpaceDE/>
        <w:autoSpaceDN/>
        <w:bidi w:val="0"/>
        <w:adjustRightInd/>
        <w:snapToGrid/>
        <w:spacing w:line="360" w:lineRule="exact"/>
        <w:ind w:firstLine="541" w:firstLineChars="245"/>
        <w:rPr>
          <w:rFonts w:hint="eastAsia" w:ascii="宋体" w:hAnsi="宋体" w:eastAsia="宋体" w:cs="宋体"/>
          <w:b/>
          <w:color w:val="auto"/>
          <w:sz w:val="22"/>
          <w:szCs w:val="22"/>
          <w:highlight w:val="none"/>
        </w:rPr>
      </w:pPr>
    </w:p>
    <w:p w14:paraId="2F4EE711">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p>
    <w:p w14:paraId="4839D745">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甲方：（印章）                        乙方：（印章）</w:t>
      </w:r>
    </w:p>
    <w:p w14:paraId="46ADDC4C">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全权代表:（签字）                    全权代表:（签字）</w:t>
      </w:r>
    </w:p>
    <w:p w14:paraId="5BFA757A">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                               地址：</w:t>
      </w:r>
    </w:p>
    <w:p w14:paraId="6FF3AEDA">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                           邮政编码：</w:t>
      </w:r>
    </w:p>
    <w:p w14:paraId="0F512387">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                               电话：</w:t>
      </w:r>
    </w:p>
    <w:p w14:paraId="3963B72F">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                               传真：</w:t>
      </w:r>
    </w:p>
    <w:p w14:paraId="6E60978A">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                           开户银行：</w:t>
      </w:r>
    </w:p>
    <w:p w14:paraId="104A149B">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帐号：                               帐号：</w:t>
      </w:r>
    </w:p>
    <w:p w14:paraId="4A93C9F7">
      <w:pPr>
        <w:keepNext w:val="0"/>
        <w:keepLines w:val="0"/>
        <w:pageBreakBefore w:val="0"/>
        <w:tabs>
          <w:tab w:val="left" w:pos="360"/>
        </w:tabs>
        <w:kinsoku/>
        <w:wordWrap/>
        <w:overflowPunct/>
        <w:topLinePunct w:val="0"/>
        <w:autoSpaceDE/>
        <w:autoSpaceDN/>
        <w:bidi w:val="0"/>
        <w:adjustRightInd/>
        <w:snapToGrid/>
        <w:spacing w:line="360" w:lineRule="exact"/>
        <w:ind w:firstLine="550" w:firstLineChars="250"/>
        <w:rPr>
          <w:rFonts w:hint="eastAsia" w:ascii="宋体" w:hAnsi="宋体" w:eastAsia="宋体" w:cs="宋体"/>
          <w:b/>
          <w:color w:val="auto"/>
          <w:sz w:val="32"/>
          <w:highlight w:val="none"/>
        </w:rPr>
      </w:pPr>
      <w:r>
        <w:rPr>
          <w:rFonts w:hint="eastAsia" w:ascii="宋体" w:hAnsi="宋体" w:eastAsia="宋体" w:cs="宋体"/>
          <w:color w:val="auto"/>
          <w:sz w:val="22"/>
          <w:szCs w:val="22"/>
          <w:highlight w:val="none"/>
        </w:rPr>
        <w:t xml:space="preserve">时间: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时间：</w:t>
      </w:r>
    </w:p>
    <w:p w14:paraId="3FF40609">
      <w:pPr>
        <w:spacing w:line="400" w:lineRule="exact"/>
        <w:jc w:val="center"/>
        <w:outlineLvl w:val="3"/>
        <w:rPr>
          <w:rFonts w:hint="eastAsia" w:ascii="宋体" w:hAnsi="宋体" w:eastAsia="宋体" w:cs="宋体"/>
          <w:b/>
          <w:bCs/>
          <w:color w:val="auto"/>
          <w:sz w:val="28"/>
          <w:szCs w:val="28"/>
          <w:highlight w:val="none"/>
        </w:rPr>
      </w:pPr>
      <w:bookmarkStart w:id="47" w:name="_Toc11909"/>
    </w:p>
    <w:p w14:paraId="55A0D24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DC28E7D">
      <w:pPr>
        <w:rPr>
          <w:rFonts w:hint="eastAsia" w:ascii="宋体" w:hAnsi="宋体" w:eastAsia="宋体" w:cs="宋体"/>
          <w:color w:val="auto"/>
          <w:highlight w:val="none"/>
        </w:rPr>
      </w:pPr>
    </w:p>
    <w:p w14:paraId="05BD09CE">
      <w:pPr>
        <w:keepNext w:val="0"/>
        <w:keepLines w:val="0"/>
        <w:pageBreakBefore w:val="0"/>
        <w:kinsoku/>
        <w:wordWrap/>
        <w:topLinePunct w:val="0"/>
        <w:bidi w:val="0"/>
        <w:spacing w:line="4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医疗卫生机构廉洁购销合同（样本）</w:t>
      </w:r>
    </w:p>
    <w:p w14:paraId="262575BE">
      <w:pPr>
        <w:keepNext w:val="0"/>
        <w:keepLines w:val="0"/>
        <w:pageBreakBefore w:val="0"/>
        <w:kinsoku/>
        <w:wordWrap/>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bCs/>
          <w:color w:val="auto"/>
          <w:sz w:val="22"/>
          <w:szCs w:val="22"/>
          <w:highlight w:val="none"/>
        </w:rPr>
        <w:t>（医疗卫生机构）：</w:t>
      </w:r>
    </w:p>
    <w:p w14:paraId="2F4590C7">
      <w:pPr>
        <w:keepNext w:val="0"/>
        <w:keepLines w:val="0"/>
        <w:pageBreakBefore w:val="0"/>
        <w:kinsoku/>
        <w:wordWrap/>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乙方</w:t>
      </w:r>
      <w:r>
        <w:rPr>
          <w:rFonts w:hint="eastAsia" w:ascii="宋体" w:hAnsi="宋体" w:eastAsia="宋体" w:cs="宋体"/>
          <w:bCs/>
          <w:color w:val="auto"/>
          <w:sz w:val="22"/>
          <w:szCs w:val="22"/>
          <w:highlight w:val="none"/>
        </w:rPr>
        <w:t>（医药生产经营企业及其代理人）：</w:t>
      </w:r>
    </w:p>
    <w:p w14:paraId="21A93317">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为进一步加强医疗卫生行风建设，规范医疗卫生机构医药购销行为，有效防范商业贿赂行为，营造公平交易、诚实守信的购销环境，经甲、乙双方协商，同意签订本合同，并共同遵守：</w:t>
      </w:r>
    </w:p>
    <w:p w14:paraId="70045145">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一、甲乙双方按照《民法典》及医药产品购销合同约定购销药品、医用设备、医用耗材等医药产品。</w:t>
      </w:r>
    </w:p>
    <w:p w14:paraId="21E9F673">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二、甲方应当严格执行医药产品购销合同验收、入库制度，对采购医药产品及发票进行查验，不得违反有关规定合同外采购、违价采购或从非规定渠道采购。</w:t>
      </w:r>
    </w:p>
    <w:p w14:paraId="09113C32">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6E1D45E1">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四、严禁甲方工作人员利用任何途径和方式，为乙方统计医师个人及临床科室有关医药产品用量信息，或为乙方统计提供便利。</w:t>
      </w:r>
    </w:p>
    <w:p w14:paraId="470B7C3B">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五、乙方不得以回扣、宴请等方式影响甲方工作人员采购或使用医药产品的选择权，不得在学术活动中提供旅游、超标准支付食宿费用。</w:t>
      </w:r>
    </w:p>
    <w:p w14:paraId="44A5D039">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91D8EB2">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宋体" w:hAnsi="宋体" w:eastAsia="宋体" w:cs="宋体"/>
          <w:bCs/>
          <w:color w:val="auto"/>
          <w:sz w:val="22"/>
          <w:szCs w:val="22"/>
          <w:highlight w:val="none"/>
          <w:shd w:val="clear" w:color="auto" w:fill="FFFFFF"/>
        </w:rPr>
        <w:t>（国卫法制发〔2013〕50号）</w:t>
      </w:r>
      <w:r>
        <w:rPr>
          <w:rFonts w:hint="eastAsia" w:ascii="宋体" w:hAnsi="宋体" w:eastAsia="宋体" w:cs="宋体"/>
          <w:bCs/>
          <w:color w:val="auto"/>
          <w:sz w:val="22"/>
          <w:szCs w:val="22"/>
          <w:highlight w:val="none"/>
        </w:rPr>
        <w:t>相关规定处理。</w:t>
      </w:r>
    </w:p>
    <w:p w14:paraId="7D5722D3">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八、本合同作为医药产品购销合同的重要组成部分，与购销合同一并执行，具有同等的法律效力。</w:t>
      </w:r>
    </w:p>
    <w:p w14:paraId="2E301298">
      <w:pPr>
        <w:keepNext w:val="0"/>
        <w:keepLines w:val="0"/>
        <w:pageBreakBefore w:val="0"/>
        <w:kinsoku/>
        <w:wordWrap/>
        <w:topLinePunct w:val="0"/>
        <w:bidi w:val="0"/>
        <w:spacing w:line="4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九、本合同一式二份，甲、乙双方各执一份，并从签订之日起生效。</w:t>
      </w:r>
    </w:p>
    <w:p w14:paraId="30AD1B00">
      <w:pPr>
        <w:keepNext w:val="0"/>
        <w:keepLines w:val="0"/>
        <w:pageBreakBefore w:val="0"/>
        <w:kinsoku/>
        <w:wordWrap/>
        <w:topLinePunct w:val="0"/>
        <w:bidi w:val="0"/>
        <w:spacing w:line="460" w:lineRule="exact"/>
        <w:rPr>
          <w:rFonts w:hint="eastAsia" w:ascii="宋体" w:hAnsi="宋体" w:eastAsia="宋体" w:cs="宋体"/>
          <w:bCs/>
          <w:color w:val="auto"/>
          <w:sz w:val="22"/>
          <w:szCs w:val="22"/>
          <w:highlight w:val="none"/>
        </w:rPr>
      </w:pPr>
    </w:p>
    <w:p w14:paraId="235753D2">
      <w:pPr>
        <w:keepNext w:val="0"/>
        <w:keepLines w:val="0"/>
        <w:pageBreakBefore w:val="0"/>
        <w:kinsoku/>
        <w:wordWrap/>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甲方（盖章）：                     乙方（盖章）：</w:t>
      </w:r>
    </w:p>
    <w:p w14:paraId="7189FBB5">
      <w:pPr>
        <w:keepNext w:val="0"/>
        <w:keepLines w:val="0"/>
        <w:pageBreakBefore w:val="0"/>
        <w:kinsoku/>
        <w:wordWrap/>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法定代表人（负责人）：             法定代表人（负责人）：</w:t>
      </w:r>
    </w:p>
    <w:p w14:paraId="6113F731">
      <w:pPr>
        <w:pStyle w:val="14"/>
        <w:keepNext w:val="0"/>
        <w:keepLines w:val="0"/>
        <w:pageBreakBefore w:val="0"/>
        <w:kinsoku/>
        <w:wordWrap/>
        <w:topLinePunct w:val="0"/>
        <w:bidi w:val="0"/>
        <w:snapToGrid w:val="0"/>
        <w:spacing w:line="460" w:lineRule="exact"/>
        <w:ind w:firstLine="66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年   月   日                       年   月  日</w:t>
      </w:r>
    </w:p>
    <w:p w14:paraId="22B3ED88">
      <w:pPr>
        <w:rPr>
          <w:rFonts w:hint="eastAsia" w:ascii="宋体" w:hAnsi="宋体" w:eastAsia="宋体" w:cs="宋体"/>
          <w:color w:val="auto"/>
          <w:highlight w:val="none"/>
        </w:rPr>
      </w:pPr>
    </w:p>
    <w:p w14:paraId="74D6EACB">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br w:type="page"/>
      </w:r>
    </w:p>
    <w:p w14:paraId="37FBD165">
      <w:pPr>
        <w:pageBreakBefore w:val="0"/>
        <w:tabs>
          <w:tab w:val="left" w:pos="4286"/>
        </w:tabs>
        <w:kinsoku/>
        <w:wordWrap w:val="0"/>
        <w:topLinePunct w:val="0"/>
        <w:bidi w:val="0"/>
        <w:spacing w:line="40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第四部分</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附件</w:t>
      </w:r>
      <w:bookmarkEnd w:id="47"/>
    </w:p>
    <w:p w14:paraId="14230B89">
      <w:pPr>
        <w:pageBreakBefore w:val="0"/>
        <w:kinsoku/>
        <w:wordWrap w:val="0"/>
        <w:topLinePunct w:val="0"/>
        <w:bidi w:val="0"/>
        <w:snapToGrid w:val="0"/>
        <w:spacing w:before="120" w:beforeLines="50" w:after="50"/>
        <w:jc w:val="center"/>
        <w:outlineLvl w:val="1"/>
        <w:rPr>
          <w:rFonts w:hint="eastAsia" w:ascii="宋体" w:hAnsi="宋体" w:eastAsia="宋体" w:cs="宋体"/>
          <w:b/>
          <w:color w:val="auto"/>
          <w:sz w:val="28"/>
          <w:szCs w:val="28"/>
          <w:highlight w:val="none"/>
        </w:rPr>
      </w:pPr>
      <w:bookmarkStart w:id="48" w:name="_Toc1475"/>
      <w:r>
        <w:rPr>
          <w:rFonts w:hint="eastAsia" w:ascii="宋体" w:hAnsi="宋体" w:eastAsia="宋体" w:cs="宋体"/>
          <w:b/>
          <w:bCs/>
          <w:color w:val="auto"/>
          <w:sz w:val="28"/>
          <w:szCs w:val="28"/>
          <w:highlight w:val="none"/>
        </w:rPr>
        <w:t>一、报价文件部分格式</w:t>
      </w:r>
      <w:bookmarkEnd w:id="48"/>
    </w:p>
    <w:p w14:paraId="3B4DB8B8">
      <w:pPr>
        <w:pageBreakBefore w:val="0"/>
        <w:kinsoku/>
        <w:wordWrap w:val="0"/>
        <w:topLinePunct w:val="0"/>
        <w:bidi w:val="0"/>
        <w:snapToGrid w:val="0"/>
        <w:spacing w:before="50" w:after="120" w:afterLines="50"/>
        <w:jc w:val="left"/>
        <w:rPr>
          <w:rFonts w:hint="eastAsia" w:ascii="宋体" w:hAnsi="宋体" w:eastAsia="宋体" w:cs="宋体"/>
          <w:b/>
          <w:color w:val="auto"/>
          <w:sz w:val="24"/>
          <w:highlight w:val="none"/>
        </w:rPr>
      </w:pPr>
    </w:p>
    <w:p w14:paraId="61E3093F">
      <w:pPr>
        <w:pageBreakBefore w:val="0"/>
        <w:kinsoku/>
        <w:wordWrap w:val="0"/>
        <w:topLinePunct w:val="0"/>
        <w:bidi w:val="0"/>
        <w:snapToGrid w:val="0"/>
        <w:spacing w:before="50" w:after="120" w:afterLines="50"/>
        <w:jc w:val="left"/>
        <w:rPr>
          <w:rFonts w:hint="eastAsia" w:ascii="宋体" w:hAnsi="宋体" w:eastAsia="宋体" w:cs="宋体"/>
          <w:b/>
          <w:color w:val="auto"/>
          <w:sz w:val="24"/>
          <w:highlight w:val="none"/>
        </w:rPr>
      </w:pPr>
    </w:p>
    <w:p w14:paraId="35DF3555">
      <w:pPr>
        <w:pageBreakBefore w:val="0"/>
        <w:kinsoku/>
        <w:wordWrap w:val="0"/>
        <w:topLinePunct w:val="0"/>
        <w:bidi w:val="0"/>
        <w:snapToGrid w:val="0"/>
        <w:spacing w:before="50" w:after="120" w:afterLines="5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rPr>
        <w:t>投标报价文件封面格式：</w:t>
      </w:r>
    </w:p>
    <w:p w14:paraId="142EA689">
      <w:pPr>
        <w:pageBreakBefore w:val="0"/>
        <w:kinsoku/>
        <w:wordWrap w:val="0"/>
        <w:topLinePunct w:val="0"/>
        <w:bidi w:val="0"/>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8890" b="1841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13DB6F">
                            <w:pPr>
                              <w:snapToGrid w:val="0"/>
                              <w:spacing w:before="120" w:beforeLines="50" w:after="50"/>
                              <w:ind w:left="-850" w:leftChars="-405"/>
                              <w:rPr>
                                <w:rFonts w:ascii="宋体" w:hAnsi="宋体"/>
                                <w:sz w:val="24"/>
                                <w:szCs w:val="20"/>
                              </w:rPr>
                            </w:pPr>
                          </w:p>
                          <w:p w14:paraId="0F36F805">
                            <w:pPr>
                              <w:pStyle w:val="31"/>
                              <w:ind w:hanging="480"/>
                            </w:pPr>
                          </w:p>
                          <w:p w14:paraId="3E2A84B4">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14:paraId="120F52BF">
                            <w:pPr>
                              <w:snapToGrid w:val="0"/>
                              <w:spacing w:before="120" w:beforeLines="50" w:after="50"/>
                              <w:rPr>
                                <w:rFonts w:ascii="宋体" w:hAnsi="宋体"/>
                                <w:bCs/>
                                <w:sz w:val="24"/>
                                <w:szCs w:val="20"/>
                              </w:rPr>
                            </w:pPr>
                          </w:p>
                          <w:p w14:paraId="33EC19DC">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3DC8B096">
                            <w:pPr>
                              <w:snapToGrid w:val="0"/>
                              <w:spacing w:before="120" w:beforeLines="50" w:after="50"/>
                              <w:ind w:firstLine="1068" w:firstLineChars="445"/>
                              <w:rPr>
                                <w:rFonts w:hint="eastAsia" w:ascii="宋体" w:hAnsi="宋体"/>
                                <w:bCs/>
                                <w:sz w:val="24"/>
                                <w:lang w:val="en-US" w:eastAsia="zh-CN"/>
                              </w:rPr>
                            </w:pPr>
                            <w:r>
                              <w:rPr>
                                <w:rFonts w:hint="eastAsia" w:ascii="宋体" w:hAnsi="宋体"/>
                                <w:bCs/>
                                <w:sz w:val="24"/>
                                <w:lang w:val="en-US" w:eastAsia="zh-CN"/>
                              </w:rPr>
                              <w:t>标项：</w:t>
                            </w:r>
                          </w:p>
                          <w:p w14:paraId="214FDB5E">
                            <w:pPr>
                              <w:snapToGrid w:val="0"/>
                              <w:spacing w:before="120" w:beforeLines="50" w:after="50"/>
                              <w:ind w:firstLine="1068" w:firstLineChars="445"/>
                              <w:rPr>
                                <w:rFonts w:hint="default" w:ascii="宋体" w:hAnsi="宋体"/>
                                <w:bCs/>
                                <w:sz w:val="24"/>
                                <w:lang w:val="en-US" w:eastAsia="zh-CN"/>
                              </w:rPr>
                            </w:pPr>
                            <w:r>
                              <w:rPr>
                                <w:rFonts w:hint="eastAsia" w:ascii="宋体" w:hAnsi="宋体"/>
                                <w:bCs/>
                                <w:sz w:val="24"/>
                                <w:lang w:val="en-US" w:eastAsia="zh-CN"/>
                              </w:rPr>
                              <w:t>标项名称：</w:t>
                            </w:r>
                          </w:p>
                          <w:p w14:paraId="3295A5DB">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06C0F843">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4B696BF0">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49CA0916">
                            <w:pPr>
                              <w:snapToGrid w:val="0"/>
                              <w:spacing w:before="120" w:beforeLines="50" w:after="50"/>
                              <w:ind w:firstLine="1068" w:firstLineChars="445"/>
                              <w:rPr>
                                <w:rFonts w:ascii="宋体" w:hAnsi="宋体"/>
                                <w:bCs/>
                                <w:sz w:val="24"/>
                              </w:rPr>
                            </w:pPr>
                          </w:p>
                          <w:p w14:paraId="30419FFD">
                            <w:pPr>
                              <w:snapToGrid w:val="0"/>
                              <w:spacing w:before="120" w:beforeLines="50" w:after="50"/>
                              <w:ind w:firstLine="4080" w:firstLineChars="1700"/>
                              <w:rPr>
                                <w:rFonts w:ascii="宋体" w:hAnsi="宋体"/>
                                <w:sz w:val="24"/>
                                <w:szCs w:val="20"/>
                              </w:rPr>
                            </w:pPr>
                          </w:p>
                          <w:p w14:paraId="32E8F7CE">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&#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osQ32QAAAAkBAAAPAAAAAAAAAAEAIAAAACIAAABk&#10;cnMvZG93bnJldi54bWxQSwECFAAUAAAACACHTuJAX+a8+AUCAABGBAAADgAAAAAAAAABACAAAAAo&#10;AQAAZHJzL2Uyb0RvYy54bWxQSwUGAAAAAAYABgBZAQAAnwUAAAAA&#10;">
                <v:fill on="t" focussize="0,0"/>
                <v:stroke color="#000000" joinstyle="miter"/>
                <v:imagedata o:title=""/>
                <o:lock v:ext="edit" aspectratio="f"/>
                <v:textbox>
                  <w:txbxContent>
                    <w:p w14:paraId="7713DB6F">
                      <w:pPr>
                        <w:snapToGrid w:val="0"/>
                        <w:spacing w:before="120" w:beforeLines="50" w:after="50"/>
                        <w:ind w:left="-850" w:leftChars="-405"/>
                        <w:rPr>
                          <w:rFonts w:ascii="宋体" w:hAnsi="宋体"/>
                          <w:sz w:val="24"/>
                          <w:szCs w:val="20"/>
                        </w:rPr>
                      </w:pPr>
                    </w:p>
                    <w:p w14:paraId="0F36F805">
                      <w:pPr>
                        <w:pStyle w:val="31"/>
                        <w:ind w:hanging="480"/>
                      </w:pPr>
                    </w:p>
                    <w:p w14:paraId="3E2A84B4">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14:paraId="120F52BF">
                      <w:pPr>
                        <w:snapToGrid w:val="0"/>
                        <w:spacing w:before="120" w:beforeLines="50" w:after="50"/>
                        <w:rPr>
                          <w:rFonts w:ascii="宋体" w:hAnsi="宋体"/>
                          <w:bCs/>
                          <w:sz w:val="24"/>
                          <w:szCs w:val="20"/>
                        </w:rPr>
                      </w:pPr>
                    </w:p>
                    <w:p w14:paraId="33EC19DC">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3DC8B096">
                      <w:pPr>
                        <w:snapToGrid w:val="0"/>
                        <w:spacing w:before="120" w:beforeLines="50" w:after="50"/>
                        <w:ind w:firstLine="1068" w:firstLineChars="445"/>
                        <w:rPr>
                          <w:rFonts w:hint="eastAsia" w:ascii="宋体" w:hAnsi="宋体"/>
                          <w:bCs/>
                          <w:sz w:val="24"/>
                          <w:lang w:val="en-US" w:eastAsia="zh-CN"/>
                        </w:rPr>
                      </w:pPr>
                      <w:r>
                        <w:rPr>
                          <w:rFonts w:hint="eastAsia" w:ascii="宋体" w:hAnsi="宋体"/>
                          <w:bCs/>
                          <w:sz w:val="24"/>
                          <w:lang w:val="en-US" w:eastAsia="zh-CN"/>
                        </w:rPr>
                        <w:t>标项：</w:t>
                      </w:r>
                    </w:p>
                    <w:p w14:paraId="214FDB5E">
                      <w:pPr>
                        <w:snapToGrid w:val="0"/>
                        <w:spacing w:before="120" w:beforeLines="50" w:after="50"/>
                        <w:ind w:firstLine="1068" w:firstLineChars="445"/>
                        <w:rPr>
                          <w:rFonts w:hint="default" w:ascii="宋体" w:hAnsi="宋体"/>
                          <w:bCs/>
                          <w:sz w:val="24"/>
                          <w:lang w:val="en-US" w:eastAsia="zh-CN"/>
                        </w:rPr>
                      </w:pPr>
                      <w:r>
                        <w:rPr>
                          <w:rFonts w:hint="eastAsia" w:ascii="宋体" w:hAnsi="宋体"/>
                          <w:bCs/>
                          <w:sz w:val="24"/>
                          <w:lang w:val="en-US" w:eastAsia="zh-CN"/>
                        </w:rPr>
                        <w:t>标项名称：</w:t>
                      </w:r>
                    </w:p>
                    <w:p w14:paraId="3295A5DB">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06C0F843">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4B696BF0">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49CA0916">
                      <w:pPr>
                        <w:snapToGrid w:val="0"/>
                        <w:spacing w:before="120" w:beforeLines="50" w:after="50"/>
                        <w:ind w:firstLine="1068" w:firstLineChars="445"/>
                        <w:rPr>
                          <w:rFonts w:ascii="宋体" w:hAnsi="宋体"/>
                          <w:bCs/>
                          <w:sz w:val="24"/>
                        </w:rPr>
                      </w:pPr>
                    </w:p>
                    <w:p w14:paraId="30419FFD">
                      <w:pPr>
                        <w:snapToGrid w:val="0"/>
                        <w:spacing w:before="120" w:beforeLines="50" w:after="50"/>
                        <w:ind w:firstLine="4080" w:firstLineChars="1700"/>
                        <w:rPr>
                          <w:rFonts w:ascii="宋体" w:hAnsi="宋体"/>
                          <w:sz w:val="24"/>
                          <w:szCs w:val="20"/>
                        </w:rPr>
                      </w:pPr>
                    </w:p>
                    <w:p w14:paraId="32E8F7CE">
                      <w:pPr>
                        <w:jc w:val="center"/>
                      </w:pPr>
                      <w:r>
                        <w:rPr>
                          <w:rFonts w:hint="eastAsia"/>
                          <w:sz w:val="24"/>
                        </w:rPr>
                        <w:t>年     月     日</w:t>
                      </w:r>
                    </w:p>
                  </w:txbxContent>
                </v:textbox>
                <w10:wrap type="topAndBottom"/>
              </v:shape>
            </w:pict>
          </mc:Fallback>
        </mc:AlternateContent>
      </w:r>
    </w:p>
    <w:p w14:paraId="1076FD3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FF271BB">
      <w:pPr>
        <w:pageBreakBefore w:val="0"/>
        <w:kinsoku/>
        <w:wordWrap w:val="0"/>
        <w:topLinePunct w:val="0"/>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w:t>
      </w:r>
    </w:p>
    <w:p w14:paraId="27158300">
      <w:pPr>
        <w:pageBreakBefore w:val="0"/>
        <w:kinsoku/>
        <w:wordWrap w:val="0"/>
        <w:topLinePunct w:val="0"/>
        <w:bidi w:val="0"/>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p w14:paraId="31AC8692">
      <w:pPr>
        <w:rPr>
          <w:rFonts w:hint="eastAsia" w:ascii="宋体" w:hAnsi="宋体" w:eastAsia="宋体" w:cs="宋体"/>
          <w:color w:val="auto"/>
          <w:sz w:val="22"/>
          <w:szCs w:val="22"/>
          <w:highlight w:val="none"/>
        </w:rPr>
      </w:pPr>
    </w:p>
    <w:tbl>
      <w:tblPr>
        <w:tblStyle w:val="32"/>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81"/>
        <w:gridCol w:w="1065"/>
        <w:gridCol w:w="748"/>
        <w:gridCol w:w="741"/>
        <w:gridCol w:w="1260"/>
        <w:gridCol w:w="825"/>
        <w:gridCol w:w="853"/>
        <w:gridCol w:w="883"/>
        <w:gridCol w:w="917"/>
        <w:gridCol w:w="616"/>
      </w:tblGrid>
      <w:tr w14:paraId="3B29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noWrap w:val="0"/>
            <w:vAlign w:val="center"/>
          </w:tcPr>
          <w:p w14:paraId="791C9A60">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序号</w:t>
            </w:r>
          </w:p>
        </w:tc>
        <w:tc>
          <w:tcPr>
            <w:tcW w:w="1181" w:type="dxa"/>
            <w:noWrap w:val="0"/>
            <w:vAlign w:val="center"/>
          </w:tcPr>
          <w:p w14:paraId="62791AF9">
            <w:pPr>
              <w:spacing w:line="260" w:lineRule="exact"/>
              <w:jc w:val="center"/>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标的名称</w:t>
            </w:r>
          </w:p>
        </w:tc>
        <w:tc>
          <w:tcPr>
            <w:tcW w:w="1065" w:type="dxa"/>
            <w:noWrap w:val="0"/>
            <w:vAlign w:val="center"/>
          </w:tcPr>
          <w:p w14:paraId="6B3EEC0B">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制造商</w:t>
            </w:r>
          </w:p>
        </w:tc>
        <w:tc>
          <w:tcPr>
            <w:tcW w:w="748" w:type="dxa"/>
            <w:noWrap w:val="0"/>
            <w:vAlign w:val="center"/>
          </w:tcPr>
          <w:p w14:paraId="529A6F3B">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产地</w:t>
            </w:r>
          </w:p>
        </w:tc>
        <w:tc>
          <w:tcPr>
            <w:tcW w:w="741" w:type="dxa"/>
            <w:noWrap w:val="0"/>
            <w:vAlign w:val="center"/>
          </w:tcPr>
          <w:p w14:paraId="0645DF3D">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品牌</w:t>
            </w:r>
          </w:p>
        </w:tc>
        <w:tc>
          <w:tcPr>
            <w:tcW w:w="1260" w:type="dxa"/>
            <w:noWrap w:val="0"/>
            <w:vAlign w:val="center"/>
          </w:tcPr>
          <w:p w14:paraId="39BC850B">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规格型号</w:t>
            </w:r>
          </w:p>
        </w:tc>
        <w:tc>
          <w:tcPr>
            <w:tcW w:w="825" w:type="dxa"/>
            <w:noWrap w:val="0"/>
            <w:vAlign w:val="center"/>
          </w:tcPr>
          <w:p w14:paraId="432FD1D2">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数量</w:t>
            </w:r>
          </w:p>
        </w:tc>
        <w:tc>
          <w:tcPr>
            <w:tcW w:w="853" w:type="dxa"/>
            <w:noWrap w:val="0"/>
            <w:vAlign w:val="center"/>
          </w:tcPr>
          <w:p w14:paraId="0EBAE7C0">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单位</w:t>
            </w:r>
          </w:p>
        </w:tc>
        <w:tc>
          <w:tcPr>
            <w:tcW w:w="883" w:type="dxa"/>
            <w:noWrap w:val="0"/>
            <w:vAlign w:val="center"/>
          </w:tcPr>
          <w:p w14:paraId="031D036B">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单价（元）</w:t>
            </w:r>
          </w:p>
        </w:tc>
        <w:tc>
          <w:tcPr>
            <w:tcW w:w="917" w:type="dxa"/>
            <w:shd w:val="clear" w:color="auto" w:fill="auto"/>
            <w:noWrap w:val="0"/>
            <w:vAlign w:val="center"/>
          </w:tcPr>
          <w:p w14:paraId="6F8790ED">
            <w:pPr>
              <w:spacing w:line="260" w:lineRule="exact"/>
              <w:jc w:val="center"/>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rPr>
              <w:t>投标总报价（元）</w:t>
            </w:r>
          </w:p>
        </w:tc>
        <w:tc>
          <w:tcPr>
            <w:tcW w:w="616" w:type="dxa"/>
            <w:noWrap w:val="0"/>
            <w:vAlign w:val="center"/>
          </w:tcPr>
          <w:p w14:paraId="0E42CC5A">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备注</w:t>
            </w:r>
          </w:p>
        </w:tc>
      </w:tr>
      <w:tr w14:paraId="1FD1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noWrap w:val="0"/>
            <w:vAlign w:val="center"/>
          </w:tcPr>
          <w:p w14:paraId="1B5BEE0A">
            <w:pPr>
              <w:spacing w:line="260" w:lineRule="exact"/>
              <w:jc w:val="center"/>
              <w:rPr>
                <w:rFonts w:hint="eastAsia" w:ascii="宋体" w:hAnsi="宋体" w:eastAsia="宋体" w:cs="宋体"/>
                <w:bCs/>
                <w:color w:val="auto"/>
                <w:sz w:val="22"/>
                <w:highlight w:val="none"/>
              </w:rPr>
            </w:pPr>
          </w:p>
        </w:tc>
        <w:tc>
          <w:tcPr>
            <w:tcW w:w="1181" w:type="dxa"/>
            <w:noWrap w:val="0"/>
            <w:vAlign w:val="center"/>
          </w:tcPr>
          <w:p w14:paraId="05FDA846">
            <w:pPr>
              <w:spacing w:line="260" w:lineRule="exact"/>
              <w:jc w:val="center"/>
              <w:rPr>
                <w:rFonts w:hint="eastAsia" w:ascii="宋体" w:hAnsi="宋体" w:eastAsia="宋体" w:cs="宋体"/>
                <w:bCs/>
                <w:color w:val="auto"/>
                <w:sz w:val="22"/>
                <w:highlight w:val="none"/>
              </w:rPr>
            </w:pPr>
          </w:p>
        </w:tc>
        <w:tc>
          <w:tcPr>
            <w:tcW w:w="1065" w:type="dxa"/>
            <w:noWrap w:val="0"/>
            <w:vAlign w:val="center"/>
          </w:tcPr>
          <w:p w14:paraId="3018657C">
            <w:pPr>
              <w:spacing w:line="260" w:lineRule="exact"/>
              <w:jc w:val="center"/>
              <w:rPr>
                <w:rFonts w:hint="eastAsia" w:ascii="宋体" w:hAnsi="宋体" w:eastAsia="宋体" w:cs="宋体"/>
                <w:bCs/>
                <w:color w:val="auto"/>
                <w:sz w:val="22"/>
                <w:highlight w:val="none"/>
              </w:rPr>
            </w:pPr>
          </w:p>
        </w:tc>
        <w:tc>
          <w:tcPr>
            <w:tcW w:w="748" w:type="dxa"/>
            <w:noWrap w:val="0"/>
            <w:vAlign w:val="center"/>
          </w:tcPr>
          <w:p w14:paraId="398E07A6">
            <w:pPr>
              <w:spacing w:line="260" w:lineRule="exact"/>
              <w:jc w:val="center"/>
              <w:rPr>
                <w:rFonts w:hint="eastAsia" w:ascii="宋体" w:hAnsi="宋体" w:eastAsia="宋体" w:cs="宋体"/>
                <w:bCs/>
                <w:color w:val="auto"/>
                <w:sz w:val="22"/>
                <w:highlight w:val="none"/>
              </w:rPr>
            </w:pPr>
          </w:p>
        </w:tc>
        <w:tc>
          <w:tcPr>
            <w:tcW w:w="741" w:type="dxa"/>
            <w:noWrap w:val="0"/>
            <w:vAlign w:val="center"/>
          </w:tcPr>
          <w:p w14:paraId="6CC89CD6">
            <w:pPr>
              <w:spacing w:line="260" w:lineRule="exact"/>
              <w:jc w:val="center"/>
              <w:rPr>
                <w:rFonts w:hint="eastAsia" w:ascii="宋体" w:hAnsi="宋体" w:eastAsia="宋体" w:cs="宋体"/>
                <w:bCs/>
                <w:color w:val="auto"/>
                <w:sz w:val="22"/>
                <w:highlight w:val="none"/>
              </w:rPr>
            </w:pPr>
          </w:p>
        </w:tc>
        <w:tc>
          <w:tcPr>
            <w:tcW w:w="1260" w:type="dxa"/>
            <w:noWrap w:val="0"/>
            <w:vAlign w:val="center"/>
          </w:tcPr>
          <w:p w14:paraId="28102978">
            <w:pPr>
              <w:spacing w:line="260" w:lineRule="exact"/>
              <w:jc w:val="center"/>
              <w:rPr>
                <w:rFonts w:hint="eastAsia" w:ascii="宋体" w:hAnsi="宋体" w:eastAsia="宋体" w:cs="宋体"/>
                <w:bCs/>
                <w:color w:val="auto"/>
                <w:sz w:val="22"/>
                <w:highlight w:val="none"/>
              </w:rPr>
            </w:pPr>
          </w:p>
        </w:tc>
        <w:tc>
          <w:tcPr>
            <w:tcW w:w="825" w:type="dxa"/>
            <w:noWrap w:val="0"/>
            <w:vAlign w:val="center"/>
          </w:tcPr>
          <w:p w14:paraId="103CBEEA">
            <w:pPr>
              <w:spacing w:line="260" w:lineRule="exact"/>
              <w:jc w:val="center"/>
              <w:rPr>
                <w:rFonts w:hint="eastAsia" w:ascii="宋体" w:hAnsi="宋体" w:eastAsia="宋体" w:cs="宋体"/>
                <w:bCs/>
                <w:color w:val="auto"/>
                <w:sz w:val="22"/>
                <w:highlight w:val="none"/>
              </w:rPr>
            </w:pPr>
          </w:p>
        </w:tc>
        <w:tc>
          <w:tcPr>
            <w:tcW w:w="853" w:type="dxa"/>
            <w:noWrap w:val="0"/>
            <w:vAlign w:val="center"/>
          </w:tcPr>
          <w:p w14:paraId="0194690D">
            <w:pPr>
              <w:spacing w:line="260" w:lineRule="exact"/>
              <w:jc w:val="center"/>
              <w:rPr>
                <w:rFonts w:hint="eastAsia" w:ascii="宋体" w:hAnsi="宋体" w:eastAsia="宋体" w:cs="宋体"/>
                <w:bCs/>
                <w:color w:val="auto"/>
                <w:sz w:val="22"/>
                <w:highlight w:val="none"/>
              </w:rPr>
            </w:pPr>
          </w:p>
        </w:tc>
        <w:tc>
          <w:tcPr>
            <w:tcW w:w="883" w:type="dxa"/>
            <w:noWrap w:val="0"/>
            <w:vAlign w:val="center"/>
          </w:tcPr>
          <w:p w14:paraId="77DBA0B3">
            <w:pPr>
              <w:spacing w:line="260" w:lineRule="exact"/>
              <w:jc w:val="center"/>
              <w:rPr>
                <w:rFonts w:hint="eastAsia" w:ascii="宋体" w:hAnsi="宋体" w:eastAsia="宋体" w:cs="宋体"/>
                <w:bCs/>
                <w:color w:val="auto"/>
                <w:sz w:val="22"/>
                <w:highlight w:val="none"/>
              </w:rPr>
            </w:pPr>
          </w:p>
        </w:tc>
        <w:tc>
          <w:tcPr>
            <w:tcW w:w="917" w:type="dxa"/>
            <w:shd w:val="clear" w:color="auto" w:fill="auto"/>
            <w:noWrap w:val="0"/>
            <w:vAlign w:val="center"/>
          </w:tcPr>
          <w:p w14:paraId="55D87144">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小写：</w:t>
            </w:r>
          </w:p>
          <w:p w14:paraId="29C26751">
            <w:pPr>
              <w:spacing w:line="260" w:lineRule="exact"/>
              <w:jc w:val="center"/>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rPr>
              <w:t>大写：</w:t>
            </w:r>
          </w:p>
        </w:tc>
        <w:tc>
          <w:tcPr>
            <w:tcW w:w="616" w:type="dxa"/>
            <w:noWrap w:val="0"/>
            <w:vAlign w:val="center"/>
          </w:tcPr>
          <w:p w14:paraId="1E9B23A5">
            <w:pPr>
              <w:spacing w:line="260" w:lineRule="exact"/>
              <w:jc w:val="center"/>
              <w:rPr>
                <w:rFonts w:hint="eastAsia" w:ascii="宋体" w:hAnsi="宋体" w:eastAsia="宋体" w:cs="宋体"/>
                <w:bCs/>
                <w:color w:val="auto"/>
                <w:sz w:val="22"/>
                <w:highlight w:val="none"/>
              </w:rPr>
            </w:pPr>
          </w:p>
        </w:tc>
      </w:tr>
    </w:tbl>
    <w:p w14:paraId="54F7FDC2">
      <w:pPr>
        <w:rPr>
          <w:rFonts w:hint="eastAsia" w:ascii="宋体" w:hAnsi="宋体" w:eastAsia="宋体" w:cs="宋体"/>
          <w:color w:val="auto"/>
          <w:sz w:val="22"/>
          <w:szCs w:val="22"/>
          <w:highlight w:val="none"/>
        </w:rPr>
      </w:pPr>
    </w:p>
    <w:p w14:paraId="3D631EB9">
      <w:pPr>
        <w:pStyle w:val="15"/>
        <w:snapToGrid w:val="0"/>
        <w:spacing w:line="360" w:lineRule="exact"/>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7AAABA9">
      <w:pPr>
        <w:pStyle w:val="15"/>
        <w:snapToGrid w:val="0"/>
        <w:spacing w:line="360" w:lineRule="exact"/>
        <w:ind w:left="0" w:leftChars="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w:t>
      </w:r>
      <w:r>
        <w:rPr>
          <w:rFonts w:hint="eastAsia" w:ascii="宋体" w:hAnsi="宋体" w:eastAsia="宋体" w:cs="宋体"/>
          <w:color w:val="auto"/>
          <w:sz w:val="22"/>
          <w:highlight w:val="none"/>
          <w:u w:val="single"/>
        </w:rPr>
        <w:t>▲</w:t>
      </w:r>
      <w:r>
        <w:rPr>
          <w:rFonts w:hint="eastAsia" w:ascii="宋体" w:hAnsi="宋体" w:eastAsia="宋体" w:cs="宋体"/>
          <w:color w:val="auto"/>
          <w:sz w:val="22"/>
          <w:szCs w:val="22"/>
          <w:highlight w:val="none"/>
          <w:u w:val="single"/>
        </w:rPr>
        <w:t>不提供开标一览表的投标文件将被视为未实质性响应招标文件。</w:t>
      </w:r>
    </w:p>
    <w:p w14:paraId="4AD567F6">
      <w:pPr>
        <w:spacing w:line="380" w:lineRule="exact"/>
        <w:ind w:left="11" w:hanging="11" w:hangingChars="5"/>
        <w:rPr>
          <w:rFonts w:hint="eastAsia" w:ascii="宋体" w:hAnsi="宋体" w:eastAsia="宋体" w:cs="宋体"/>
          <w:color w:val="auto"/>
          <w:sz w:val="22"/>
          <w:highlight w:val="none"/>
        </w:rPr>
      </w:pPr>
      <w:r>
        <w:rPr>
          <w:rFonts w:hint="eastAsia" w:ascii="宋体" w:hAnsi="宋体" w:eastAsia="宋体" w:cs="宋体"/>
          <w:color w:val="auto"/>
          <w:sz w:val="22"/>
          <w:highlight w:val="none"/>
        </w:rPr>
        <w:t>2.此栏内投标总价应与“投标报价明细表”中投标报价相一致。</w:t>
      </w:r>
    </w:p>
    <w:p w14:paraId="3205F81D">
      <w:pPr>
        <w:spacing w:line="380" w:lineRule="exact"/>
        <w:ind w:left="11" w:hanging="11" w:hangingChars="5"/>
        <w:rPr>
          <w:rFonts w:hint="eastAsia" w:ascii="宋体" w:hAnsi="宋体" w:eastAsia="宋体" w:cs="宋体"/>
          <w:color w:val="auto"/>
          <w:sz w:val="22"/>
          <w:highlight w:val="none"/>
        </w:rPr>
      </w:pPr>
      <w:r>
        <w:rPr>
          <w:rFonts w:hint="eastAsia" w:ascii="宋体" w:hAnsi="宋体" w:eastAsia="宋体" w:cs="宋体"/>
          <w:color w:val="auto"/>
          <w:sz w:val="22"/>
          <w:highlight w:val="none"/>
        </w:rPr>
        <w:t>3.投标总报价是指投标人在正确地完全履行合同义务后采购人应支付给投标人所有的货物价款，即包括货物及其附件的采购、制造、税金、安装费、检验费、质保期内维修保护费、售后服务费、采购代理服务费、验收费、政策性文件规定及合同包含的所有风险、责任等全部费用，实行固定费用总包干，投标人应根据上述因素自行考虑含入投标总价。</w:t>
      </w:r>
    </w:p>
    <w:p w14:paraId="6CD8A59C">
      <w:pPr>
        <w:spacing w:line="380" w:lineRule="exact"/>
        <w:ind w:left="11" w:hanging="11" w:hangingChars="5"/>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kern w:val="0"/>
          <w:sz w:val="22"/>
          <w:highlight w:val="none"/>
          <w:lang w:val="zh-CN"/>
        </w:rPr>
        <w:t>特别提示：采购代理机构将对项目名称和项目编号，中标人名称、地址和成交金额，主要成交标的的名称、</w:t>
      </w:r>
      <w:r>
        <w:rPr>
          <w:rFonts w:hint="eastAsia" w:ascii="宋体" w:hAnsi="宋体" w:eastAsia="宋体" w:cs="宋体"/>
          <w:color w:val="auto"/>
          <w:sz w:val="22"/>
          <w:highlight w:val="none"/>
          <w:lang w:val="zh-CN"/>
        </w:rPr>
        <w:t>品牌、规格型号</w:t>
      </w:r>
      <w:r>
        <w:rPr>
          <w:rFonts w:hint="eastAsia" w:ascii="宋体" w:hAnsi="宋体" w:eastAsia="宋体" w:cs="宋体"/>
          <w:color w:val="auto"/>
          <w:kern w:val="0"/>
          <w:sz w:val="22"/>
          <w:highlight w:val="none"/>
          <w:lang w:val="zh-CN"/>
        </w:rPr>
        <w:t>、数量、单价等予以公示。</w:t>
      </w:r>
    </w:p>
    <w:p w14:paraId="5001CDB7">
      <w:pPr>
        <w:widowControl/>
        <w:spacing w:line="360" w:lineRule="exact"/>
        <w:rPr>
          <w:rFonts w:hint="eastAsia" w:ascii="宋体" w:hAnsi="宋体" w:eastAsia="宋体" w:cs="宋体"/>
          <w:color w:val="auto"/>
          <w:kern w:val="0"/>
          <w:sz w:val="22"/>
          <w:highlight w:val="none"/>
        </w:rPr>
      </w:pPr>
    </w:p>
    <w:p w14:paraId="4A82C467">
      <w:pPr>
        <w:widowControl/>
        <w:spacing w:line="36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w:t>
      </w:r>
      <w:r>
        <w:rPr>
          <w:rFonts w:hint="eastAsia" w:ascii="宋体" w:hAnsi="宋体" w:eastAsia="宋体" w:cs="宋体"/>
          <w:color w:val="auto"/>
          <w:kern w:val="0"/>
          <w:sz w:val="22"/>
          <w:highlight w:val="none"/>
          <w:lang w:eastAsia="zh-CN"/>
        </w:rPr>
        <w:t>公章或电子签章</w:t>
      </w:r>
      <w:r>
        <w:rPr>
          <w:rFonts w:hint="eastAsia" w:ascii="宋体" w:hAnsi="宋体" w:eastAsia="宋体" w:cs="宋体"/>
          <w:color w:val="auto"/>
          <w:kern w:val="0"/>
          <w:sz w:val="22"/>
          <w:highlight w:val="none"/>
        </w:rPr>
        <w:t>)：</w:t>
      </w:r>
    </w:p>
    <w:p w14:paraId="103A292B">
      <w:pPr>
        <w:widowControl/>
        <w:spacing w:line="36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14:paraId="6EE87BB5">
      <w:pPr>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14:paraId="27268446">
      <w:pPr>
        <w:rPr>
          <w:rFonts w:hint="eastAsia" w:ascii="宋体" w:hAnsi="宋体" w:eastAsia="宋体" w:cs="宋体"/>
          <w:b/>
          <w:bCs/>
          <w:color w:val="auto"/>
          <w:sz w:val="28"/>
          <w:szCs w:val="28"/>
          <w:highlight w:val="none"/>
        </w:rPr>
      </w:pPr>
    </w:p>
    <w:p w14:paraId="71036D64">
      <w:pPr>
        <w:rPr>
          <w:rFonts w:hint="eastAsia" w:ascii="宋体" w:hAnsi="宋体" w:eastAsia="宋体" w:cs="宋体"/>
          <w:b/>
          <w:bCs/>
          <w:color w:val="auto"/>
          <w:sz w:val="24"/>
          <w:highlight w:val="none"/>
        </w:rPr>
      </w:pPr>
    </w:p>
    <w:p w14:paraId="6C14CD04">
      <w:pPr>
        <w:rPr>
          <w:rFonts w:hint="eastAsia" w:ascii="宋体" w:hAnsi="宋体" w:eastAsia="宋体" w:cs="宋体"/>
          <w:b/>
          <w:bCs/>
          <w:color w:val="auto"/>
          <w:sz w:val="28"/>
          <w:szCs w:val="28"/>
          <w:highlight w:val="none"/>
        </w:rPr>
      </w:pPr>
    </w:p>
    <w:p w14:paraId="01F909EF">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E047B6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14:paraId="679FAFF8">
      <w:pPr>
        <w:spacing w:line="400" w:lineRule="exact"/>
        <w:jc w:val="center"/>
        <w:rPr>
          <w:rFonts w:hint="eastAsia" w:ascii="宋体" w:hAnsi="宋体" w:eastAsia="宋体" w:cs="宋体"/>
          <w:b/>
          <w:color w:val="auto"/>
          <w:kern w:val="0"/>
          <w:sz w:val="28"/>
          <w:szCs w:val="36"/>
          <w:highlight w:val="none"/>
        </w:rPr>
      </w:pPr>
      <w:r>
        <w:rPr>
          <w:rFonts w:hint="eastAsia" w:ascii="宋体" w:hAnsi="宋体" w:eastAsia="宋体" w:cs="宋体"/>
          <w:b/>
          <w:color w:val="auto"/>
          <w:kern w:val="0"/>
          <w:sz w:val="28"/>
          <w:szCs w:val="36"/>
          <w:highlight w:val="none"/>
        </w:rPr>
        <w:t>报价明细表</w:t>
      </w:r>
    </w:p>
    <w:p w14:paraId="1C0786BF">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项目名称：                                           项目编号：     </w:t>
      </w:r>
    </w:p>
    <w:tbl>
      <w:tblPr>
        <w:tblStyle w:val="32"/>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43"/>
        <w:gridCol w:w="1065"/>
        <w:gridCol w:w="748"/>
        <w:gridCol w:w="927"/>
        <w:gridCol w:w="1487"/>
        <w:gridCol w:w="631"/>
        <w:gridCol w:w="634"/>
        <w:gridCol w:w="883"/>
        <w:gridCol w:w="917"/>
        <w:gridCol w:w="616"/>
      </w:tblGrid>
      <w:tr w14:paraId="3D3B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16" w:type="dxa"/>
            <w:noWrap w:val="0"/>
            <w:vAlign w:val="center"/>
          </w:tcPr>
          <w:p w14:paraId="169B7946">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序号</w:t>
            </w:r>
          </w:p>
        </w:tc>
        <w:tc>
          <w:tcPr>
            <w:tcW w:w="1343" w:type="dxa"/>
            <w:noWrap w:val="0"/>
            <w:vAlign w:val="center"/>
          </w:tcPr>
          <w:p w14:paraId="4703E98D">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货物名称</w:t>
            </w:r>
          </w:p>
        </w:tc>
        <w:tc>
          <w:tcPr>
            <w:tcW w:w="1065" w:type="dxa"/>
            <w:noWrap w:val="0"/>
            <w:vAlign w:val="center"/>
          </w:tcPr>
          <w:p w14:paraId="59F4D9DD">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制造商</w:t>
            </w:r>
          </w:p>
        </w:tc>
        <w:tc>
          <w:tcPr>
            <w:tcW w:w="748" w:type="dxa"/>
            <w:noWrap w:val="0"/>
            <w:vAlign w:val="center"/>
          </w:tcPr>
          <w:p w14:paraId="6A65EA88">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产地</w:t>
            </w:r>
          </w:p>
        </w:tc>
        <w:tc>
          <w:tcPr>
            <w:tcW w:w="927" w:type="dxa"/>
            <w:noWrap w:val="0"/>
            <w:vAlign w:val="center"/>
          </w:tcPr>
          <w:p w14:paraId="3809AF0C">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品牌</w:t>
            </w:r>
          </w:p>
        </w:tc>
        <w:tc>
          <w:tcPr>
            <w:tcW w:w="1487" w:type="dxa"/>
            <w:noWrap w:val="0"/>
            <w:vAlign w:val="center"/>
          </w:tcPr>
          <w:p w14:paraId="37115771">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规格型号</w:t>
            </w:r>
          </w:p>
        </w:tc>
        <w:tc>
          <w:tcPr>
            <w:tcW w:w="631" w:type="dxa"/>
            <w:noWrap w:val="0"/>
            <w:vAlign w:val="center"/>
          </w:tcPr>
          <w:p w14:paraId="38FD4BDF">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数量</w:t>
            </w:r>
          </w:p>
        </w:tc>
        <w:tc>
          <w:tcPr>
            <w:tcW w:w="634" w:type="dxa"/>
            <w:noWrap w:val="0"/>
            <w:vAlign w:val="center"/>
          </w:tcPr>
          <w:p w14:paraId="0D57E2DC">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单位</w:t>
            </w:r>
          </w:p>
        </w:tc>
        <w:tc>
          <w:tcPr>
            <w:tcW w:w="883" w:type="dxa"/>
            <w:noWrap w:val="0"/>
            <w:vAlign w:val="center"/>
          </w:tcPr>
          <w:p w14:paraId="16A7ABA2">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单价（元）</w:t>
            </w:r>
          </w:p>
        </w:tc>
        <w:tc>
          <w:tcPr>
            <w:tcW w:w="917" w:type="dxa"/>
            <w:noWrap w:val="0"/>
            <w:vAlign w:val="center"/>
          </w:tcPr>
          <w:p w14:paraId="10C93CFD">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金额（元）</w:t>
            </w:r>
          </w:p>
        </w:tc>
        <w:tc>
          <w:tcPr>
            <w:tcW w:w="616" w:type="dxa"/>
            <w:noWrap w:val="0"/>
            <w:vAlign w:val="center"/>
          </w:tcPr>
          <w:p w14:paraId="270CC9D9">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备注</w:t>
            </w:r>
          </w:p>
        </w:tc>
      </w:tr>
      <w:tr w14:paraId="1D9C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6" w:type="dxa"/>
            <w:noWrap w:val="0"/>
            <w:vAlign w:val="center"/>
          </w:tcPr>
          <w:p w14:paraId="04096626">
            <w:pPr>
              <w:spacing w:line="260" w:lineRule="exact"/>
              <w:jc w:val="center"/>
              <w:rPr>
                <w:rFonts w:hint="eastAsia" w:ascii="宋体" w:hAnsi="宋体" w:eastAsia="宋体" w:cs="宋体"/>
                <w:bCs/>
                <w:color w:val="auto"/>
                <w:sz w:val="22"/>
                <w:highlight w:val="none"/>
              </w:rPr>
            </w:pPr>
          </w:p>
        </w:tc>
        <w:tc>
          <w:tcPr>
            <w:tcW w:w="1343" w:type="dxa"/>
            <w:noWrap w:val="0"/>
            <w:vAlign w:val="center"/>
          </w:tcPr>
          <w:p w14:paraId="11CE49A7">
            <w:pPr>
              <w:spacing w:line="260" w:lineRule="exact"/>
              <w:jc w:val="center"/>
              <w:rPr>
                <w:rFonts w:hint="eastAsia" w:ascii="宋体" w:hAnsi="宋体" w:eastAsia="宋体" w:cs="宋体"/>
                <w:bCs/>
                <w:color w:val="auto"/>
                <w:sz w:val="22"/>
                <w:highlight w:val="none"/>
              </w:rPr>
            </w:pPr>
          </w:p>
        </w:tc>
        <w:tc>
          <w:tcPr>
            <w:tcW w:w="1065" w:type="dxa"/>
            <w:noWrap w:val="0"/>
            <w:vAlign w:val="center"/>
          </w:tcPr>
          <w:p w14:paraId="111167AB">
            <w:pPr>
              <w:spacing w:line="260" w:lineRule="exact"/>
              <w:jc w:val="center"/>
              <w:rPr>
                <w:rFonts w:hint="eastAsia" w:ascii="宋体" w:hAnsi="宋体" w:eastAsia="宋体" w:cs="宋体"/>
                <w:bCs/>
                <w:color w:val="auto"/>
                <w:sz w:val="22"/>
                <w:highlight w:val="none"/>
              </w:rPr>
            </w:pPr>
          </w:p>
        </w:tc>
        <w:tc>
          <w:tcPr>
            <w:tcW w:w="748" w:type="dxa"/>
            <w:noWrap w:val="0"/>
            <w:vAlign w:val="center"/>
          </w:tcPr>
          <w:p w14:paraId="27EB2B16">
            <w:pPr>
              <w:spacing w:line="260" w:lineRule="exact"/>
              <w:jc w:val="center"/>
              <w:rPr>
                <w:rFonts w:hint="eastAsia" w:ascii="宋体" w:hAnsi="宋体" w:eastAsia="宋体" w:cs="宋体"/>
                <w:bCs/>
                <w:color w:val="auto"/>
                <w:sz w:val="22"/>
                <w:highlight w:val="none"/>
              </w:rPr>
            </w:pPr>
          </w:p>
        </w:tc>
        <w:tc>
          <w:tcPr>
            <w:tcW w:w="927" w:type="dxa"/>
            <w:noWrap w:val="0"/>
            <w:vAlign w:val="center"/>
          </w:tcPr>
          <w:p w14:paraId="6972937B">
            <w:pPr>
              <w:spacing w:line="260" w:lineRule="exact"/>
              <w:jc w:val="center"/>
              <w:rPr>
                <w:rFonts w:hint="eastAsia" w:ascii="宋体" w:hAnsi="宋体" w:eastAsia="宋体" w:cs="宋体"/>
                <w:bCs/>
                <w:color w:val="auto"/>
                <w:sz w:val="22"/>
                <w:highlight w:val="none"/>
              </w:rPr>
            </w:pPr>
          </w:p>
        </w:tc>
        <w:tc>
          <w:tcPr>
            <w:tcW w:w="1487" w:type="dxa"/>
            <w:noWrap w:val="0"/>
            <w:vAlign w:val="center"/>
          </w:tcPr>
          <w:p w14:paraId="4A623075">
            <w:pPr>
              <w:spacing w:line="260" w:lineRule="exact"/>
              <w:jc w:val="center"/>
              <w:rPr>
                <w:rFonts w:hint="eastAsia" w:ascii="宋体" w:hAnsi="宋体" w:eastAsia="宋体" w:cs="宋体"/>
                <w:bCs/>
                <w:color w:val="auto"/>
                <w:sz w:val="22"/>
                <w:highlight w:val="none"/>
              </w:rPr>
            </w:pPr>
          </w:p>
        </w:tc>
        <w:tc>
          <w:tcPr>
            <w:tcW w:w="631" w:type="dxa"/>
            <w:noWrap w:val="0"/>
            <w:vAlign w:val="center"/>
          </w:tcPr>
          <w:p w14:paraId="71668337">
            <w:pPr>
              <w:spacing w:line="260" w:lineRule="exact"/>
              <w:jc w:val="center"/>
              <w:rPr>
                <w:rFonts w:hint="eastAsia" w:ascii="宋体" w:hAnsi="宋体" w:eastAsia="宋体" w:cs="宋体"/>
                <w:bCs/>
                <w:color w:val="auto"/>
                <w:sz w:val="22"/>
                <w:highlight w:val="none"/>
              </w:rPr>
            </w:pPr>
          </w:p>
        </w:tc>
        <w:tc>
          <w:tcPr>
            <w:tcW w:w="634" w:type="dxa"/>
            <w:noWrap w:val="0"/>
            <w:vAlign w:val="center"/>
          </w:tcPr>
          <w:p w14:paraId="1FFFBABE">
            <w:pPr>
              <w:spacing w:line="260" w:lineRule="exact"/>
              <w:jc w:val="center"/>
              <w:rPr>
                <w:rFonts w:hint="eastAsia" w:ascii="宋体" w:hAnsi="宋体" w:eastAsia="宋体" w:cs="宋体"/>
                <w:bCs/>
                <w:color w:val="auto"/>
                <w:sz w:val="22"/>
                <w:highlight w:val="none"/>
              </w:rPr>
            </w:pPr>
          </w:p>
        </w:tc>
        <w:tc>
          <w:tcPr>
            <w:tcW w:w="883" w:type="dxa"/>
            <w:noWrap w:val="0"/>
            <w:vAlign w:val="center"/>
          </w:tcPr>
          <w:p w14:paraId="343BE7FD">
            <w:pPr>
              <w:spacing w:line="260" w:lineRule="exact"/>
              <w:jc w:val="center"/>
              <w:rPr>
                <w:rFonts w:hint="eastAsia" w:ascii="宋体" w:hAnsi="宋体" w:eastAsia="宋体" w:cs="宋体"/>
                <w:bCs/>
                <w:color w:val="auto"/>
                <w:sz w:val="22"/>
                <w:highlight w:val="none"/>
              </w:rPr>
            </w:pPr>
          </w:p>
        </w:tc>
        <w:tc>
          <w:tcPr>
            <w:tcW w:w="917" w:type="dxa"/>
            <w:noWrap w:val="0"/>
            <w:vAlign w:val="center"/>
          </w:tcPr>
          <w:p w14:paraId="401CEDEC">
            <w:pPr>
              <w:spacing w:line="260" w:lineRule="exact"/>
              <w:jc w:val="center"/>
              <w:rPr>
                <w:rFonts w:hint="eastAsia" w:ascii="宋体" w:hAnsi="宋体" w:eastAsia="宋体" w:cs="宋体"/>
                <w:bCs/>
                <w:color w:val="auto"/>
                <w:sz w:val="22"/>
                <w:highlight w:val="none"/>
              </w:rPr>
            </w:pPr>
          </w:p>
        </w:tc>
        <w:tc>
          <w:tcPr>
            <w:tcW w:w="616" w:type="dxa"/>
            <w:noWrap w:val="0"/>
            <w:vAlign w:val="center"/>
          </w:tcPr>
          <w:p w14:paraId="7C537AAB">
            <w:pPr>
              <w:spacing w:line="260" w:lineRule="exact"/>
              <w:jc w:val="center"/>
              <w:rPr>
                <w:rFonts w:hint="eastAsia" w:ascii="宋体" w:hAnsi="宋体" w:eastAsia="宋体" w:cs="宋体"/>
                <w:bCs/>
                <w:color w:val="auto"/>
                <w:sz w:val="22"/>
                <w:highlight w:val="none"/>
              </w:rPr>
            </w:pPr>
          </w:p>
        </w:tc>
      </w:tr>
      <w:tr w14:paraId="5811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6" w:type="dxa"/>
            <w:noWrap w:val="0"/>
            <w:vAlign w:val="center"/>
          </w:tcPr>
          <w:p w14:paraId="5ED8AF15">
            <w:pPr>
              <w:spacing w:line="260" w:lineRule="exact"/>
              <w:jc w:val="center"/>
              <w:rPr>
                <w:rFonts w:hint="eastAsia" w:ascii="宋体" w:hAnsi="宋体" w:eastAsia="宋体" w:cs="宋体"/>
                <w:bCs/>
                <w:color w:val="auto"/>
                <w:sz w:val="22"/>
                <w:highlight w:val="none"/>
              </w:rPr>
            </w:pPr>
          </w:p>
        </w:tc>
        <w:tc>
          <w:tcPr>
            <w:tcW w:w="1343" w:type="dxa"/>
            <w:noWrap w:val="0"/>
            <w:vAlign w:val="center"/>
          </w:tcPr>
          <w:p w14:paraId="6392903E">
            <w:pPr>
              <w:spacing w:line="260" w:lineRule="exact"/>
              <w:jc w:val="center"/>
              <w:rPr>
                <w:rFonts w:hint="eastAsia" w:ascii="宋体" w:hAnsi="宋体" w:eastAsia="宋体" w:cs="宋体"/>
                <w:bCs/>
                <w:color w:val="auto"/>
                <w:sz w:val="22"/>
                <w:highlight w:val="none"/>
              </w:rPr>
            </w:pPr>
          </w:p>
        </w:tc>
        <w:tc>
          <w:tcPr>
            <w:tcW w:w="1065" w:type="dxa"/>
            <w:noWrap w:val="0"/>
            <w:vAlign w:val="center"/>
          </w:tcPr>
          <w:p w14:paraId="253F9E44">
            <w:pPr>
              <w:spacing w:line="260" w:lineRule="exact"/>
              <w:jc w:val="center"/>
              <w:rPr>
                <w:rFonts w:hint="eastAsia" w:ascii="宋体" w:hAnsi="宋体" w:eastAsia="宋体" w:cs="宋体"/>
                <w:bCs/>
                <w:color w:val="auto"/>
                <w:sz w:val="22"/>
                <w:highlight w:val="none"/>
              </w:rPr>
            </w:pPr>
          </w:p>
        </w:tc>
        <w:tc>
          <w:tcPr>
            <w:tcW w:w="748" w:type="dxa"/>
            <w:noWrap w:val="0"/>
            <w:vAlign w:val="center"/>
          </w:tcPr>
          <w:p w14:paraId="796316D6">
            <w:pPr>
              <w:spacing w:line="260" w:lineRule="exact"/>
              <w:jc w:val="center"/>
              <w:rPr>
                <w:rFonts w:hint="eastAsia" w:ascii="宋体" w:hAnsi="宋体" w:eastAsia="宋体" w:cs="宋体"/>
                <w:bCs/>
                <w:color w:val="auto"/>
                <w:sz w:val="22"/>
                <w:highlight w:val="none"/>
              </w:rPr>
            </w:pPr>
          </w:p>
        </w:tc>
        <w:tc>
          <w:tcPr>
            <w:tcW w:w="927" w:type="dxa"/>
            <w:noWrap w:val="0"/>
            <w:vAlign w:val="center"/>
          </w:tcPr>
          <w:p w14:paraId="7824B5D4">
            <w:pPr>
              <w:spacing w:line="260" w:lineRule="exact"/>
              <w:jc w:val="center"/>
              <w:rPr>
                <w:rFonts w:hint="eastAsia" w:ascii="宋体" w:hAnsi="宋体" w:eastAsia="宋体" w:cs="宋体"/>
                <w:bCs/>
                <w:color w:val="auto"/>
                <w:sz w:val="22"/>
                <w:highlight w:val="none"/>
              </w:rPr>
            </w:pPr>
          </w:p>
        </w:tc>
        <w:tc>
          <w:tcPr>
            <w:tcW w:w="1487" w:type="dxa"/>
            <w:noWrap w:val="0"/>
            <w:vAlign w:val="center"/>
          </w:tcPr>
          <w:p w14:paraId="0EAEDBAB">
            <w:pPr>
              <w:spacing w:line="260" w:lineRule="exact"/>
              <w:jc w:val="center"/>
              <w:rPr>
                <w:rFonts w:hint="eastAsia" w:ascii="宋体" w:hAnsi="宋体" w:eastAsia="宋体" w:cs="宋体"/>
                <w:bCs/>
                <w:color w:val="auto"/>
                <w:sz w:val="22"/>
                <w:highlight w:val="none"/>
              </w:rPr>
            </w:pPr>
          </w:p>
        </w:tc>
        <w:tc>
          <w:tcPr>
            <w:tcW w:w="631" w:type="dxa"/>
            <w:noWrap w:val="0"/>
            <w:vAlign w:val="center"/>
          </w:tcPr>
          <w:p w14:paraId="2602855C">
            <w:pPr>
              <w:spacing w:line="260" w:lineRule="exact"/>
              <w:jc w:val="center"/>
              <w:rPr>
                <w:rFonts w:hint="eastAsia" w:ascii="宋体" w:hAnsi="宋体" w:eastAsia="宋体" w:cs="宋体"/>
                <w:bCs/>
                <w:color w:val="auto"/>
                <w:sz w:val="22"/>
                <w:highlight w:val="none"/>
              </w:rPr>
            </w:pPr>
          </w:p>
        </w:tc>
        <w:tc>
          <w:tcPr>
            <w:tcW w:w="634" w:type="dxa"/>
            <w:noWrap w:val="0"/>
            <w:vAlign w:val="center"/>
          </w:tcPr>
          <w:p w14:paraId="2EB0C008">
            <w:pPr>
              <w:spacing w:line="260" w:lineRule="exact"/>
              <w:jc w:val="center"/>
              <w:rPr>
                <w:rFonts w:hint="eastAsia" w:ascii="宋体" w:hAnsi="宋体" w:eastAsia="宋体" w:cs="宋体"/>
                <w:bCs/>
                <w:color w:val="auto"/>
                <w:sz w:val="22"/>
                <w:highlight w:val="none"/>
              </w:rPr>
            </w:pPr>
          </w:p>
        </w:tc>
        <w:tc>
          <w:tcPr>
            <w:tcW w:w="883" w:type="dxa"/>
            <w:noWrap w:val="0"/>
            <w:vAlign w:val="center"/>
          </w:tcPr>
          <w:p w14:paraId="06B556AD">
            <w:pPr>
              <w:spacing w:line="260" w:lineRule="exact"/>
              <w:jc w:val="center"/>
              <w:rPr>
                <w:rFonts w:hint="eastAsia" w:ascii="宋体" w:hAnsi="宋体" w:eastAsia="宋体" w:cs="宋体"/>
                <w:bCs/>
                <w:color w:val="auto"/>
                <w:sz w:val="22"/>
                <w:highlight w:val="none"/>
              </w:rPr>
            </w:pPr>
          </w:p>
        </w:tc>
        <w:tc>
          <w:tcPr>
            <w:tcW w:w="917" w:type="dxa"/>
            <w:noWrap w:val="0"/>
            <w:vAlign w:val="center"/>
          </w:tcPr>
          <w:p w14:paraId="48E3E5AD">
            <w:pPr>
              <w:spacing w:line="260" w:lineRule="exact"/>
              <w:jc w:val="center"/>
              <w:rPr>
                <w:rFonts w:hint="eastAsia" w:ascii="宋体" w:hAnsi="宋体" w:eastAsia="宋体" w:cs="宋体"/>
                <w:bCs/>
                <w:color w:val="auto"/>
                <w:sz w:val="22"/>
                <w:highlight w:val="none"/>
              </w:rPr>
            </w:pPr>
          </w:p>
        </w:tc>
        <w:tc>
          <w:tcPr>
            <w:tcW w:w="616" w:type="dxa"/>
            <w:noWrap w:val="0"/>
            <w:vAlign w:val="center"/>
          </w:tcPr>
          <w:p w14:paraId="50C73CD7">
            <w:pPr>
              <w:spacing w:line="260" w:lineRule="exact"/>
              <w:jc w:val="center"/>
              <w:rPr>
                <w:rFonts w:hint="eastAsia" w:ascii="宋体" w:hAnsi="宋体" w:eastAsia="宋体" w:cs="宋体"/>
                <w:bCs/>
                <w:color w:val="auto"/>
                <w:sz w:val="22"/>
                <w:highlight w:val="none"/>
              </w:rPr>
            </w:pPr>
          </w:p>
        </w:tc>
      </w:tr>
      <w:tr w14:paraId="01CC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6" w:type="dxa"/>
            <w:noWrap w:val="0"/>
            <w:vAlign w:val="center"/>
          </w:tcPr>
          <w:p w14:paraId="560C5041">
            <w:pPr>
              <w:spacing w:line="260" w:lineRule="exact"/>
              <w:jc w:val="center"/>
              <w:rPr>
                <w:rFonts w:hint="eastAsia" w:ascii="宋体" w:hAnsi="宋体" w:eastAsia="宋体" w:cs="宋体"/>
                <w:bCs/>
                <w:color w:val="auto"/>
                <w:sz w:val="22"/>
                <w:highlight w:val="none"/>
              </w:rPr>
            </w:pPr>
          </w:p>
        </w:tc>
        <w:tc>
          <w:tcPr>
            <w:tcW w:w="1343" w:type="dxa"/>
            <w:noWrap w:val="0"/>
            <w:vAlign w:val="center"/>
          </w:tcPr>
          <w:p w14:paraId="120E939B">
            <w:pPr>
              <w:spacing w:line="260" w:lineRule="exact"/>
              <w:jc w:val="center"/>
              <w:rPr>
                <w:rFonts w:hint="eastAsia" w:ascii="宋体" w:hAnsi="宋体" w:eastAsia="宋体" w:cs="宋体"/>
                <w:bCs/>
                <w:color w:val="auto"/>
                <w:sz w:val="22"/>
                <w:highlight w:val="none"/>
              </w:rPr>
            </w:pPr>
          </w:p>
        </w:tc>
        <w:tc>
          <w:tcPr>
            <w:tcW w:w="1065" w:type="dxa"/>
            <w:noWrap w:val="0"/>
            <w:vAlign w:val="center"/>
          </w:tcPr>
          <w:p w14:paraId="2D2034DC">
            <w:pPr>
              <w:spacing w:line="260" w:lineRule="exact"/>
              <w:jc w:val="center"/>
              <w:rPr>
                <w:rFonts w:hint="eastAsia" w:ascii="宋体" w:hAnsi="宋体" w:eastAsia="宋体" w:cs="宋体"/>
                <w:bCs/>
                <w:color w:val="auto"/>
                <w:sz w:val="22"/>
                <w:highlight w:val="none"/>
              </w:rPr>
            </w:pPr>
          </w:p>
        </w:tc>
        <w:tc>
          <w:tcPr>
            <w:tcW w:w="748" w:type="dxa"/>
            <w:noWrap w:val="0"/>
            <w:vAlign w:val="center"/>
          </w:tcPr>
          <w:p w14:paraId="3DF4C908">
            <w:pPr>
              <w:spacing w:line="260" w:lineRule="exact"/>
              <w:jc w:val="center"/>
              <w:rPr>
                <w:rFonts w:hint="eastAsia" w:ascii="宋体" w:hAnsi="宋体" w:eastAsia="宋体" w:cs="宋体"/>
                <w:bCs/>
                <w:color w:val="auto"/>
                <w:sz w:val="22"/>
                <w:highlight w:val="none"/>
              </w:rPr>
            </w:pPr>
          </w:p>
        </w:tc>
        <w:tc>
          <w:tcPr>
            <w:tcW w:w="927" w:type="dxa"/>
            <w:noWrap w:val="0"/>
            <w:vAlign w:val="center"/>
          </w:tcPr>
          <w:p w14:paraId="10FF250E">
            <w:pPr>
              <w:spacing w:line="260" w:lineRule="exact"/>
              <w:jc w:val="center"/>
              <w:rPr>
                <w:rFonts w:hint="eastAsia" w:ascii="宋体" w:hAnsi="宋体" w:eastAsia="宋体" w:cs="宋体"/>
                <w:bCs/>
                <w:color w:val="auto"/>
                <w:sz w:val="22"/>
                <w:highlight w:val="none"/>
              </w:rPr>
            </w:pPr>
          </w:p>
        </w:tc>
        <w:tc>
          <w:tcPr>
            <w:tcW w:w="1487" w:type="dxa"/>
            <w:noWrap w:val="0"/>
            <w:vAlign w:val="center"/>
          </w:tcPr>
          <w:p w14:paraId="0D70DC4C">
            <w:pPr>
              <w:spacing w:line="260" w:lineRule="exact"/>
              <w:jc w:val="center"/>
              <w:rPr>
                <w:rFonts w:hint="eastAsia" w:ascii="宋体" w:hAnsi="宋体" w:eastAsia="宋体" w:cs="宋体"/>
                <w:bCs/>
                <w:color w:val="auto"/>
                <w:sz w:val="22"/>
                <w:highlight w:val="none"/>
              </w:rPr>
            </w:pPr>
          </w:p>
        </w:tc>
        <w:tc>
          <w:tcPr>
            <w:tcW w:w="631" w:type="dxa"/>
            <w:noWrap w:val="0"/>
            <w:vAlign w:val="center"/>
          </w:tcPr>
          <w:p w14:paraId="1DA79D4B">
            <w:pPr>
              <w:spacing w:line="260" w:lineRule="exact"/>
              <w:jc w:val="center"/>
              <w:rPr>
                <w:rFonts w:hint="eastAsia" w:ascii="宋体" w:hAnsi="宋体" w:eastAsia="宋体" w:cs="宋体"/>
                <w:bCs/>
                <w:color w:val="auto"/>
                <w:sz w:val="22"/>
                <w:highlight w:val="none"/>
              </w:rPr>
            </w:pPr>
          </w:p>
        </w:tc>
        <w:tc>
          <w:tcPr>
            <w:tcW w:w="634" w:type="dxa"/>
            <w:noWrap w:val="0"/>
            <w:vAlign w:val="center"/>
          </w:tcPr>
          <w:p w14:paraId="64F7144D">
            <w:pPr>
              <w:spacing w:line="260" w:lineRule="exact"/>
              <w:jc w:val="center"/>
              <w:rPr>
                <w:rFonts w:hint="eastAsia" w:ascii="宋体" w:hAnsi="宋体" w:eastAsia="宋体" w:cs="宋体"/>
                <w:bCs/>
                <w:color w:val="auto"/>
                <w:sz w:val="22"/>
                <w:highlight w:val="none"/>
              </w:rPr>
            </w:pPr>
          </w:p>
        </w:tc>
        <w:tc>
          <w:tcPr>
            <w:tcW w:w="883" w:type="dxa"/>
            <w:noWrap w:val="0"/>
            <w:vAlign w:val="center"/>
          </w:tcPr>
          <w:p w14:paraId="2EA6A9FB">
            <w:pPr>
              <w:spacing w:line="260" w:lineRule="exact"/>
              <w:jc w:val="center"/>
              <w:rPr>
                <w:rFonts w:hint="eastAsia" w:ascii="宋体" w:hAnsi="宋体" w:eastAsia="宋体" w:cs="宋体"/>
                <w:bCs/>
                <w:color w:val="auto"/>
                <w:sz w:val="22"/>
                <w:highlight w:val="none"/>
              </w:rPr>
            </w:pPr>
          </w:p>
        </w:tc>
        <w:tc>
          <w:tcPr>
            <w:tcW w:w="917" w:type="dxa"/>
            <w:noWrap w:val="0"/>
            <w:vAlign w:val="center"/>
          </w:tcPr>
          <w:p w14:paraId="3C65DF06">
            <w:pPr>
              <w:spacing w:line="260" w:lineRule="exact"/>
              <w:jc w:val="center"/>
              <w:rPr>
                <w:rFonts w:hint="eastAsia" w:ascii="宋体" w:hAnsi="宋体" w:eastAsia="宋体" w:cs="宋体"/>
                <w:bCs/>
                <w:color w:val="auto"/>
                <w:sz w:val="22"/>
                <w:highlight w:val="none"/>
              </w:rPr>
            </w:pPr>
          </w:p>
        </w:tc>
        <w:tc>
          <w:tcPr>
            <w:tcW w:w="616" w:type="dxa"/>
            <w:noWrap w:val="0"/>
            <w:vAlign w:val="center"/>
          </w:tcPr>
          <w:p w14:paraId="28C92CAE">
            <w:pPr>
              <w:spacing w:line="260" w:lineRule="exact"/>
              <w:jc w:val="center"/>
              <w:rPr>
                <w:rFonts w:hint="eastAsia" w:ascii="宋体" w:hAnsi="宋体" w:eastAsia="宋体" w:cs="宋体"/>
                <w:bCs/>
                <w:color w:val="auto"/>
                <w:sz w:val="22"/>
                <w:highlight w:val="none"/>
              </w:rPr>
            </w:pPr>
          </w:p>
        </w:tc>
      </w:tr>
      <w:tr w14:paraId="4AC4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6" w:type="dxa"/>
            <w:noWrap w:val="0"/>
            <w:vAlign w:val="center"/>
          </w:tcPr>
          <w:p w14:paraId="57BA5A7B">
            <w:pPr>
              <w:spacing w:line="260" w:lineRule="exact"/>
              <w:jc w:val="center"/>
              <w:rPr>
                <w:rFonts w:hint="eastAsia" w:ascii="宋体" w:hAnsi="宋体" w:eastAsia="宋体" w:cs="宋体"/>
                <w:bCs/>
                <w:color w:val="auto"/>
                <w:sz w:val="22"/>
                <w:highlight w:val="none"/>
              </w:rPr>
            </w:pPr>
          </w:p>
        </w:tc>
        <w:tc>
          <w:tcPr>
            <w:tcW w:w="1343" w:type="dxa"/>
            <w:noWrap w:val="0"/>
            <w:vAlign w:val="center"/>
          </w:tcPr>
          <w:p w14:paraId="71D96987">
            <w:pPr>
              <w:spacing w:line="260" w:lineRule="exact"/>
              <w:jc w:val="center"/>
              <w:rPr>
                <w:rFonts w:hint="eastAsia" w:ascii="宋体" w:hAnsi="宋体" w:eastAsia="宋体" w:cs="宋体"/>
                <w:bCs/>
                <w:color w:val="auto"/>
                <w:sz w:val="22"/>
                <w:highlight w:val="none"/>
              </w:rPr>
            </w:pPr>
          </w:p>
        </w:tc>
        <w:tc>
          <w:tcPr>
            <w:tcW w:w="1065" w:type="dxa"/>
            <w:noWrap w:val="0"/>
            <w:vAlign w:val="center"/>
          </w:tcPr>
          <w:p w14:paraId="52884B52">
            <w:pPr>
              <w:spacing w:line="260" w:lineRule="exact"/>
              <w:jc w:val="center"/>
              <w:rPr>
                <w:rFonts w:hint="eastAsia" w:ascii="宋体" w:hAnsi="宋体" w:eastAsia="宋体" w:cs="宋体"/>
                <w:bCs/>
                <w:color w:val="auto"/>
                <w:sz w:val="22"/>
                <w:highlight w:val="none"/>
              </w:rPr>
            </w:pPr>
          </w:p>
        </w:tc>
        <w:tc>
          <w:tcPr>
            <w:tcW w:w="748" w:type="dxa"/>
            <w:noWrap w:val="0"/>
            <w:vAlign w:val="center"/>
          </w:tcPr>
          <w:p w14:paraId="2B915458">
            <w:pPr>
              <w:spacing w:line="260" w:lineRule="exact"/>
              <w:jc w:val="center"/>
              <w:rPr>
                <w:rFonts w:hint="eastAsia" w:ascii="宋体" w:hAnsi="宋体" w:eastAsia="宋体" w:cs="宋体"/>
                <w:bCs/>
                <w:color w:val="auto"/>
                <w:sz w:val="22"/>
                <w:highlight w:val="none"/>
              </w:rPr>
            </w:pPr>
          </w:p>
        </w:tc>
        <w:tc>
          <w:tcPr>
            <w:tcW w:w="927" w:type="dxa"/>
            <w:noWrap w:val="0"/>
            <w:vAlign w:val="center"/>
          </w:tcPr>
          <w:p w14:paraId="32208C32">
            <w:pPr>
              <w:spacing w:line="260" w:lineRule="exact"/>
              <w:jc w:val="center"/>
              <w:rPr>
                <w:rFonts w:hint="eastAsia" w:ascii="宋体" w:hAnsi="宋体" w:eastAsia="宋体" w:cs="宋体"/>
                <w:bCs/>
                <w:color w:val="auto"/>
                <w:sz w:val="22"/>
                <w:highlight w:val="none"/>
              </w:rPr>
            </w:pPr>
          </w:p>
        </w:tc>
        <w:tc>
          <w:tcPr>
            <w:tcW w:w="1487" w:type="dxa"/>
            <w:noWrap w:val="0"/>
            <w:vAlign w:val="center"/>
          </w:tcPr>
          <w:p w14:paraId="57DD6980">
            <w:pPr>
              <w:spacing w:line="260" w:lineRule="exact"/>
              <w:jc w:val="center"/>
              <w:rPr>
                <w:rFonts w:hint="eastAsia" w:ascii="宋体" w:hAnsi="宋体" w:eastAsia="宋体" w:cs="宋体"/>
                <w:bCs/>
                <w:color w:val="auto"/>
                <w:sz w:val="22"/>
                <w:highlight w:val="none"/>
              </w:rPr>
            </w:pPr>
          </w:p>
        </w:tc>
        <w:tc>
          <w:tcPr>
            <w:tcW w:w="631" w:type="dxa"/>
            <w:noWrap w:val="0"/>
            <w:vAlign w:val="center"/>
          </w:tcPr>
          <w:p w14:paraId="06EF560E">
            <w:pPr>
              <w:spacing w:line="260" w:lineRule="exact"/>
              <w:jc w:val="center"/>
              <w:rPr>
                <w:rFonts w:hint="eastAsia" w:ascii="宋体" w:hAnsi="宋体" w:eastAsia="宋体" w:cs="宋体"/>
                <w:bCs/>
                <w:color w:val="auto"/>
                <w:sz w:val="22"/>
                <w:highlight w:val="none"/>
              </w:rPr>
            </w:pPr>
          </w:p>
        </w:tc>
        <w:tc>
          <w:tcPr>
            <w:tcW w:w="634" w:type="dxa"/>
            <w:noWrap w:val="0"/>
            <w:vAlign w:val="center"/>
          </w:tcPr>
          <w:p w14:paraId="4EB3ED71">
            <w:pPr>
              <w:spacing w:line="260" w:lineRule="exact"/>
              <w:jc w:val="center"/>
              <w:rPr>
                <w:rFonts w:hint="eastAsia" w:ascii="宋体" w:hAnsi="宋体" w:eastAsia="宋体" w:cs="宋体"/>
                <w:bCs/>
                <w:color w:val="auto"/>
                <w:sz w:val="22"/>
                <w:highlight w:val="none"/>
              </w:rPr>
            </w:pPr>
          </w:p>
        </w:tc>
        <w:tc>
          <w:tcPr>
            <w:tcW w:w="883" w:type="dxa"/>
            <w:noWrap w:val="0"/>
            <w:vAlign w:val="center"/>
          </w:tcPr>
          <w:p w14:paraId="234E8FA9">
            <w:pPr>
              <w:spacing w:line="260" w:lineRule="exact"/>
              <w:jc w:val="center"/>
              <w:rPr>
                <w:rFonts w:hint="eastAsia" w:ascii="宋体" w:hAnsi="宋体" w:eastAsia="宋体" w:cs="宋体"/>
                <w:bCs/>
                <w:color w:val="auto"/>
                <w:sz w:val="22"/>
                <w:highlight w:val="none"/>
              </w:rPr>
            </w:pPr>
          </w:p>
        </w:tc>
        <w:tc>
          <w:tcPr>
            <w:tcW w:w="917" w:type="dxa"/>
            <w:noWrap w:val="0"/>
            <w:vAlign w:val="center"/>
          </w:tcPr>
          <w:p w14:paraId="7B24CE16">
            <w:pPr>
              <w:spacing w:line="260" w:lineRule="exact"/>
              <w:jc w:val="center"/>
              <w:rPr>
                <w:rFonts w:hint="eastAsia" w:ascii="宋体" w:hAnsi="宋体" w:eastAsia="宋体" w:cs="宋体"/>
                <w:bCs/>
                <w:color w:val="auto"/>
                <w:sz w:val="22"/>
                <w:highlight w:val="none"/>
              </w:rPr>
            </w:pPr>
          </w:p>
        </w:tc>
        <w:tc>
          <w:tcPr>
            <w:tcW w:w="616" w:type="dxa"/>
            <w:noWrap w:val="0"/>
            <w:vAlign w:val="center"/>
          </w:tcPr>
          <w:p w14:paraId="11FE5127">
            <w:pPr>
              <w:spacing w:line="260" w:lineRule="exact"/>
              <w:jc w:val="center"/>
              <w:rPr>
                <w:rFonts w:hint="eastAsia" w:ascii="宋体" w:hAnsi="宋体" w:eastAsia="宋体" w:cs="宋体"/>
                <w:bCs/>
                <w:color w:val="auto"/>
                <w:sz w:val="22"/>
                <w:highlight w:val="none"/>
              </w:rPr>
            </w:pPr>
          </w:p>
        </w:tc>
      </w:tr>
      <w:tr w14:paraId="6611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6" w:type="dxa"/>
            <w:noWrap w:val="0"/>
            <w:vAlign w:val="center"/>
          </w:tcPr>
          <w:p w14:paraId="2A57C862">
            <w:pPr>
              <w:spacing w:line="260" w:lineRule="exact"/>
              <w:jc w:val="center"/>
              <w:rPr>
                <w:rFonts w:hint="eastAsia" w:ascii="宋体" w:hAnsi="宋体" w:eastAsia="宋体" w:cs="宋体"/>
                <w:bCs/>
                <w:color w:val="auto"/>
                <w:sz w:val="22"/>
                <w:highlight w:val="none"/>
              </w:rPr>
            </w:pPr>
          </w:p>
        </w:tc>
        <w:tc>
          <w:tcPr>
            <w:tcW w:w="1343" w:type="dxa"/>
            <w:noWrap w:val="0"/>
            <w:vAlign w:val="center"/>
          </w:tcPr>
          <w:p w14:paraId="3D8EBF38">
            <w:pPr>
              <w:spacing w:line="260" w:lineRule="exact"/>
              <w:jc w:val="center"/>
              <w:rPr>
                <w:rFonts w:hint="eastAsia" w:ascii="宋体" w:hAnsi="宋体" w:eastAsia="宋体" w:cs="宋体"/>
                <w:bCs/>
                <w:color w:val="auto"/>
                <w:sz w:val="22"/>
                <w:highlight w:val="none"/>
              </w:rPr>
            </w:pPr>
          </w:p>
        </w:tc>
        <w:tc>
          <w:tcPr>
            <w:tcW w:w="1065" w:type="dxa"/>
            <w:noWrap w:val="0"/>
            <w:vAlign w:val="center"/>
          </w:tcPr>
          <w:p w14:paraId="2D54D082">
            <w:pPr>
              <w:spacing w:line="260" w:lineRule="exact"/>
              <w:jc w:val="center"/>
              <w:rPr>
                <w:rFonts w:hint="eastAsia" w:ascii="宋体" w:hAnsi="宋体" w:eastAsia="宋体" w:cs="宋体"/>
                <w:bCs/>
                <w:color w:val="auto"/>
                <w:sz w:val="22"/>
                <w:highlight w:val="none"/>
              </w:rPr>
            </w:pPr>
          </w:p>
        </w:tc>
        <w:tc>
          <w:tcPr>
            <w:tcW w:w="748" w:type="dxa"/>
            <w:noWrap w:val="0"/>
            <w:vAlign w:val="center"/>
          </w:tcPr>
          <w:p w14:paraId="582A132E">
            <w:pPr>
              <w:spacing w:line="260" w:lineRule="exact"/>
              <w:jc w:val="center"/>
              <w:rPr>
                <w:rFonts w:hint="eastAsia" w:ascii="宋体" w:hAnsi="宋体" w:eastAsia="宋体" w:cs="宋体"/>
                <w:bCs/>
                <w:color w:val="auto"/>
                <w:sz w:val="22"/>
                <w:highlight w:val="none"/>
              </w:rPr>
            </w:pPr>
          </w:p>
        </w:tc>
        <w:tc>
          <w:tcPr>
            <w:tcW w:w="927" w:type="dxa"/>
            <w:noWrap w:val="0"/>
            <w:vAlign w:val="center"/>
          </w:tcPr>
          <w:p w14:paraId="3995F6BA">
            <w:pPr>
              <w:spacing w:line="260" w:lineRule="exact"/>
              <w:jc w:val="center"/>
              <w:rPr>
                <w:rFonts w:hint="eastAsia" w:ascii="宋体" w:hAnsi="宋体" w:eastAsia="宋体" w:cs="宋体"/>
                <w:bCs/>
                <w:color w:val="auto"/>
                <w:sz w:val="22"/>
                <w:highlight w:val="none"/>
              </w:rPr>
            </w:pPr>
          </w:p>
        </w:tc>
        <w:tc>
          <w:tcPr>
            <w:tcW w:w="1487" w:type="dxa"/>
            <w:noWrap w:val="0"/>
            <w:vAlign w:val="center"/>
          </w:tcPr>
          <w:p w14:paraId="3B805824">
            <w:pPr>
              <w:spacing w:line="260" w:lineRule="exact"/>
              <w:jc w:val="center"/>
              <w:rPr>
                <w:rFonts w:hint="eastAsia" w:ascii="宋体" w:hAnsi="宋体" w:eastAsia="宋体" w:cs="宋体"/>
                <w:bCs/>
                <w:color w:val="auto"/>
                <w:sz w:val="22"/>
                <w:highlight w:val="none"/>
              </w:rPr>
            </w:pPr>
          </w:p>
        </w:tc>
        <w:tc>
          <w:tcPr>
            <w:tcW w:w="631" w:type="dxa"/>
            <w:noWrap w:val="0"/>
            <w:vAlign w:val="center"/>
          </w:tcPr>
          <w:p w14:paraId="1849992D">
            <w:pPr>
              <w:spacing w:line="260" w:lineRule="exact"/>
              <w:jc w:val="center"/>
              <w:rPr>
                <w:rFonts w:hint="eastAsia" w:ascii="宋体" w:hAnsi="宋体" w:eastAsia="宋体" w:cs="宋体"/>
                <w:bCs/>
                <w:color w:val="auto"/>
                <w:sz w:val="22"/>
                <w:highlight w:val="none"/>
              </w:rPr>
            </w:pPr>
          </w:p>
        </w:tc>
        <w:tc>
          <w:tcPr>
            <w:tcW w:w="634" w:type="dxa"/>
            <w:noWrap w:val="0"/>
            <w:vAlign w:val="center"/>
          </w:tcPr>
          <w:p w14:paraId="458D7BF2">
            <w:pPr>
              <w:spacing w:line="260" w:lineRule="exact"/>
              <w:jc w:val="center"/>
              <w:rPr>
                <w:rFonts w:hint="eastAsia" w:ascii="宋体" w:hAnsi="宋体" w:eastAsia="宋体" w:cs="宋体"/>
                <w:bCs/>
                <w:color w:val="auto"/>
                <w:sz w:val="22"/>
                <w:highlight w:val="none"/>
              </w:rPr>
            </w:pPr>
          </w:p>
        </w:tc>
        <w:tc>
          <w:tcPr>
            <w:tcW w:w="883" w:type="dxa"/>
            <w:noWrap w:val="0"/>
            <w:vAlign w:val="center"/>
          </w:tcPr>
          <w:p w14:paraId="40DBEB55">
            <w:pPr>
              <w:spacing w:line="260" w:lineRule="exact"/>
              <w:jc w:val="center"/>
              <w:rPr>
                <w:rFonts w:hint="eastAsia" w:ascii="宋体" w:hAnsi="宋体" w:eastAsia="宋体" w:cs="宋体"/>
                <w:bCs/>
                <w:color w:val="auto"/>
                <w:sz w:val="22"/>
                <w:highlight w:val="none"/>
              </w:rPr>
            </w:pPr>
          </w:p>
        </w:tc>
        <w:tc>
          <w:tcPr>
            <w:tcW w:w="917" w:type="dxa"/>
            <w:noWrap w:val="0"/>
            <w:vAlign w:val="center"/>
          </w:tcPr>
          <w:p w14:paraId="3FB478B1">
            <w:pPr>
              <w:spacing w:line="260" w:lineRule="exact"/>
              <w:jc w:val="center"/>
              <w:rPr>
                <w:rFonts w:hint="eastAsia" w:ascii="宋体" w:hAnsi="宋体" w:eastAsia="宋体" w:cs="宋体"/>
                <w:bCs/>
                <w:color w:val="auto"/>
                <w:sz w:val="22"/>
                <w:highlight w:val="none"/>
              </w:rPr>
            </w:pPr>
          </w:p>
        </w:tc>
        <w:tc>
          <w:tcPr>
            <w:tcW w:w="616" w:type="dxa"/>
            <w:noWrap w:val="0"/>
            <w:vAlign w:val="center"/>
          </w:tcPr>
          <w:p w14:paraId="50E9FE70">
            <w:pPr>
              <w:spacing w:line="260" w:lineRule="exact"/>
              <w:jc w:val="center"/>
              <w:rPr>
                <w:rFonts w:hint="eastAsia" w:ascii="宋体" w:hAnsi="宋体" w:eastAsia="宋体" w:cs="宋体"/>
                <w:bCs/>
                <w:color w:val="auto"/>
                <w:sz w:val="22"/>
                <w:highlight w:val="none"/>
              </w:rPr>
            </w:pPr>
          </w:p>
        </w:tc>
      </w:tr>
      <w:tr w14:paraId="1684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6" w:type="dxa"/>
            <w:noWrap w:val="0"/>
            <w:vAlign w:val="center"/>
          </w:tcPr>
          <w:p w14:paraId="727B1A7D">
            <w:pPr>
              <w:spacing w:line="260" w:lineRule="exact"/>
              <w:jc w:val="center"/>
              <w:rPr>
                <w:rFonts w:hint="eastAsia" w:ascii="宋体" w:hAnsi="宋体" w:eastAsia="宋体" w:cs="宋体"/>
                <w:bCs/>
                <w:color w:val="auto"/>
                <w:sz w:val="22"/>
                <w:highlight w:val="none"/>
              </w:rPr>
            </w:pPr>
          </w:p>
        </w:tc>
        <w:tc>
          <w:tcPr>
            <w:tcW w:w="1343" w:type="dxa"/>
            <w:noWrap w:val="0"/>
            <w:vAlign w:val="center"/>
          </w:tcPr>
          <w:p w14:paraId="77C37C5F">
            <w:pPr>
              <w:spacing w:line="260" w:lineRule="exact"/>
              <w:jc w:val="center"/>
              <w:rPr>
                <w:rFonts w:hint="eastAsia" w:ascii="宋体" w:hAnsi="宋体" w:eastAsia="宋体" w:cs="宋体"/>
                <w:bCs/>
                <w:color w:val="auto"/>
                <w:sz w:val="22"/>
                <w:highlight w:val="none"/>
              </w:rPr>
            </w:pPr>
          </w:p>
        </w:tc>
        <w:tc>
          <w:tcPr>
            <w:tcW w:w="1065" w:type="dxa"/>
            <w:noWrap w:val="0"/>
            <w:vAlign w:val="center"/>
          </w:tcPr>
          <w:p w14:paraId="6065F887">
            <w:pPr>
              <w:spacing w:line="260" w:lineRule="exact"/>
              <w:jc w:val="center"/>
              <w:rPr>
                <w:rFonts w:hint="eastAsia" w:ascii="宋体" w:hAnsi="宋体" w:eastAsia="宋体" w:cs="宋体"/>
                <w:bCs/>
                <w:color w:val="auto"/>
                <w:sz w:val="22"/>
                <w:highlight w:val="none"/>
              </w:rPr>
            </w:pPr>
          </w:p>
        </w:tc>
        <w:tc>
          <w:tcPr>
            <w:tcW w:w="748" w:type="dxa"/>
            <w:noWrap w:val="0"/>
            <w:vAlign w:val="center"/>
          </w:tcPr>
          <w:p w14:paraId="2DF53011">
            <w:pPr>
              <w:spacing w:line="260" w:lineRule="exact"/>
              <w:jc w:val="center"/>
              <w:rPr>
                <w:rFonts w:hint="eastAsia" w:ascii="宋体" w:hAnsi="宋体" w:eastAsia="宋体" w:cs="宋体"/>
                <w:bCs/>
                <w:color w:val="auto"/>
                <w:sz w:val="22"/>
                <w:highlight w:val="none"/>
              </w:rPr>
            </w:pPr>
          </w:p>
        </w:tc>
        <w:tc>
          <w:tcPr>
            <w:tcW w:w="927" w:type="dxa"/>
            <w:noWrap w:val="0"/>
            <w:vAlign w:val="center"/>
          </w:tcPr>
          <w:p w14:paraId="6DF1255B">
            <w:pPr>
              <w:spacing w:line="260" w:lineRule="exact"/>
              <w:jc w:val="center"/>
              <w:rPr>
                <w:rFonts w:hint="eastAsia" w:ascii="宋体" w:hAnsi="宋体" w:eastAsia="宋体" w:cs="宋体"/>
                <w:bCs/>
                <w:color w:val="auto"/>
                <w:sz w:val="22"/>
                <w:highlight w:val="none"/>
              </w:rPr>
            </w:pPr>
          </w:p>
        </w:tc>
        <w:tc>
          <w:tcPr>
            <w:tcW w:w="1487" w:type="dxa"/>
            <w:noWrap w:val="0"/>
            <w:vAlign w:val="center"/>
          </w:tcPr>
          <w:p w14:paraId="04009913">
            <w:pPr>
              <w:spacing w:line="260" w:lineRule="exact"/>
              <w:jc w:val="center"/>
              <w:rPr>
                <w:rFonts w:hint="eastAsia" w:ascii="宋体" w:hAnsi="宋体" w:eastAsia="宋体" w:cs="宋体"/>
                <w:bCs/>
                <w:color w:val="auto"/>
                <w:sz w:val="22"/>
                <w:highlight w:val="none"/>
              </w:rPr>
            </w:pPr>
          </w:p>
        </w:tc>
        <w:tc>
          <w:tcPr>
            <w:tcW w:w="631" w:type="dxa"/>
            <w:noWrap w:val="0"/>
            <w:vAlign w:val="center"/>
          </w:tcPr>
          <w:p w14:paraId="3C839BAB">
            <w:pPr>
              <w:spacing w:line="260" w:lineRule="exact"/>
              <w:jc w:val="center"/>
              <w:rPr>
                <w:rFonts w:hint="eastAsia" w:ascii="宋体" w:hAnsi="宋体" w:eastAsia="宋体" w:cs="宋体"/>
                <w:bCs/>
                <w:color w:val="auto"/>
                <w:sz w:val="22"/>
                <w:highlight w:val="none"/>
              </w:rPr>
            </w:pPr>
          </w:p>
        </w:tc>
        <w:tc>
          <w:tcPr>
            <w:tcW w:w="634" w:type="dxa"/>
            <w:noWrap w:val="0"/>
            <w:vAlign w:val="center"/>
          </w:tcPr>
          <w:p w14:paraId="59364CD7">
            <w:pPr>
              <w:spacing w:line="260" w:lineRule="exact"/>
              <w:jc w:val="center"/>
              <w:rPr>
                <w:rFonts w:hint="eastAsia" w:ascii="宋体" w:hAnsi="宋体" w:eastAsia="宋体" w:cs="宋体"/>
                <w:bCs/>
                <w:color w:val="auto"/>
                <w:sz w:val="22"/>
                <w:highlight w:val="none"/>
              </w:rPr>
            </w:pPr>
          </w:p>
        </w:tc>
        <w:tc>
          <w:tcPr>
            <w:tcW w:w="883" w:type="dxa"/>
            <w:noWrap w:val="0"/>
            <w:vAlign w:val="center"/>
          </w:tcPr>
          <w:p w14:paraId="76306206">
            <w:pPr>
              <w:spacing w:line="260" w:lineRule="exact"/>
              <w:jc w:val="center"/>
              <w:rPr>
                <w:rFonts w:hint="eastAsia" w:ascii="宋体" w:hAnsi="宋体" w:eastAsia="宋体" w:cs="宋体"/>
                <w:bCs/>
                <w:color w:val="auto"/>
                <w:sz w:val="22"/>
                <w:highlight w:val="none"/>
              </w:rPr>
            </w:pPr>
          </w:p>
        </w:tc>
        <w:tc>
          <w:tcPr>
            <w:tcW w:w="917" w:type="dxa"/>
            <w:noWrap w:val="0"/>
            <w:vAlign w:val="center"/>
          </w:tcPr>
          <w:p w14:paraId="07EB5101">
            <w:pPr>
              <w:spacing w:line="260" w:lineRule="exact"/>
              <w:jc w:val="center"/>
              <w:rPr>
                <w:rFonts w:hint="eastAsia" w:ascii="宋体" w:hAnsi="宋体" w:eastAsia="宋体" w:cs="宋体"/>
                <w:bCs/>
                <w:color w:val="auto"/>
                <w:sz w:val="22"/>
                <w:highlight w:val="none"/>
              </w:rPr>
            </w:pPr>
          </w:p>
        </w:tc>
        <w:tc>
          <w:tcPr>
            <w:tcW w:w="616" w:type="dxa"/>
            <w:noWrap w:val="0"/>
            <w:vAlign w:val="center"/>
          </w:tcPr>
          <w:p w14:paraId="3EB4EACD">
            <w:pPr>
              <w:spacing w:line="260" w:lineRule="exact"/>
              <w:jc w:val="center"/>
              <w:rPr>
                <w:rFonts w:hint="eastAsia" w:ascii="宋体" w:hAnsi="宋体" w:eastAsia="宋体" w:cs="宋体"/>
                <w:bCs/>
                <w:color w:val="auto"/>
                <w:sz w:val="22"/>
                <w:highlight w:val="none"/>
              </w:rPr>
            </w:pPr>
          </w:p>
        </w:tc>
      </w:tr>
      <w:tr w14:paraId="69AE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6" w:type="dxa"/>
            <w:noWrap w:val="0"/>
            <w:vAlign w:val="center"/>
          </w:tcPr>
          <w:p w14:paraId="0C651287">
            <w:pPr>
              <w:spacing w:line="260" w:lineRule="exact"/>
              <w:jc w:val="center"/>
              <w:rPr>
                <w:rFonts w:hint="eastAsia" w:ascii="宋体" w:hAnsi="宋体" w:eastAsia="宋体" w:cs="宋体"/>
                <w:bCs/>
                <w:color w:val="auto"/>
                <w:sz w:val="22"/>
                <w:highlight w:val="none"/>
              </w:rPr>
            </w:pPr>
          </w:p>
        </w:tc>
        <w:tc>
          <w:tcPr>
            <w:tcW w:w="1343" w:type="dxa"/>
            <w:noWrap w:val="0"/>
            <w:vAlign w:val="center"/>
          </w:tcPr>
          <w:p w14:paraId="1A4C748F">
            <w:pPr>
              <w:spacing w:line="260" w:lineRule="exact"/>
              <w:jc w:val="center"/>
              <w:rPr>
                <w:rFonts w:hint="eastAsia" w:ascii="宋体" w:hAnsi="宋体" w:eastAsia="宋体" w:cs="宋体"/>
                <w:bCs/>
                <w:color w:val="auto"/>
                <w:sz w:val="22"/>
                <w:highlight w:val="none"/>
              </w:rPr>
            </w:pPr>
          </w:p>
        </w:tc>
        <w:tc>
          <w:tcPr>
            <w:tcW w:w="1065" w:type="dxa"/>
            <w:noWrap w:val="0"/>
            <w:vAlign w:val="center"/>
          </w:tcPr>
          <w:p w14:paraId="33833162">
            <w:pPr>
              <w:spacing w:line="260" w:lineRule="exact"/>
              <w:jc w:val="center"/>
              <w:rPr>
                <w:rFonts w:hint="eastAsia" w:ascii="宋体" w:hAnsi="宋体" w:eastAsia="宋体" w:cs="宋体"/>
                <w:bCs/>
                <w:color w:val="auto"/>
                <w:sz w:val="22"/>
                <w:highlight w:val="none"/>
              </w:rPr>
            </w:pPr>
          </w:p>
        </w:tc>
        <w:tc>
          <w:tcPr>
            <w:tcW w:w="748" w:type="dxa"/>
            <w:noWrap w:val="0"/>
            <w:vAlign w:val="center"/>
          </w:tcPr>
          <w:p w14:paraId="751F836E">
            <w:pPr>
              <w:spacing w:line="260" w:lineRule="exact"/>
              <w:jc w:val="center"/>
              <w:rPr>
                <w:rFonts w:hint="eastAsia" w:ascii="宋体" w:hAnsi="宋体" w:eastAsia="宋体" w:cs="宋体"/>
                <w:bCs/>
                <w:color w:val="auto"/>
                <w:sz w:val="22"/>
                <w:highlight w:val="none"/>
              </w:rPr>
            </w:pPr>
          </w:p>
        </w:tc>
        <w:tc>
          <w:tcPr>
            <w:tcW w:w="927" w:type="dxa"/>
            <w:noWrap w:val="0"/>
            <w:vAlign w:val="center"/>
          </w:tcPr>
          <w:p w14:paraId="5BCA1E76">
            <w:pPr>
              <w:spacing w:line="260" w:lineRule="exact"/>
              <w:jc w:val="center"/>
              <w:rPr>
                <w:rFonts w:hint="eastAsia" w:ascii="宋体" w:hAnsi="宋体" w:eastAsia="宋体" w:cs="宋体"/>
                <w:bCs/>
                <w:color w:val="auto"/>
                <w:sz w:val="22"/>
                <w:highlight w:val="none"/>
              </w:rPr>
            </w:pPr>
          </w:p>
        </w:tc>
        <w:tc>
          <w:tcPr>
            <w:tcW w:w="1487" w:type="dxa"/>
            <w:noWrap w:val="0"/>
            <w:vAlign w:val="center"/>
          </w:tcPr>
          <w:p w14:paraId="0140F8C2">
            <w:pPr>
              <w:spacing w:line="260" w:lineRule="exact"/>
              <w:jc w:val="center"/>
              <w:rPr>
                <w:rFonts w:hint="eastAsia" w:ascii="宋体" w:hAnsi="宋体" w:eastAsia="宋体" w:cs="宋体"/>
                <w:bCs/>
                <w:color w:val="auto"/>
                <w:sz w:val="22"/>
                <w:highlight w:val="none"/>
              </w:rPr>
            </w:pPr>
          </w:p>
        </w:tc>
        <w:tc>
          <w:tcPr>
            <w:tcW w:w="631" w:type="dxa"/>
            <w:noWrap w:val="0"/>
            <w:vAlign w:val="center"/>
          </w:tcPr>
          <w:p w14:paraId="0466C5B0">
            <w:pPr>
              <w:spacing w:line="260" w:lineRule="exact"/>
              <w:jc w:val="center"/>
              <w:rPr>
                <w:rFonts w:hint="eastAsia" w:ascii="宋体" w:hAnsi="宋体" w:eastAsia="宋体" w:cs="宋体"/>
                <w:bCs/>
                <w:color w:val="auto"/>
                <w:sz w:val="22"/>
                <w:highlight w:val="none"/>
              </w:rPr>
            </w:pPr>
          </w:p>
        </w:tc>
        <w:tc>
          <w:tcPr>
            <w:tcW w:w="634" w:type="dxa"/>
            <w:noWrap w:val="0"/>
            <w:vAlign w:val="center"/>
          </w:tcPr>
          <w:p w14:paraId="2A8E40D4">
            <w:pPr>
              <w:spacing w:line="260" w:lineRule="exact"/>
              <w:jc w:val="center"/>
              <w:rPr>
                <w:rFonts w:hint="eastAsia" w:ascii="宋体" w:hAnsi="宋体" w:eastAsia="宋体" w:cs="宋体"/>
                <w:bCs/>
                <w:color w:val="auto"/>
                <w:sz w:val="22"/>
                <w:highlight w:val="none"/>
              </w:rPr>
            </w:pPr>
          </w:p>
        </w:tc>
        <w:tc>
          <w:tcPr>
            <w:tcW w:w="883" w:type="dxa"/>
            <w:noWrap w:val="0"/>
            <w:vAlign w:val="center"/>
          </w:tcPr>
          <w:p w14:paraId="3BE417AF">
            <w:pPr>
              <w:spacing w:line="260" w:lineRule="exact"/>
              <w:jc w:val="center"/>
              <w:rPr>
                <w:rFonts w:hint="eastAsia" w:ascii="宋体" w:hAnsi="宋体" w:eastAsia="宋体" w:cs="宋体"/>
                <w:bCs/>
                <w:color w:val="auto"/>
                <w:sz w:val="22"/>
                <w:highlight w:val="none"/>
              </w:rPr>
            </w:pPr>
          </w:p>
        </w:tc>
        <w:tc>
          <w:tcPr>
            <w:tcW w:w="917" w:type="dxa"/>
            <w:noWrap w:val="0"/>
            <w:vAlign w:val="center"/>
          </w:tcPr>
          <w:p w14:paraId="5E43923D">
            <w:pPr>
              <w:spacing w:line="260" w:lineRule="exact"/>
              <w:jc w:val="center"/>
              <w:rPr>
                <w:rFonts w:hint="eastAsia" w:ascii="宋体" w:hAnsi="宋体" w:eastAsia="宋体" w:cs="宋体"/>
                <w:bCs/>
                <w:color w:val="auto"/>
                <w:sz w:val="22"/>
                <w:highlight w:val="none"/>
              </w:rPr>
            </w:pPr>
          </w:p>
        </w:tc>
        <w:tc>
          <w:tcPr>
            <w:tcW w:w="616" w:type="dxa"/>
            <w:noWrap w:val="0"/>
            <w:vAlign w:val="center"/>
          </w:tcPr>
          <w:p w14:paraId="702411B4">
            <w:pPr>
              <w:spacing w:line="260" w:lineRule="exact"/>
              <w:jc w:val="center"/>
              <w:rPr>
                <w:rFonts w:hint="eastAsia" w:ascii="宋体" w:hAnsi="宋体" w:eastAsia="宋体" w:cs="宋体"/>
                <w:bCs/>
                <w:color w:val="auto"/>
                <w:sz w:val="22"/>
                <w:highlight w:val="none"/>
              </w:rPr>
            </w:pPr>
          </w:p>
        </w:tc>
      </w:tr>
      <w:tr w14:paraId="12FD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99" w:type="dxa"/>
            <w:gridSpan w:val="5"/>
            <w:noWrap w:val="0"/>
            <w:vAlign w:val="center"/>
          </w:tcPr>
          <w:p w14:paraId="3230C17D">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投标报价（小写）</w:t>
            </w:r>
          </w:p>
        </w:tc>
        <w:tc>
          <w:tcPr>
            <w:tcW w:w="5168" w:type="dxa"/>
            <w:gridSpan w:val="6"/>
            <w:noWrap w:val="0"/>
            <w:vAlign w:val="center"/>
          </w:tcPr>
          <w:p w14:paraId="011CD6FF">
            <w:pPr>
              <w:spacing w:line="260" w:lineRule="exact"/>
              <w:jc w:val="center"/>
              <w:rPr>
                <w:rFonts w:hint="eastAsia" w:ascii="宋体" w:hAnsi="宋体" w:eastAsia="宋体" w:cs="宋体"/>
                <w:bCs/>
                <w:color w:val="auto"/>
                <w:sz w:val="22"/>
                <w:highlight w:val="none"/>
              </w:rPr>
            </w:pPr>
          </w:p>
        </w:tc>
      </w:tr>
      <w:tr w14:paraId="23C0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9" w:type="dxa"/>
            <w:gridSpan w:val="5"/>
            <w:noWrap w:val="0"/>
            <w:vAlign w:val="center"/>
          </w:tcPr>
          <w:p w14:paraId="374D7213">
            <w:pPr>
              <w:spacing w:line="260" w:lineRule="exact"/>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投标报价（大写）</w:t>
            </w:r>
          </w:p>
        </w:tc>
        <w:tc>
          <w:tcPr>
            <w:tcW w:w="5168" w:type="dxa"/>
            <w:gridSpan w:val="6"/>
            <w:noWrap w:val="0"/>
            <w:vAlign w:val="center"/>
          </w:tcPr>
          <w:p w14:paraId="00CB47A0">
            <w:pPr>
              <w:spacing w:line="260" w:lineRule="exact"/>
              <w:jc w:val="center"/>
              <w:rPr>
                <w:rFonts w:hint="eastAsia" w:ascii="宋体" w:hAnsi="宋体" w:eastAsia="宋体" w:cs="宋体"/>
                <w:bCs/>
                <w:color w:val="auto"/>
                <w:sz w:val="22"/>
                <w:highlight w:val="none"/>
              </w:rPr>
            </w:pPr>
          </w:p>
        </w:tc>
      </w:tr>
    </w:tbl>
    <w:p w14:paraId="1F48B238">
      <w:pPr>
        <w:spacing w:line="2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p>
    <w:p w14:paraId="1F9C65A0">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p w14:paraId="6F81C79E">
      <w:pPr>
        <w:numPr>
          <w:ilvl w:val="0"/>
          <w:numId w:val="6"/>
        </w:numPr>
        <w:spacing w:line="360" w:lineRule="exact"/>
        <w:jc w:val="left"/>
        <w:rPr>
          <w:rFonts w:hint="eastAsia" w:ascii="宋体" w:hAnsi="宋体" w:eastAsia="宋体" w:cs="宋体"/>
          <w:b/>
          <w:bCs/>
          <w:color w:val="auto"/>
          <w:sz w:val="22"/>
          <w:highlight w:val="none"/>
          <w:lang w:val="zh-CN"/>
        </w:rPr>
      </w:pPr>
      <w:r>
        <w:rPr>
          <w:rFonts w:hint="eastAsia" w:ascii="宋体" w:hAnsi="宋体" w:eastAsia="宋体" w:cs="宋体"/>
          <w:color w:val="auto"/>
          <w:sz w:val="22"/>
          <w:highlight w:val="none"/>
        </w:rPr>
        <w:t>“报价明细表”内“投标总价”应与附件1“开标一览表”中“投标总报价”相一致。</w:t>
      </w:r>
    </w:p>
    <w:p w14:paraId="09E90377">
      <w:pPr>
        <w:numPr>
          <w:ilvl w:val="0"/>
          <w:numId w:val="6"/>
        </w:numPr>
        <w:spacing w:line="360" w:lineRule="exact"/>
        <w:rPr>
          <w:rFonts w:hint="eastAsia" w:ascii="宋体" w:hAnsi="宋体" w:eastAsia="宋体" w:cs="宋体"/>
          <w:color w:val="auto"/>
          <w:kern w:val="0"/>
          <w:sz w:val="22"/>
          <w:highlight w:val="none"/>
          <w:u w:val="thick"/>
          <w:lang w:val="zh-CN"/>
        </w:rPr>
      </w:pPr>
      <w:r>
        <w:rPr>
          <w:rFonts w:hint="eastAsia" w:ascii="宋体" w:hAnsi="宋体" w:eastAsia="宋体" w:cs="宋体"/>
          <w:color w:val="auto"/>
          <w:sz w:val="22"/>
          <w:highlight w:val="none"/>
          <w:u w:val="thick"/>
        </w:rPr>
        <w:t>▲</w:t>
      </w:r>
      <w:r>
        <w:rPr>
          <w:rFonts w:hint="eastAsia" w:ascii="宋体" w:hAnsi="宋体" w:eastAsia="宋体" w:cs="宋体"/>
          <w:color w:val="auto"/>
          <w:kern w:val="0"/>
          <w:sz w:val="22"/>
          <w:highlight w:val="none"/>
          <w:u w:val="thick"/>
          <w:lang w:val="zh-CN"/>
        </w:rPr>
        <w:t>不提供此表的报价，视为没有实质性响应采购文件要求。</w:t>
      </w:r>
    </w:p>
    <w:p w14:paraId="0E12ADFD">
      <w:pPr>
        <w:numPr>
          <w:ilvl w:val="0"/>
          <w:numId w:val="6"/>
        </w:numPr>
        <w:spacing w:line="360" w:lineRule="exac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本项目为</w:t>
      </w:r>
      <w:r>
        <w:rPr>
          <w:rFonts w:hint="eastAsia" w:ascii="宋体" w:hAnsi="宋体" w:eastAsia="宋体" w:cs="宋体"/>
          <w:color w:val="auto"/>
          <w:sz w:val="22"/>
          <w:highlight w:val="none"/>
        </w:rPr>
        <w:t>总价合同，</w:t>
      </w:r>
      <w:r>
        <w:rPr>
          <w:rFonts w:hint="eastAsia" w:ascii="宋体" w:hAnsi="宋体" w:eastAsia="宋体" w:cs="宋体"/>
          <w:color w:val="auto"/>
          <w:kern w:val="0"/>
          <w:sz w:val="22"/>
          <w:highlight w:val="none"/>
          <w:lang w:val="zh-CN"/>
        </w:rPr>
        <w:t>有关本项目实施所涉及的一切费用均计入报价。</w:t>
      </w:r>
      <w:r>
        <w:rPr>
          <w:rFonts w:hint="eastAsia" w:ascii="宋体" w:hAnsi="宋体" w:eastAsia="宋体" w:cs="宋体"/>
          <w:b/>
          <w:color w:val="auto"/>
          <w:kern w:val="0"/>
          <w:sz w:val="22"/>
          <w:highlight w:val="none"/>
          <w:lang w:val="zh-CN"/>
        </w:rPr>
        <w:t>采购人将以合同形式有偿取得货物或服务，不接受供应商给予的赠品、回扣或者与采购无关的其他商品、服务；采购内容未包含在《</w:t>
      </w:r>
      <w:r>
        <w:rPr>
          <w:rFonts w:hint="eastAsia" w:ascii="宋体" w:hAnsi="宋体" w:eastAsia="宋体" w:cs="宋体"/>
          <w:b/>
          <w:color w:val="auto"/>
          <w:kern w:val="0"/>
          <w:sz w:val="22"/>
          <w:highlight w:val="none"/>
        </w:rPr>
        <w:t>报价明细表</w:t>
      </w:r>
      <w:r>
        <w:rPr>
          <w:rFonts w:hint="eastAsia" w:ascii="宋体" w:hAnsi="宋体" w:eastAsia="宋体" w:cs="宋体"/>
          <w:b/>
          <w:color w:val="auto"/>
          <w:kern w:val="0"/>
          <w:sz w:val="22"/>
          <w:highlight w:val="none"/>
          <w:lang w:val="zh-CN"/>
        </w:rPr>
        <w:t>》名称栏中，供应商不能作出合理解释的，</w:t>
      </w:r>
      <w:r>
        <w:rPr>
          <w:rFonts w:hint="eastAsia" w:ascii="宋体" w:hAnsi="宋体" w:eastAsia="宋体" w:cs="宋体"/>
          <w:b/>
          <w:color w:val="auto"/>
          <w:kern w:val="0"/>
          <w:sz w:val="22"/>
          <w:highlight w:val="none"/>
        </w:rPr>
        <w:t>视为</w:t>
      </w:r>
      <w:r>
        <w:rPr>
          <w:rFonts w:hint="eastAsia" w:ascii="宋体" w:hAnsi="宋体" w:eastAsia="宋体" w:cs="宋体"/>
          <w:b/>
          <w:color w:val="auto"/>
          <w:sz w:val="22"/>
          <w:highlight w:val="none"/>
        </w:rPr>
        <w:t>投标文件含有采购人不能接受的附加条件的，投标无效。</w:t>
      </w:r>
    </w:p>
    <w:p w14:paraId="25716CC6">
      <w:pPr>
        <w:spacing w:line="320" w:lineRule="exact"/>
        <w:rPr>
          <w:rFonts w:hint="eastAsia" w:ascii="宋体" w:hAnsi="宋体" w:eastAsia="宋体" w:cs="宋体"/>
          <w:color w:val="auto"/>
          <w:szCs w:val="21"/>
          <w:highlight w:val="none"/>
        </w:rPr>
      </w:pPr>
    </w:p>
    <w:p w14:paraId="74837AAC">
      <w:pPr>
        <w:spacing w:line="320" w:lineRule="exact"/>
        <w:rPr>
          <w:rFonts w:hint="eastAsia" w:ascii="宋体" w:hAnsi="宋体" w:eastAsia="宋体" w:cs="宋体"/>
          <w:color w:val="auto"/>
          <w:szCs w:val="21"/>
          <w:highlight w:val="none"/>
        </w:rPr>
      </w:pPr>
    </w:p>
    <w:p w14:paraId="37F1B9A2">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投标人全称(公章或电子签章)：</w:t>
      </w:r>
    </w:p>
    <w:p w14:paraId="0CD0A925">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14:paraId="70EFF7F1">
      <w:pPr>
        <w:pageBreakBefore w:val="0"/>
        <w:kinsoku/>
        <w:wordWrap w:val="0"/>
        <w:topLinePunct w:val="0"/>
        <w:bidi w:val="0"/>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0724BA8B">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03A4680">
      <w:pPr>
        <w:pageBreakBefore w:val="0"/>
        <w:kinsoku/>
        <w:wordWrap w:val="0"/>
        <w:topLinePunct w:val="0"/>
        <w:bidi w:val="0"/>
        <w:snapToGrid w:val="0"/>
        <w:spacing w:before="120" w:beforeLines="50" w:after="50"/>
        <w:jc w:val="center"/>
        <w:outlineLvl w:val="1"/>
        <w:rPr>
          <w:rFonts w:hint="eastAsia" w:ascii="宋体" w:hAnsi="宋体" w:eastAsia="宋体" w:cs="宋体"/>
          <w:b/>
          <w:color w:val="auto"/>
          <w:sz w:val="28"/>
          <w:szCs w:val="28"/>
          <w:highlight w:val="none"/>
        </w:rPr>
      </w:pPr>
      <w:bookmarkStart w:id="49" w:name="_Toc9236"/>
      <w:r>
        <w:rPr>
          <w:rFonts w:hint="eastAsia" w:ascii="宋体" w:hAnsi="宋体" w:eastAsia="宋体" w:cs="宋体"/>
          <w:b/>
          <w:bCs/>
          <w:color w:val="auto"/>
          <w:sz w:val="28"/>
          <w:szCs w:val="28"/>
          <w:highlight w:val="none"/>
        </w:rPr>
        <w:t>二、资格文件部分封面格式</w:t>
      </w:r>
      <w:bookmarkEnd w:id="49"/>
    </w:p>
    <w:p w14:paraId="4B41FFC0">
      <w:pPr>
        <w:pageBreakBefore w:val="0"/>
        <w:kinsoku/>
        <w:wordWrap w:val="0"/>
        <w:topLinePunct w:val="0"/>
        <w:bidi w:val="0"/>
        <w:snapToGrid w:val="0"/>
        <w:spacing w:before="50" w:after="120" w:afterLines="5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rPr>
        <w:t>文件封面格式：</w:t>
      </w:r>
    </w:p>
    <w:p w14:paraId="23F0A5A9">
      <w:pPr>
        <w:pStyle w:val="13"/>
        <w:pageBreakBefore w:val="0"/>
        <w:kinsoku/>
        <w:wordWrap w:val="0"/>
        <w:topLinePunct w:val="0"/>
        <w:bidi w:val="0"/>
        <w:ind w:left="0" w:leftChars="0" w:right="1470"/>
        <w:rPr>
          <w:rFonts w:hint="eastAsia" w:ascii="宋体" w:hAnsi="宋体" w:eastAsia="宋体" w:cs="宋体"/>
          <w:b/>
          <w:color w:val="auto"/>
          <w:sz w:val="24"/>
          <w:szCs w:val="24"/>
          <w:highlight w:val="none"/>
        </w:rPr>
      </w:pPr>
    </w:p>
    <w:p w14:paraId="34783FE3">
      <w:pPr>
        <w:pageBreakBefore w:val="0"/>
        <w:kinsoku/>
        <w:wordWrap w:val="0"/>
        <w:topLinePunct w:val="0"/>
        <w:bidi w:val="0"/>
        <w:snapToGrid w:val="0"/>
        <w:spacing w:line="400" w:lineRule="exact"/>
        <w:jc w:val="center"/>
        <w:outlineLvl w:val="9"/>
        <w:rPr>
          <w:rFonts w:hint="eastAsia" w:ascii="宋体" w:hAnsi="宋体" w:eastAsia="宋体" w:cs="宋体"/>
          <w:b/>
          <w:bCs/>
          <w:color w:val="auto"/>
          <w:sz w:val="24"/>
          <w:szCs w:val="20"/>
          <w:highlight w:val="none"/>
        </w:rPr>
      </w:pPr>
    </w:p>
    <w:p w14:paraId="14619D79">
      <w:pPr>
        <w:pageBreakBefore w:val="0"/>
        <w:kinsoku/>
        <w:wordWrap w:val="0"/>
        <w:topLinePunct w:val="0"/>
        <w:bidi w:val="0"/>
        <w:snapToGrid w:val="0"/>
        <w:spacing w:line="400" w:lineRule="exact"/>
        <w:jc w:val="center"/>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2"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8689DD">
                            <w:pPr>
                              <w:snapToGrid w:val="0"/>
                              <w:spacing w:before="120" w:beforeLines="50" w:after="50"/>
                              <w:ind w:left="-850" w:leftChars="-405"/>
                              <w:rPr>
                                <w:rFonts w:ascii="宋体" w:hAnsi="宋体"/>
                                <w:sz w:val="24"/>
                                <w:szCs w:val="20"/>
                              </w:rPr>
                            </w:pPr>
                          </w:p>
                          <w:p w14:paraId="017B3986">
                            <w:pPr>
                              <w:pStyle w:val="31"/>
                              <w:ind w:hanging="480"/>
                            </w:pPr>
                          </w:p>
                          <w:p w14:paraId="0661118E">
                            <w:pPr>
                              <w:snapToGrid w:val="0"/>
                              <w:spacing w:before="120" w:beforeLines="50" w:after="50"/>
                              <w:jc w:val="center"/>
                              <w:rPr>
                                <w:rFonts w:ascii="宋体" w:hAnsi="宋体"/>
                                <w:bCs/>
                                <w:sz w:val="24"/>
                                <w:szCs w:val="20"/>
                              </w:rPr>
                            </w:pPr>
                            <w:r>
                              <w:rPr>
                                <w:rFonts w:hint="eastAsia" w:ascii="宋体" w:hAnsi="宋体"/>
                                <w:bCs/>
                                <w:sz w:val="24"/>
                                <w:szCs w:val="20"/>
                                <w:lang w:val="en-US" w:eastAsia="zh-CN"/>
                              </w:rPr>
                              <w:t>资格</w:t>
                            </w:r>
                            <w:r>
                              <w:rPr>
                                <w:rFonts w:hint="eastAsia" w:ascii="宋体" w:hAnsi="宋体"/>
                                <w:bCs/>
                                <w:sz w:val="24"/>
                                <w:szCs w:val="20"/>
                              </w:rPr>
                              <w:t>文件</w:t>
                            </w:r>
                          </w:p>
                          <w:p w14:paraId="688CB796">
                            <w:pPr>
                              <w:snapToGrid w:val="0"/>
                              <w:spacing w:before="120" w:beforeLines="50" w:after="50"/>
                              <w:rPr>
                                <w:rFonts w:ascii="宋体" w:hAnsi="宋体"/>
                                <w:bCs/>
                                <w:sz w:val="24"/>
                                <w:szCs w:val="20"/>
                              </w:rPr>
                            </w:pPr>
                          </w:p>
                          <w:p w14:paraId="42701F9A">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02B06689">
                            <w:pPr>
                              <w:snapToGrid w:val="0"/>
                              <w:spacing w:before="120" w:beforeLines="50" w:after="50"/>
                              <w:ind w:firstLine="1068" w:firstLineChars="445"/>
                              <w:rPr>
                                <w:rFonts w:hint="eastAsia" w:ascii="宋体" w:hAnsi="宋体"/>
                                <w:bCs/>
                                <w:sz w:val="24"/>
                                <w:lang w:val="en-US" w:eastAsia="zh-CN"/>
                              </w:rPr>
                            </w:pPr>
                            <w:r>
                              <w:rPr>
                                <w:rFonts w:hint="eastAsia" w:ascii="宋体" w:hAnsi="宋体"/>
                                <w:bCs/>
                                <w:sz w:val="24"/>
                                <w:lang w:val="en-US" w:eastAsia="zh-CN"/>
                              </w:rPr>
                              <w:t>标项：</w:t>
                            </w:r>
                          </w:p>
                          <w:p w14:paraId="31BF9D42">
                            <w:pPr>
                              <w:snapToGrid w:val="0"/>
                              <w:spacing w:before="120" w:beforeLines="50" w:after="50"/>
                              <w:ind w:firstLine="1068" w:firstLineChars="445"/>
                              <w:rPr>
                                <w:rFonts w:hint="default" w:ascii="宋体" w:hAnsi="宋体"/>
                                <w:bCs/>
                                <w:sz w:val="24"/>
                                <w:lang w:val="en-US" w:eastAsia="zh-CN"/>
                              </w:rPr>
                            </w:pPr>
                            <w:r>
                              <w:rPr>
                                <w:rFonts w:hint="eastAsia" w:ascii="宋体" w:hAnsi="宋体"/>
                                <w:bCs/>
                                <w:sz w:val="24"/>
                                <w:lang w:val="en-US" w:eastAsia="zh-CN"/>
                              </w:rPr>
                              <w:t>标项名称：</w:t>
                            </w:r>
                          </w:p>
                          <w:p w14:paraId="589BD439">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3AE1781D">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12DA0D57">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4EB80268">
                            <w:pPr>
                              <w:snapToGrid w:val="0"/>
                              <w:spacing w:before="120" w:beforeLines="50" w:after="50"/>
                              <w:ind w:firstLine="1068" w:firstLineChars="445"/>
                              <w:rPr>
                                <w:rFonts w:ascii="宋体" w:hAnsi="宋体"/>
                                <w:bCs/>
                                <w:sz w:val="24"/>
                              </w:rPr>
                            </w:pPr>
                          </w:p>
                          <w:p w14:paraId="6A9B7CF3">
                            <w:pPr>
                              <w:snapToGrid w:val="0"/>
                              <w:spacing w:before="120" w:beforeLines="50" w:after="50"/>
                              <w:ind w:firstLine="4080" w:firstLineChars="1700"/>
                              <w:rPr>
                                <w:rFonts w:ascii="宋体" w:hAnsi="宋体"/>
                                <w:sz w:val="24"/>
                                <w:szCs w:val="20"/>
                              </w:rPr>
                            </w:pPr>
                          </w:p>
                          <w:p w14:paraId="49F895B3">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6540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&#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osQ32QAAAAkBAAAPAAAAAAAAAAEAIAAAACIAAABk&#10;cnMvZG93bnJldi54bWxQSwECFAAUAAAACACHTuJAaqDo+gUCAABGBAAADgAAAAAAAAABACAAAAAo&#10;AQAAZHJzL2Uyb0RvYy54bWxQSwUGAAAAAAYABgBZAQAAnwUAAAAA&#10;">
                <v:fill on="t" focussize="0,0"/>
                <v:stroke color="#000000" joinstyle="miter"/>
                <v:imagedata o:title=""/>
                <o:lock v:ext="edit" aspectratio="f"/>
                <v:textbox>
                  <w:txbxContent>
                    <w:p w14:paraId="048689DD">
                      <w:pPr>
                        <w:snapToGrid w:val="0"/>
                        <w:spacing w:before="120" w:beforeLines="50" w:after="50"/>
                        <w:ind w:left="-850" w:leftChars="-405"/>
                        <w:rPr>
                          <w:rFonts w:ascii="宋体" w:hAnsi="宋体"/>
                          <w:sz w:val="24"/>
                          <w:szCs w:val="20"/>
                        </w:rPr>
                      </w:pPr>
                    </w:p>
                    <w:p w14:paraId="017B3986">
                      <w:pPr>
                        <w:pStyle w:val="31"/>
                        <w:ind w:hanging="480"/>
                      </w:pPr>
                    </w:p>
                    <w:p w14:paraId="0661118E">
                      <w:pPr>
                        <w:snapToGrid w:val="0"/>
                        <w:spacing w:before="120" w:beforeLines="50" w:after="50"/>
                        <w:jc w:val="center"/>
                        <w:rPr>
                          <w:rFonts w:ascii="宋体" w:hAnsi="宋体"/>
                          <w:bCs/>
                          <w:sz w:val="24"/>
                          <w:szCs w:val="20"/>
                        </w:rPr>
                      </w:pPr>
                      <w:r>
                        <w:rPr>
                          <w:rFonts w:hint="eastAsia" w:ascii="宋体" w:hAnsi="宋体"/>
                          <w:bCs/>
                          <w:sz w:val="24"/>
                          <w:szCs w:val="20"/>
                          <w:lang w:val="en-US" w:eastAsia="zh-CN"/>
                        </w:rPr>
                        <w:t>资格</w:t>
                      </w:r>
                      <w:r>
                        <w:rPr>
                          <w:rFonts w:hint="eastAsia" w:ascii="宋体" w:hAnsi="宋体"/>
                          <w:bCs/>
                          <w:sz w:val="24"/>
                          <w:szCs w:val="20"/>
                        </w:rPr>
                        <w:t>文件</w:t>
                      </w:r>
                    </w:p>
                    <w:p w14:paraId="688CB796">
                      <w:pPr>
                        <w:snapToGrid w:val="0"/>
                        <w:spacing w:before="120" w:beforeLines="50" w:after="50"/>
                        <w:rPr>
                          <w:rFonts w:ascii="宋体" w:hAnsi="宋体"/>
                          <w:bCs/>
                          <w:sz w:val="24"/>
                          <w:szCs w:val="20"/>
                        </w:rPr>
                      </w:pPr>
                    </w:p>
                    <w:p w14:paraId="42701F9A">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02B06689">
                      <w:pPr>
                        <w:snapToGrid w:val="0"/>
                        <w:spacing w:before="120" w:beforeLines="50" w:after="50"/>
                        <w:ind w:firstLine="1068" w:firstLineChars="445"/>
                        <w:rPr>
                          <w:rFonts w:hint="eastAsia" w:ascii="宋体" w:hAnsi="宋体"/>
                          <w:bCs/>
                          <w:sz w:val="24"/>
                          <w:lang w:val="en-US" w:eastAsia="zh-CN"/>
                        </w:rPr>
                      </w:pPr>
                      <w:r>
                        <w:rPr>
                          <w:rFonts w:hint="eastAsia" w:ascii="宋体" w:hAnsi="宋体"/>
                          <w:bCs/>
                          <w:sz w:val="24"/>
                          <w:lang w:val="en-US" w:eastAsia="zh-CN"/>
                        </w:rPr>
                        <w:t>标项：</w:t>
                      </w:r>
                    </w:p>
                    <w:p w14:paraId="31BF9D42">
                      <w:pPr>
                        <w:snapToGrid w:val="0"/>
                        <w:spacing w:before="120" w:beforeLines="50" w:after="50"/>
                        <w:ind w:firstLine="1068" w:firstLineChars="445"/>
                        <w:rPr>
                          <w:rFonts w:hint="default" w:ascii="宋体" w:hAnsi="宋体"/>
                          <w:bCs/>
                          <w:sz w:val="24"/>
                          <w:lang w:val="en-US" w:eastAsia="zh-CN"/>
                        </w:rPr>
                      </w:pPr>
                      <w:r>
                        <w:rPr>
                          <w:rFonts w:hint="eastAsia" w:ascii="宋体" w:hAnsi="宋体"/>
                          <w:bCs/>
                          <w:sz w:val="24"/>
                          <w:lang w:val="en-US" w:eastAsia="zh-CN"/>
                        </w:rPr>
                        <w:t>标项名称：</w:t>
                      </w:r>
                    </w:p>
                    <w:p w14:paraId="589BD439">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3AE1781D">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12DA0D57">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4EB80268">
                      <w:pPr>
                        <w:snapToGrid w:val="0"/>
                        <w:spacing w:before="120" w:beforeLines="50" w:after="50"/>
                        <w:ind w:firstLine="1068" w:firstLineChars="445"/>
                        <w:rPr>
                          <w:rFonts w:ascii="宋体" w:hAnsi="宋体"/>
                          <w:bCs/>
                          <w:sz w:val="24"/>
                        </w:rPr>
                      </w:pPr>
                    </w:p>
                    <w:p w14:paraId="6A9B7CF3">
                      <w:pPr>
                        <w:snapToGrid w:val="0"/>
                        <w:spacing w:before="120" w:beforeLines="50" w:after="50"/>
                        <w:ind w:firstLine="4080" w:firstLineChars="1700"/>
                        <w:rPr>
                          <w:rFonts w:ascii="宋体" w:hAnsi="宋体"/>
                          <w:sz w:val="24"/>
                          <w:szCs w:val="20"/>
                        </w:rPr>
                      </w:pPr>
                    </w:p>
                    <w:p w14:paraId="49F895B3">
                      <w:pPr>
                        <w:jc w:val="center"/>
                      </w:pPr>
                      <w:r>
                        <w:rPr>
                          <w:rFonts w:hint="eastAsia"/>
                          <w:sz w:val="24"/>
                        </w:rPr>
                        <w:t>年     月     日</w:t>
                      </w:r>
                    </w:p>
                  </w:txbxContent>
                </v:textbox>
                <w10:wrap type="topAndBottom"/>
              </v:shape>
            </w:pict>
          </mc:Fallback>
        </mc:AlternateContent>
      </w:r>
    </w:p>
    <w:p w14:paraId="0296D6A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9A0CFCC">
      <w:pPr>
        <w:pageBreakBefore w:val="0"/>
        <w:kinsoku/>
        <w:wordWrap w:val="0"/>
        <w:topLinePunct w:val="0"/>
        <w:bidi w:val="0"/>
        <w:spacing w:line="4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lang w:eastAsia="zh-CN"/>
        </w:rPr>
        <w:t>附件3</w:t>
      </w:r>
      <w:r>
        <w:rPr>
          <w:rFonts w:hint="eastAsia" w:ascii="宋体" w:hAnsi="宋体" w:eastAsia="宋体" w:cs="宋体"/>
          <w:b/>
          <w:color w:val="auto"/>
          <w:sz w:val="24"/>
          <w:szCs w:val="24"/>
          <w:highlight w:val="none"/>
        </w:rPr>
        <w:t xml:space="preserve">  </w:t>
      </w:r>
    </w:p>
    <w:p w14:paraId="43575EE5">
      <w:pPr>
        <w:pageBreakBefore w:val="0"/>
        <w:kinsoku/>
        <w:wordWrap w:val="0"/>
        <w:topLinePunct w:val="0"/>
        <w:bidi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资格文件</w:t>
      </w:r>
    </w:p>
    <w:p w14:paraId="5DA1DF9C">
      <w:pPr>
        <w:pStyle w:val="13"/>
        <w:pageBreakBefore w:val="0"/>
        <w:kinsoku/>
        <w:wordWrap w:val="0"/>
        <w:topLinePunct w:val="0"/>
        <w:bidi w:val="0"/>
        <w:spacing w:after="0" w:line="400" w:lineRule="exact"/>
        <w:ind w:left="0" w:leftChars="0" w:right="1470"/>
        <w:rPr>
          <w:rFonts w:hint="eastAsia" w:ascii="宋体" w:hAnsi="宋体" w:eastAsia="宋体" w:cs="宋体"/>
          <w:color w:val="auto"/>
          <w:highlight w:val="none"/>
        </w:rPr>
      </w:pPr>
    </w:p>
    <w:p w14:paraId="4579C1CA">
      <w:pPr>
        <w:pageBreakBefore w:val="0"/>
        <w:kinsoku/>
        <w:wordWrap w:val="0"/>
        <w:topLinePunct w:val="0"/>
        <w:bidi w:val="0"/>
        <w:snapToGrid w:val="0"/>
        <w:spacing w:line="400" w:lineRule="exact"/>
        <w:rPr>
          <w:rFonts w:hint="eastAsia" w:ascii="宋体" w:hAnsi="宋体" w:eastAsia="宋体" w:cs="宋体"/>
          <w:b/>
          <w:color w:val="auto"/>
          <w:spacing w:val="-6"/>
          <w:sz w:val="24"/>
          <w:szCs w:val="24"/>
          <w:highlight w:val="none"/>
        </w:rPr>
      </w:pPr>
    </w:p>
    <w:p w14:paraId="3ACEAEC0">
      <w:pPr>
        <w:pageBreakBefore w:val="0"/>
        <w:kinsoku/>
        <w:wordWrap w:val="0"/>
        <w:topLinePunct w:val="0"/>
        <w:bidi w:val="0"/>
        <w:spacing w:line="400" w:lineRule="exact"/>
        <w:rPr>
          <w:rFonts w:hint="eastAsia" w:ascii="宋体" w:hAnsi="宋体" w:eastAsia="宋体" w:cs="宋体"/>
          <w:b/>
          <w:color w:val="auto"/>
          <w:sz w:val="22"/>
          <w:highlight w:val="none"/>
        </w:rPr>
      </w:pPr>
      <w:r>
        <w:rPr>
          <w:rFonts w:hint="eastAsia" w:ascii="宋体" w:hAnsi="宋体" w:eastAsia="宋体" w:cs="宋体"/>
          <w:b/>
          <w:color w:val="auto"/>
          <w:sz w:val="22"/>
          <w:highlight w:val="none"/>
          <w:lang w:eastAsia="zh-CN"/>
        </w:rPr>
        <w:t>附件3</w:t>
      </w:r>
      <w:r>
        <w:rPr>
          <w:rFonts w:hint="eastAsia" w:ascii="宋体" w:hAnsi="宋体" w:eastAsia="宋体" w:cs="宋体"/>
          <w:b/>
          <w:color w:val="auto"/>
          <w:sz w:val="22"/>
          <w:highlight w:val="none"/>
        </w:rPr>
        <w:t>-1</w:t>
      </w:r>
    </w:p>
    <w:p w14:paraId="39C31449">
      <w:pPr>
        <w:pageBreakBefore w:val="0"/>
        <w:kinsoku/>
        <w:wordWrap w:val="0"/>
        <w:topLinePunct w:val="0"/>
        <w:bidi w:val="0"/>
        <w:spacing w:line="360" w:lineRule="auto"/>
        <w:jc w:val="center"/>
        <w:rPr>
          <w:rFonts w:hint="eastAsia" w:ascii="宋体" w:hAnsi="宋体" w:eastAsia="宋体" w:cs="宋体"/>
          <w:b/>
          <w:color w:val="auto"/>
          <w:sz w:val="22"/>
          <w:highlight w:val="none"/>
        </w:rPr>
      </w:pPr>
    </w:p>
    <w:p w14:paraId="3A2C02C3">
      <w:pPr>
        <w:pageBreakBefore w:val="0"/>
        <w:kinsoku/>
        <w:wordWrap w:val="0"/>
        <w:topLinePunct w:val="0"/>
        <w:bidi w:val="0"/>
        <w:spacing w:line="360" w:lineRule="auto"/>
        <w:jc w:val="cente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有效的法人或者其他组织的营业执照等证明文件，自然人的身份证明（五选一）</w:t>
      </w:r>
    </w:p>
    <w:p w14:paraId="6EC4061C">
      <w:pPr>
        <w:pageBreakBefore w:val="0"/>
        <w:kinsoku/>
        <w:wordWrap w:val="0"/>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2"/>
          <w:highlight w:val="none"/>
          <w:u w:val="single"/>
        </w:rPr>
        <w:t>（如为联合体投标，则联合体各方均须提供）</w:t>
      </w:r>
    </w:p>
    <w:p w14:paraId="5FE766AA">
      <w:pPr>
        <w:pageBreakBefore w:val="0"/>
        <w:kinsoku/>
        <w:wordWrap w:val="0"/>
        <w:topLinePunct w:val="0"/>
        <w:bidi w:val="0"/>
        <w:spacing w:line="360" w:lineRule="auto"/>
        <w:rPr>
          <w:rFonts w:hint="eastAsia" w:ascii="宋体" w:hAnsi="宋体" w:eastAsia="宋体" w:cs="宋体"/>
          <w:b/>
          <w:color w:val="auto"/>
          <w:sz w:val="22"/>
          <w:highlight w:val="none"/>
        </w:rPr>
      </w:pPr>
    </w:p>
    <w:p w14:paraId="3B7CD273">
      <w:pPr>
        <w:pageBreakBefore w:val="0"/>
        <w:kinsoku/>
        <w:wordWrap w:val="0"/>
        <w:topLinePunct w:val="0"/>
        <w:bidi w:val="0"/>
        <w:spacing w:line="360" w:lineRule="auto"/>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说明：</w:t>
      </w:r>
    </w:p>
    <w:p w14:paraId="6CAF3C8E">
      <w:pPr>
        <w:pStyle w:val="23"/>
        <w:pageBreakBefore w:val="0"/>
        <w:kinsoku/>
        <w:wordWrap w:val="0"/>
        <w:topLinePunct w:val="0"/>
        <w:bidi w:val="0"/>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1.如投标人是企业（包括合伙企业），提供有效“企业法人营业执照”或“营业执照”；</w:t>
      </w:r>
    </w:p>
    <w:p w14:paraId="3950D987">
      <w:pPr>
        <w:pStyle w:val="23"/>
        <w:pageBreakBefore w:val="0"/>
        <w:kinsoku/>
        <w:wordWrap w:val="0"/>
        <w:topLinePunct w:val="0"/>
        <w:bidi w:val="0"/>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2.如投标人是事业单位，提供有效的“事业单位法人证书”；</w:t>
      </w:r>
    </w:p>
    <w:p w14:paraId="6331B01E">
      <w:pPr>
        <w:pStyle w:val="23"/>
        <w:pageBreakBefore w:val="0"/>
        <w:kinsoku/>
        <w:wordWrap w:val="0"/>
        <w:topLinePunct w:val="0"/>
        <w:bidi w:val="0"/>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3.如投标人是非企业专业服务机构的，提供执业许可证等证明文件；</w:t>
      </w:r>
    </w:p>
    <w:p w14:paraId="3CBEE640">
      <w:pPr>
        <w:pStyle w:val="23"/>
        <w:pageBreakBefore w:val="0"/>
        <w:kinsoku/>
        <w:wordWrap w:val="0"/>
        <w:topLinePunct w:val="0"/>
        <w:bidi w:val="0"/>
        <w:spacing w:line="360" w:lineRule="auto"/>
        <w:ind w:left="418" w:hanging="418"/>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4.如投标人是个体工商户，提供有效的“个体工商户营业执照”；</w:t>
      </w:r>
    </w:p>
    <w:p w14:paraId="60F59378">
      <w:pPr>
        <w:pStyle w:val="23"/>
        <w:pageBreakBefore w:val="0"/>
        <w:kinsoku/>
        <w:wordWrap w:val="0"/>
        <w:topLinePunct w:val="0"/>
        <w:bidi w:val="0"/>
        <w:spacing w:line="360" w:lineRule="auto"/>
        <w:ind w:left="418" w:hanging="418"/>
        <w:rPr>
          <w:rFonts w:hint="eastAsia" w:ascii="宋体" w:hAnsi="宋体" w:eastAsia="宋体" w:cs="宋体"/>
          <w:color w:val="auto"/>
          <w:sz w:val="22"/>
          <w:highlight w:val="none"/>
        </w:rPr>
      </w:pPr>
      <w:r>
        <w:rPr>
          <w:rFonts w:hint="eastAsia" w:ascii="宋体" w:hAnsi="宋体" w:eastAsia="宋体" w:cs="宋体"/>
          <w:b/>
          <w:color w:val="auto"/>
          <w:spacing w:val="-6"/>
          <w:sz w:val="22"/>
          <w:highlight w:val="none"/>
        </w:rPr>
        <w:t>5.如投标人是自然人，提供有效的自然人身份证明（居民身份证正反面或公安机关出具的临时居民身份证正反面或港澳台胞证或证照）。</w:t>
      </w:r>
    </w:p>
    <w:p w14:paraId="4331D25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68A8E8E">
      <w:pPr>
        <w:pageBreakBefore w:val="0"/>
        <w:kinsoku/>
        <w:wordWrap w:val="0"/>
        <w:topLinePunct w:val="0"/>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附件3</w:t>
      </w:r>
      <w:r>
        <w:rPr>
          <w:rFonts w:hint="eastAsia" w:ascii="宋体" w:hAnsi="宋体" w:eastAsia="宋体" w:cs="宋体"/>
          <w:b/>
          <w:color w:val="auto"/>
          <w:sz w:val="24"/>
          <w:szCs w:val="24"/>
          <w:highlight w:val="none"/>
        </w:rPr>
        <w:t>-2</w:t>
      </w:r>
    </w:p>
    <w:p w14:paraId="6BFEB055">
      <w:pPr>
        <w:pStyle w:val="30"/>
        <w:pageBreakBefore w:val="0"/>
        <w:kinsoku/>
        <w:wordWrap w:val="0"/>
        <w:topLinePunct w:val="0"/>
        <w:bidi w:val="0"/>
        <w:ind w:firstLine="321"/>
        <w:rPr>
          <w:rFonts w:hint="eastAsia" w:ascii="宋体" w:hAnsi="宋体" w:eastAsia="宋体" w:cs="宋体"/>
          <w:color w:val="auto"/>
          <w:highlight w:val="none"/>
        </w:rPr>
      </w:pPr>
    </w:p>
    <w:p w14:paraId="0970B23A">
      <w:pPr>
        <w:pageBreakBefore w:val="0"/>
        <w:kinsoku/>
        <w:wordWrap w:val="0"/>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关于符合《中华人民共和国政府采购法》第二十二条规定的承诺函</w:t>
      </w:r>
    </w:p>
    <w:p w14:paraId="085EC2F7">
      <w:pPr>
        <w:pageBreakBefore w:val="0"/>
        <w:kinsoku/>
        <w:wordWrap w:val="0"/>
        <w:topLinePunct w:val="0"/>
        <w:bidi w:val="0"/>
        <w:spacing w:line="360" w:lineRule="auto"/>
        <w:jc w:val="center"/>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（如为联合体投标，则联合体各方均须提供，并各自加盖公章）</w:t>
      </w:r>
    </w:p>
    <w:p w14:paraId="6132D3ED">
      <w:pPr>
        <w:pageBreakBefore w:val="0"/>
        <w:kinsoku/>
        <w:wordWrap w:val="0"/>
        <w:topLinePunct w:val="0"/>
        <w:bidi w:val="0"/>
        <w:spacing w:line="360" w:lineRule="exact"/>
        <w:jc w:val="left"/>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致：</w:t>
      </w:r>
      <w:r>
        <w:rPr>
          <w:rFonts w:hint="eastAsia" w:ascii="宋体" w:hAnsi="宋体" w:eastAsia="宋体" w:cs="宋体"/>
          <w:color w:val="auto"/>
          <w:sz w:val="22"/>
          <w:highlight w:val="none"/>
          <w:lang w:eastAsia="zh-CN"/>
        </w:rPr>
        <w:t>温州市第七人民医院</w:t>
      </w:r>
      <w:r>
        <w:rPr>
          <w:rFonts w:hint="eastAsia" w:ascii="宋体" w:hAnsi="宋体" w:eastAsia="宋体" w:cs="宋体"/>
          <w:color w:val="auto"/>
          <w:sz w:val="22"/>
          <w:highlight w:val="none"/>
        </w:rPr>
        <w:t>、浙江乐诚工程咨询有限公司</w:t>
      </w:r>
      <w:r>
        <w:rPr>
          <w:rFonts w:hint="eastAsia" w:ascii="宋体" w:hAnsi="宋体" w:eastAsia="宋体" w:cs="宋体"/>
          <w:color w:val="auto"/>
          <w:spacing w:val="-6"/>
          <w:sz w:val="22"/>
          <w:highlight w:val="none"/>
        </w:rPr>
        <w:t>：</w:t>
      </w:r>
    </w:p>
    <w:p w14:paraId="34E84F7B">
      <w:pPr>
        <w:pageBreakBefore w:val="0"/>
        <w:kinsoku/>
        <w:wordWrap w:val="0"/>
        <w:topLinePunct w:val="0"/>
        <w:bidi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我单位就</w:t>
      </w:r>
      <w:r>
        <w:rPr>
          <w:rFonts w:hint="eastAsia" w:ascii="宋体" w:hAnsi="宋体" w:eastAsia="宋体" w:cs="宋体"/>
          <w:color w:val="auto"/>
          <w:sz w:val="22"/>
          <w:highlight w:val="none"/>
          <w:u w:val="single"/>
        </w:rPr>
        <w:t xml:space="preserve">            （项目名称）           （项目编号）</w:t>
      </w:r>
      <w:r>
        <w:rPr>
          <w:rFonts w:hint="eastAsia" w:ascii="宋体" w:hAnsi="宋体" w:eastAsia="宋体" w:cs="宋体"/>
          <w:color w:val="auto"/>
          <w:sz w:val="22"/>
          <w:highlight w:val="none"/>
        </w:rPr>
        <w:t>项目承诺具备下列条件：</w:t>
      </w:r>
    </w:p>
    <w:p w14:paraId="65FFFBE9">
      <w:pPr>
        <w:pStyle w:val="27"/>
        <w:pageBreakBefore w:val="0"/>
        <w:kinsoku/>
        <w:wordWrap w:val="0"/>
        <w:topLinePunct w:val="0"/>
        <w:bidi w:val="0"/>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（一）具有独立承担民事责任的能力；</w:t>
      </w:r>
    </w:p>
    <w:p w14:paraId="36AFE561">
      <w:pPr>
        <w:pStyle w:val="27"/>
        <w:pageBreakBefore w:val="0"/>
        <w:kinsoku/>
        <w:wordWrap w:val="0"/>
        <w:topLinePunct w:val="0"/>
        <w:bidi w:val="0"/>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（二）具有良好的商业信誉和健全的财务会计制度；</w:t>
      </w:r>
    </w:p>
    <w:p w14:paraId="74CBDF85">
      <w:pPr>
        <w:pStyle w:val="27"/>
        <w:pageBreakBefore w:val="0"/>
        <w:kinsoku/>
        <w:wordWrap w:val="0"/>
        <w:topLinePunct w:val="0"/>
        <w:bidi w:val="0"/>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（三）具有履行合同所必需的设备和专业技术能力；</w:t>
      </w:r>
    </w:p>
    <w:p w14:paraId="6F27D2BC">
      <w:pPr>
        <w:pStyle w:val="27"/>
        <w:pageBreakBefore w:val="0"/>
        <w:kinsoku/>
        <w:wordWrap w:val="0"/>
        <w:topLinePunct w:val="0"/>
        <w:bidi w:val="0"/>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（四）有依法缴纳税收和社会保障资金的良好记录；</w:t>
      </w:r>
    </w:p>
    <w:p w14:paraId="13677275">
      <w:pPr>
        <w:pStyle w:val="27"/>
        <w:pageBreakBefore w:val="0"/>
        <w:kinsoku/>
        <w:wordWrap w:val="0"/>
        <w:topLinePunct w:val="0"/>
        <w:bidi w:val="0"/>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（五）参加</w:t>
      </w:r>
      <w:r>
        <w:rPr>
          <w:rFonts w:hint="eastAsia" w:ascii="宋体" w:hAnsi="宋体" w:eastAsia="宋体" w:cs="宋体"/>
          <w:bCs/>
          <w:color w:val="auto"/>
          <w:kern w:val="2"/>
          <w:sz w:val="22"/>
          <w:highlight w:val="none"/>
          <w:lang w:eastAsia="zh-CN"/>
        </w:rPr>
        <w:t>采购</w:t>
      </w:r>
      <w:r>
        <w:rPr>
          <w:rFonts w:hint="eastAsia" w:ascii="宋体" w:hAnsi="宋体" w:eastAsia="宋体" w:cs="宋体"/>
          <w:bCs/>
          <w:color w:val="auto"/>
          <w:kern w:val="2"/>
          <w:sz w:val="22"/>
          <w:highlight w:val="none"/>
        </w:rPr>
        <w:t>活动前三年内，在经营活动中没有重大违法记录（重大违法记录是指投标人因违法经营受到刑事处罚或者责令停产停业、吊销许可证或者执照、较大数额罚款等行政处罚。）；</w:t>
      </w:r>
    </w:p>
    <w:p w14:paraId="68CA95E4">
      <w:pPr>
        <w:pStyle w:val="27"/>
        <w:pageBreakBefore w:val="0"/>
        <w:kinsoku/>
        <w:wordWrap w:val="0"/>
        <w:topLinePunct w:val="0"/>
        <w:bidi w:val="0"/>
        <w:spacing w:before="0" w:beforeAutospacing="0" w:after="0" w:afterAutospacing="0" w:line="360" w:lineRule="exact"/>
        <w:ind w:firstLine="440" w:firstLineChars="200"/>
        <w:rPr>
          <w:rFonts w:hint="eastAsia" w:ascii="宋体" w:hAnsi="宋体" w:eastAsia="宋体" w:cs="宋体"/>
          <w:bCs/>
          <w:color w:val="auto"/>
          <w:kern w:val="2"/>
          <w:sz w:val="22"/>
          <w:highlight w:val="none"/>
        </w:rPr>
      </w:pPr>
      <w:r>
        <w:rPr>
          <w:rFonts w:hint="eastAsia" w:ascii="宋体" w:hAnsi="宋体" w:eastAsia="宋体" w:cs="宋体"/>
          <w:bCs/>
          <w:color w:val="auto"/>
          <w:kern w:val="2"/>
          <w:sz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14:paraId="1BE2287F">
      <w:pPr>
        <w:pageBreakBefore w:val="0"/>
        <w:kinsoku/>
        <w:wordWrap w:val="0"/>
        <w:topLinePunct w:val="0"/>
        <w:bidi w:val="0"/>
        <w:adjustRightInd w:val="0"/>
        <w:snapToGrid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（七）不存在以下情况：</w:t>
      </w:r>
    </w:p>
    <w:p w14:paraId="73825676">
      <w:pPr>
        <w:pageBreakBefore w:val="0"/>
        <w:kinsoku/>
        <w:wordWrap w:val="0"/>
        <w:topLinePunct w:val="0"/>
        <w:bidi w:val="0"/>
        <w:adjustRightInd w:val="0"/>
        <w:snapToGrid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1、单位负责人为同一人或者存在直接控股、管理关系的不同投标人参加同一合同项下的</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活动的；</w:t>
      </w:r>
    </w:p>
    <w:p w14:paraId="5EF4F4EB">
      <w:pPr>
        <w:pageBreakBefore w:val="0"/>
        <w:kinsoku/>
        <w:wordWrap w:val="0"/>
        <w:topLinePunct w:val="0"/>
        <w:bidi w:val="0"/>
        <w:adjustRightInd w:val="0"/>
        <w:snapToGrid w:val="0"/>
        <w:spacing w:line="360" w:lineRule="exact"/>
        <w:ind w:firstLine="440" w:firstLineChars="200"/>
        <w:jc w:val="left"/>
        <w:rPr>
          <w:rFonts w:hint="eastAsia" w:ascii="宋体" w:hAnsi="宋体" w:eastAsia="宋体" w:cs="宋体"/>
          <w:bCs/>
          <w:color w:val="auto"/>
          <w:sz w:val="22"/>
          <w:highlight w:val="none"/>
        </w:rPr>
      </w:pPr>
      <w:r>
        <w:rPr>
          <w:rFonts w:hint="eastAsia" w:ascii="宋体" w:hAnsi="宋体" w:eastAsia="宋体" w:cs="宋体"/>
          <w:color w:val="auto"/>
          <w:sz w:val="22"/>
          <w:highlight w:val="none"/>
        </w:rPr>
        <w:t>2、为采购项目提供整体设计、规范编制或者项目管理、监理、检测等服务后再参加该采购项目的其他采购活动的。</w:t>
      </w:r>
    </w:p>
    <w:p w14:paraId="76110C1F">
      <w:pPr>
        <w:pageBreakBefore w:val="0"/>
        <w:kinsoku/>
        <w:wordWrap w:val="0"/>
        <w:topLinePunct w:val="0"/>
        <w:bidi w:val="0"/>
        <w:spacing w:line="360" w:lineRule="exact"/>
        <w:ind w:firstLine="442" w:firstLineChars="200"/>
        <w:jc w:val="left"/>
        <w:rPr>
          <w:rFonts w:hint="eastAsia" w:ascii="宋体" w:hAnsi="宋体" w:eastAsia="宋体" w:cs="宋体"/>
          <w:bCs/>
          <w:color w:val="auto"/>
          <w:sz w:val="22"/>
          <w:highlight w:val="none"/>
        </w:rPr>
      </w:pPr>
      <w:r>
        <w:rPr>
          <w:rStyle w:val="82"/>
          <w:rFonts w:hint="eastAsia" w:ascii="宋体" w:hAnsi="宋体" w:eastAsia="宋体" w:cs="宋体"/>
          <w:b/>
          <w:bCs/>
          <w:color w:val="auto"/>
          <w:sz w:val="22"/>
          <w:highlight w:val="none"/>
        </w:rPr>
        <w:t>本公司对上述承诺的真实性负责。上述承诺如有虚假，将按“提供虚假材料谋取中标、成交”情形，由采购人取消我公司任何资格（投标/中标/签订合同），且由采购单位/采购代理机构报告至</w:t>
      </w:r>
      <w:r>
        <w:rPr>
          <w:rStyle w:val="82"/>
          <w:rFonts w:hint="eastAsia" w:ascii="宋体" w:hAnsi="宋体" w:eastAsia="宋体" w:cs="宋体"/>
          <w:b/>
          <w:bCs/>
          <w:color w:val="auto"/>
          <w:sz w:val="22"/>
          <w:highlight w:val="none"/>
          <w:lang w:eastAsia="zh-CN"/>
        </w:rPr>
        <w:t>采购</w:t>
      </w:r>
      <w:r>
        <w:rPr>
          <w:rStyle w:val="82"/>
          <w:rFonts w:hint="eastAsia" w:ascii="宋体" w:hAnsi="宋体" w:eastAsia="宋体" w:cs="宋体"/>
          <w:b/>
          <w:bCs/>
          <w:color w:val="auto"/>
          <w:sz w:val="22"/>
          <w:highlight w:val="none"/>
        </w:rPr>
        <w:t>监管部门。</w:t>
      </w:r>
      <w:r>
        <w:rPr>
          <w:rFonts w:hint="eastAsia" w:ascii="宋体" w:hAnsi="宋体" w:eastAsia="宋体" w:cs="宋体"/>
          <w:bCs/>
          <w:color w:val="auto"/>
          <w:sz w:val="22"/>
          <w:highlight w:val="none"/>
        </w:rPr>
        <w:t>一经监管部门查证属实，将按照《中华人民共和国政府采购法》第七十七条“处以采购金额千分之五以上千分之十以下的罚款，列入不良行为记录名单，在一至三年内禁止参加</w:t>
      </w:r>
      <w:r>
        <w:rPr>
          <w:rFonts w:hint="eastAsia" w:ascii="宋体" w:hAnsi="宋体" w:eastAsia="宋体" w:cs="宋体"/>
          <w:bCs/>
          <w:color w:val="auto"/>
          <w:sz w:val="22"/>
          <w:highlight w:val="none"/>
          <w:lang w:eastAsia="zh-CN"/>
        </w:rPr>
        <w:t>采购</w:t>
      </w:r>
      <w:r>
        <w:rPr>
          <w:rFonts w:hint="eastAsia" w:ascii="宋体" w:hAnsi="宋体" w:eastAsia="宋体" w:cs="宋体"/>
          <w:bCs/>
          <w:color w:val="auto"/>
          <w:sz w:val="22"/>
          <w:highlight w:val="none"/>
        </w:rPr>
        <w:t>活动，有违法所得的，并处没收违法所得，情节严重的，由相关部门吊销营业执照</w:t>
      </w:r>
      <w:r>
        <w:rPr>
          <w:rFonts w:hint="eastAsia" w:ascii="宋体" w:hAnsi="宋体" w:eastAsia="宋体" w:cs="宋体"/>
          <w:bCs/>
          <w:color w:val="auto"/>
          <w:sz w:val="22"/>
          <w:highlight w:val="none"/>
          <w:lang w:eastAsia="zh-CN"/>
        </w:rPr>
        <w:t>；</w:t>
      </w:r>
      <w:r>
        <w:rPr>
          <w:rFonts w:hint="eastAsia" w:ascii="宋体" w:hAnsi="宋体" w:eastAsia="宋体" w:cs="宋体"/>
          <w:bCs/>
          <w:color w:val="auto"/>
          <w:sz w:val="22"/>
          <w:highlight w:val="none"/>
        </w:rPr>
        <w:t>构成犯罪的，依法追究刑事责任”规定予以处理。</w:t>
      </w:r>
    </w:p>
    <w:p w14:paraId="74B66C97">
      <w:pPr>
        <w:pStyle w:val="27"/>
        <w:pageBreakBefore w:val="0"/>
        <w:kinsoku/>
        <w:wordWrap w:val="0"/>
        <w:topLinePunct w:val="0"/>
        <w:bidi w:val="0"/>
        <w:spacing w:before="0" w:beforeAutospacing="0" w:after="0" w:afterAutospacing="0" w:line="360" w:lineRule="exact"/>
        <w:ind w:firstLine="440" w:firstLineChars="200"/>
        <w:rPr>
          <w:rStyle w:val="82"/>
          <w:rFonts w:hint="eastAsia" w:ascii="宋体" w:hAnsi="宋体" w:eastAsia="宋体" w:cs="宋体"/>
          <w:color w:val="auto"/>
          <w:sz w:val="22"/>
          <w:highlight w:val="none"/>
        </w:rPr>
      </w:pPr>
      <w:r>
        <w:rPr>
          <w:rStyle w:val="82"/>
          <w:rFonts w:hint="eastAsia" w:ascii="宋体" w:hAnsi="宋体" w:eastAsia="宋体" w:cs="宋体"/>
          <w:color w:val="auto"/>
          <w:sz w:val="22"/>
          <w:highlight w:val="none"/>
        </w:rPr>
        <w:t>《中华人民共和国政府采购法实施条例》第十九条第一款规定的“</w:t>
      </w:r>
      <w:r>
        <w:rPr>
          <w:rFonts w:hint="eastAsia" w:ascii="宋体" w:hAnsi="宋体" w:eastAsia="宋体" w:cs="宋体"/>
          <w:color w:val="auto"/>
          <w:kern w:val="2"/>
          <w:sz w:val="22"/>
          <w:highlight w:val="none"/>
        </w:rPr>
        <w:t>较大数额罚款</w:t>
      </w:r>
      <w:r>
        <w:rPr>
          <w:rStyle w:val="82"/>
          <w:rFonts w:hint="eastAsia" w:ascii="宋体" w:hAnsi="宋体" w:eastAsia="宋体" w:cs="宋体"/>
          <w:color w:val="auto"/>
          <w:sz w:val="22"/>
          <w:highlight w:val="none"/>
        </w:rPr>
        <w:t>”认定为200万元以上的罚款，法律、行政法规以及国务院有关部门明确规定相关领域“</w:t>
      </w:r>
      <w:r>
        <w:rPr>
          <w:rFonts w:hint="eastAsia" w:ascii="宋体" w:hAnsi="宋体" w:eastAsia="宋体" w:cs="宋体"/>
          <w:color w:val="auto"/>
          <w:kern w:val="2"/>
          <w:sz w:val="22"/>
          <w:highlight w:val="none"/>
        </w:rPr>
        <w:t>较大数额罚款</w:t>
      </w:r>
      <w:r>
        <w:rPr>
          <w:rStyle w:val="82"/>
          <w:rFonts w:hint="eastAsia" w:ascii="宋体" w:hAnsi="宋体" w:eastAsia="宋体" w:cs="宋体"/>
          <w:color w:val="auto"/>
          <w:sz w:val="22"/>
          <w:highlight w:val="none"/>
        </w:rPr>
        <w:t>”标准高于200万元的，从其规定。</w:t>
      </w:r>
    </w:p>
    <w:p w14:paraId="17765BC7">
      <w:pPr>
        <w:pageBreakBefore w:val="0"/>
        <w:kinsoku/>
        <w:wordWrap w:val="0"/>
        <w:topLinePunct w:val="0"/>
        <w:bidi w:val="0"/>
        <w:adjustRightInd w:val="0"/>
        <w:spacing w:line="360" w:lineRule="exact"/>
        <w:ind w:firstLine="440" w:firstLineChars="200"/>
        <w:jc w:val="left"/>
        <w:rPr>
          <w:rStyle w:val="82"/>
          <w:rFonts w:hint="eastAsia" w:ascii="宋体" w:hAnsi="宋体" w:eastAsia="宋体" w:cs="宋体"/>
          <w:color w:val="auto"/>
          <w:sz w:val="22"/>
          <w:highlight w:val="none"/>
        </w:rPr>
      </w:pPr>
      <w:r>
        <w:rPr>
          <w:rStyle w:val="82"/>
          <w:rFonts w:hint="eastAsia" w:ascii="宋体" w:hAnsi="宋体" w:eastAsia="宋体" w:cs="宋体"/>
          <w:color w:val="auto"/>
          <w:sz w:val="22"/>
          <w:highlight w:val="none"/>
        </w:rPr>
        <w:t>我单位已知晓前述法律规定，对此无任何异议。</w:t>
      </w:r>
    </w:p>
    <w:p w14:paraId="53A01D6F">
      <w:pPr>
        <w:pageBreakBefore w:val="0"/>
        <w:kinsoku/>
        <w:wordWrap w:val="0"/>
        <w:topLinePunct w:val="0"/>
        <w:bidi w:val="0"/>
        <w:spacing w:line="360" w:lineRule="exact"/>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w:t>
      </w:r>
      <w:r>
        <w:rPr>
          <w:rStyle w:val="82"/>
          <w:rFonts w:hint="eastAsia" w:ascii="宋体" w:hAnsi="宋体" w:eastAsia="宋体" w:cs="宋体"/>
          <w:b/>
          <w:color w:val="auto"/>
          <w:sz w:val="22"/>
          <w:highlight w:val="none"/>
          <w:u w:val="single"/>
        </w:rPr>
        <w:t>▲</w:t>
      </w:r>
      <w:r>
        <w:rPr>
          <w:rFonts w:hint="eastAsia" w:ascii="宋体" w:hAnsi="宋体" w:eastAsia="宋体" w:cs="宋体"/>
          <w:b/>
          <w:color w:val="auto"/>
          <w:sz w:val="22"/>
          <w:highlight w:val="none"/>
          <w:u w:val="single"/>
        </w:rPr>
        <w:t>本承诺函必须提供。</w:t>
      </w:r>
    </w:p>
    <w:p w14:paraId="79DB0E08">
      <w:pPr>
        <w:pageBreakBefore w:val="0"/>
        <w:kinsoku/>
        <w:wordWrap w:val="0"/>
        <w:topLinePunct w:val="0"/>
        <w:bidi w:val="0"/>
        <w:spacing w:line="360" w:lineRule="auto"/>
        <w:ind w:left="4620" w:leftChars="2200"/>
        <w:rPr>
          <w:rFonts w:hint="eastAsia" w:ascii="宋体" w:hAnsi="宋体" w:eastAsia="宋体" w:cs="宋体"/>
          <w:color w:val="auto"/>
          <w:szCs w:val="21"/>
          <w:highlight w:val="none"/>
        </w:rPr>
      </w:pPr>
    </w:p>
    <w:p w14:paraId="61DBC482">
      <w:pPr>
        <w:pageBreakBefore w:val="0"/>
        <w:widowControl/>
        <w:kinsoku/>
        <w:wordWrap w:val="0"/>
        <w:topLinePunct w:val="0"/>
        <w:bidi w:val="0"/>
        <w:spacing w:line="360" w:lineRule="auto"/>
        <w:jc w:val="lef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投标人全称(公章或电子签章)：</w:t>
      </w:r>
    </w:p>
    <w:p w14:paraId="2551F23E">
      <w:pPr>
        <w:pageBreakBefore w:val="0"/>
        <w:widowControl/>
        <w:kinsoku/>
        <w:wordWrap w:val="0"/>
        <w:topLinePunct w:val="0"/>
        <w:bidi w:val="0"/>
        <w:spacing w:line="360" w:lineRule="auto"/>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14:paraId="6BAF4E45">
      <w:pPr>
        <w:pageBreakBefore w:val="0"/>
        <w:kinsoku/>
        <w:wordWrap w:val="0"/>
        <w:topLinePunct w:val="0"/>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kern w:val="0"/>
          <w:sz w:val="22"/>
          <w:highlight w:val="none"/>
        </w:rPr>
        <w:t>日期：    年    月    日</w:t>
      </w:r>
    </w:p>
    <w:p w14:paraId="55FC4D5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B3D51CC">
      <w:pPr>
        <w:pageBreakBefore w:val="0"/>
        <w:kinsoku/>
        <w:wordWrap w:val="0"/>
        <w:topLinePunct w:val="0"/>
        <w:bidi w:val="0"/>
        <w:spacing w:line="400" w:lineRule="exact"/>
        <w:rPr>
          <w:rFonts w:hint="eastAsia" w:ascii="宋体" w:hAnsi="宋体" w:eastAsia="宋体" w:cs="宋体"/>
          <w:color w:val="auto"/>
          <w:sz w:val="22"/>
          <w:highlight w:val="none"/>
          <w:lang w:eastAsia="zh-CN"/>
        </w:rPr>
      </w:pPr>
      <w:r>
        <w:rPr>
          <w:rFonts w:hint="eastAsia" w:ascii="宋体" w:hAnsi="宋体" w:eastAsia="宋体" w:cs="宋体"/>
          <w:b/>
          <w:color w:val="auto"/>
          <w:sz w:val="24"/>
          <w:szCs w:val="24"/>
          <w:highlight w:val="none"/>
          <w:lang w:eastAsia="zh-CN"/>
        </w:rPr>
        <w:t>附件3-</w:t>
      </w:r>
      <w:r>
        <w:rPr>
          <w:rFonts w:hint="eastAsia" w:ascii="宋体" w:hAnsi="宋体" w:eastAsia="宋体" w:cs="宋体"/>
          <w:b/>
          <w:color w:val="auto"/>
          <w:sz w:val="24"/>
          <w:szCs w:val="24"/>
          <w:highlight w:val="none"/>
          <w:lang w:val="en-US" w:eastAsia="zh-CN"/>
        </w:rPr>
        <w:t>3</w:t>
      </w:r>
    </w:p>
    <w:p w14:paraId="25271BC7">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543A40E1">
      <w:pPr>
        <w:pStyle w:val="72"/>
        <w:ind w:firstLine="480"/>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本公司（联合体）郑重声明，根据《政府采购促进中小企业发展管理办法》（财库</w:t>
      </w:r>
      <w:r>
        <w:rPr>
          <w:rFonts w:hint="eastAsia" w:ascii="宋体" w:hAnsi="宋体" w:eastAsia="宋体" w:cs="宋体"/>
          <w:color w:val="auto"/>
          <w:highlight w:val="none"/>
          <w:lang w:eastAsia="zh-CN" w:bidi="ar-SA"/>
        </w:rPr>
        <w:t>〔2020〕</w:t>
      </w:r>
      <w:r>
        <w:rPr>
          <w:rFonts w:hint="eastAsia" w:ascii="宋体" w:hAnsi="宋体" w:eastAsia="宋体" w:cs="宋体"/>
          <w:color w:val="auto"/>
          <w:highlight w:val="none"/>
          <w:lang w:bidi="ar-SA"/>
        </w:rPr>
        <w:t>46号）的规定，本公司（联合体）参加</w:t>
      </w:r>
      <w:r>
        <w:rPr>
          <w:rFonts w:hint="eastAsia" w:ascii="宋体" w:hAnsi="宋体" w:eastAsia="宋体" w:cs="宋体"/>
          <w:color w:val="auto"/>
          <w:highlight w:val="none"/>
          <w:u w:val="single"/>
          <w:lang w:val="en-US" w:eastAsia="zh-CN" w:bidi="ar-SA"/>
        </w:rPr>
        <w:t xml:space="preserve"> 温州市第七人民医院 </w:t>
      </w:r>
      <w:r>
        <w:rPr>
          <w:rFonts w:hint="eastAsia" w:ascii="宋体" w:hAnsi="宋体" w:eastAsia="宋体" w:cs="宋体"/>
          <w:color w:val="auto"/>
          <w:highlight w:val="none"/>
          <w:u w:val="single"/>
          <w:lang w:bidi="ar-SA"/>
        </w:rPr>
        <w:t>（</w:t>
      </w:r>
      <w:r>
        <w:rPr>
          <w:rFonts w:hint="eastAsia" w:ascii="宋体" w:hAnsi="宋体" w:eastAsia="宋体" w:cs="宋体"/>
          <w:color w:val="auto"/>
          <w:highlight w:val="none"/>
          <w:u w:val="single"/>
          <w:lang w:val="en-US" w:eastAsia="zh-CN" w:bidi="ar-SA"/>
        </w:rPr>
        <w:t>单</w:t>
      </w:r>
      <w:r>
        <w:rPr>
          <w:rFonts w:hint="eastAsia" w:ascii="宋体" w:hAnsi="宋体" w:eastAsia="宋体" w:cs="宋体"/>
          <w:color w:val="auto"/>
          <w:highlight w:val="none"/>
          <w:u w:val="single"/>
          <w:lang w:bidi="ar-SA"/>
        </w:rPr>
        <w:t>位名称）</w:t>
      </w:r>
      <w:r>
        <w:rPr>
          <w:rFonts w:hint="eastAsia" w:ascii="宋体" w:hAnsi="宋体" w:eastAsia="宋体" w:cs="宋体"/>
          <w:color w:val="auto"/>
          <w:highlight w:val="none"/>
          <w:lang w:bidi="ar-SA"/>
        </w:rPr>
        <w:t>的</w:t>
      </w:r>
      <w:r>
        <w:rPr>
          <w:rFonts w:hint="eastAsia" w:ascii="宋体" w:hAnsi="宋体" w:eastAsia="宋体" w:cs="宋体"/>
          <w:color w:val="auto"/>
          <w:highlight w:val="none"/>
          <w:lang w:val="en-US" w:eastAsia="zh-CN" w:bidi="ar-SA"/>
        </w:rPr>
        <w:t xml:space="preserve"> </w:t>
      </w:r>
      <w:r>
        <w:rPr>
          <w:rFonts w:hint="eastAsia" w:ascii="宋体" w:hAnsi="宋体" w:eastAsia="宋体" w:cs="宋体"/>
          <w:color w:val="auto"/>
          <w:highlight w:val="none"/>
          <w:u w:val="single"/>
          <w:lang w:val="en-US" w:eastAsia="zh-CN" w:bidi="ar-SA"/>
        </w:rPr>
        <w:t xml:space="preserve">    </w:t>
      </w:r>
      <w:r>
        <w:rPr>
          <w:rFonts w:hint="eastAsia" w:ascii="宋体" w:hAnsi="宋体" w:eastAsia="宋体" w:cs="宋体"/>
          <w:color w:val="auto"/>
          <w:highlight w:val="none"/>
          <w:u w:val="single"/>
          <w:lang w:bidi="ar-SA"/>
        </w:rPr>
        <w:t>（项目名称）</w:t>
      </w:r>
      <w:r>
        <w:rPr>
          <w:rFonts w:hint="eastAsia" w:ascii="宋体" w:hAnsi="宋体" w:eastAsia="宋体" w:cs="宋体"/>
          <w:color w:val="auto"/>
          <w:highlight w:val="none"/>
          <w:lang w:bidi="ar-SA"/>
        </w:rPr>
        <w:t>采购活动，提供的货物全部由符合政策要求的中小企业制造。相关企业（含联合体中的中小企业、签订分包意向协议的中小企业）的具体情况如下：</w:t>
      </w:r>
    </w:p>
    <w:p w14:paraId="2F21DC17">
      <w:pPr>
        <w:pStyle w:val="72"/>
        <w:numPr>
          <w:ilvl w:val="0"/>
          <w:numId w:val="7"/>
        </w:numPr>
        <w:tabs>
          <w:tab w:val="left" w:pos="879"/>
        </w:tabs>
        <w:rPr>
          <w:rFonts w:hint="eastAsia" w:ascii="宋体" w:hAnsi="宋体" w:eastAsia="宋体" w:cs="宋体"/>
          <w:color w:val="auto"/>
          <w:highlight w:val="none"/>
          <w:lang w:bidi="ar-SA"/>
        </w:rPr>
      </w:pPr>
      <w:r>
        <w:rPr>
          <w:rFonts w:hint="eastAsia" w:ascii="宋体" w:hAnsi="宋体" w:eastAsia="宋体" w:cs="宋体"/>
          <w:color w:val="auto"/>
          <w:highlight w:val="none"/>
          <w:u w:val="single"/>
          <w:lang w:val="en-US" w:eastAsia="zh-CN" w:bidi="ar-SA"/>
        </w:rPr>
        <w:t xml:space="preserve">         </w:t>
      </w:r>
      <w:r>
        <w:rPr>
          <w:rFonts w:hint="eastAsia" w:ascii="宋体" w:hAnsi="宋体" w:eastAsia="宋体" w:cs="宋体"/>
          <w:color w:val="auto"/>
          <w:highlight w:val="none"/>
          <w:u w:val="single"/>
          <w:lang w:bidi="ar-SA"/>
        </w:rPr>
        <w:t>（标的名称）</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属于</w:t>
      </w:r>
      <w:r>
        <w:rPr>
          <w:rFonts w:hint="eastAsia" w:ascii="宋体" w:hAnsi="宋体" w:eastAsia="宋体" w:cs="宋体"/>
          <w:color w:val="auto"/>
          <w:highlight w:val="none"/>
          <w:u w:val="single"/>
          <w:lang w:val="en-US" w:eastAsia="zh-CN" w:bidi="ar-SA"/>
        </w:rPr>
        <w:t>工业</w:t>
      </w:r>
      <w:r>
        <w:rPr>
          <w:rFonts w:hint="eastAsia" w:ascii="宋体" w:hAnsi="宋体" w:eastAsia="宋体" w:cs="宋体"/>
          <w:color w:val="auto"/>
          <w:highlight w:val="none"/>
          <w:u w:val="single"/>
          <w:lang w:eastAsia="zh-CN" w:bidi="ar-SA"/>
        </w:rPr>
        <w:t>（采购文件中明确</w:t>
      </w:r>
      <w:r>
        <w:rPr>
          <w:rFonts w:hint="eastAsia" w:ascii="宋体" w:hAnsi="宋体" w:eastAsia="宋体" w:cs="宋体"/>
          <w:color w:val="auto"/>
          <w:highlight w:val="none"/>
          <w:u w:val="single"/>
          <w:lang w:bidi="ar-SA"/>
        </w:rPr>
        <w:t>的所属行业）</w:t>
      </w:r>
      <w:r>
        <w:rPr>
          <w:rFonts w:hint="eastAsia" w:ascii="宋体" w:hAnsi="宋体" w:eastAsia="宋体" w:cs="宋体"/>
          <w:color w:val="auto"/>
          <w:highlight w:val="none"/>
          <w:lang w:val="en-US" w:eastAsia="zh-CN" w:bidi="en-US"/>
        </w:rPr>
        <w:t>；</w:t>
      </w:r>
      <w:r>
        <w:rPr>
          <w:rFonts w:hint="eastAsia" w:ascii="宋体" w:hAnsi="宋体" w:eastAsia="宋体" w:cs="宋体"/>
          <w:color w:val="auto"/>
          <w:highlight w:val="none"/>
          <w:lang w:bidi="ar-SA"/>
        </w:rPr>
        <w:t>制造商为</w:t>
      </w:r>
      <w:r>
        <w:rPr>
          <w:rFonts w:hint="eastAsia" w:ascii="宋体" w:hAnsi="宋体" w:eastAsia="宋体" w:cs="宋体"/>
          <w:color w:val="auto"/>
          <w:highlight w:val="none"/>
          <w:u w:val="single"/>
          <w:lang w:bidi="ar-SA"/>
        </w:rPr>
        <w:t xml:space="preserve"> </w:t>
      </w:r>
      <w:r>
        <w:rPr>
          <w:rFonts w:hint="eastAsia" w:ascii="宋体" w:hAnsi="宋体" w:eastAsia="宋体" w:cs="宋体"/>
          <w:color w:val="auto"/>
          <w:highlight w:val="none"/>
          <w:u w:val="single"/>
          <w:lang w:val="en-US" w:eastAsia="zh-CN" w:bidi="ar-SA"/>
        </w:rPr>
        <w:t xml:space="preserve">  </w:t>
      </w:r>
      <w:r>
        <w:rPr>
          <w:rFonts w:hint="eastAsia" w:ascii="宋体" w:hAnsi="宋体" w:eastAsia="宋体" w:cs="宋体"/>
          <w:color w:val="auto"/>
          <w:highlight w:val="none"/>
          <w:u w:val="single"/>
          <w:lang w:bidi="ar-SA"/>
        </w:rPr>
        <w:t>（企业名称）</w:t>
      </w:r>
      <w:r>
        <w:rPr>
          <w:rFonts w:hint="eastAsia" w:ascii="宋体" w:hAnsi="宋体" w:eastAsia="宋体" w:cs="宋体"/>
          <w:color w:val="auto"/>
          <w:highlight w:val="none"/>
          <w:lang w:bidi="ar-SA"/>
        </w:rPr>
        <w:t xml:space="preserve"> ，从业人员</w:t>
      </w:r>
      <w:r>
        <w:rPr>
          <w:rFonts w:hint="eastAsia" w:ascii="宋体" w:hAnsi="宋体" w:eastAsia="宋体" w:cs="宋体"/>
          <w:color w:val="auto"/>
          <w:highlight w:val="none"/>
          <w:u w:val="single"/>
          <w:lang w:bidi="ar-SA"/>
        </w:rPr>
        <w:t xml:space="preserve">  </w:t>
      </w:r>
      <w:r>
        <w:rPr>
          <w:rFonts w:hint="eastAsia" w:ascii="宋体" w:hAnsi="宋体" w:eastAsia="宋体" w:cs="宋体"/>
          <w:color w:val="auto"/>
          <w:highlight w:val="none"/>
          <w:lang w:bidi="ar-SA"/>
        </w:rPr>
        <w:t>人，营业收入为</w:t>
      </w:r>
      <w:r>
        <w:rPr>
          <w:rFonts w:hint="eastAsia" w:ascii="宋体" w:hAnsi="宋体" w:eastAsia="宋体" w:cs="宋体"/>
          <w:color w:val="auto"/>
          <w:highlight w:val="none"/>
          <w:u w:val="single"/>
          <w:lang w:bidi="ar-SA"/>
        </w:rPr>
        <w:t xml:space="preserve"> </w:t>
      </w:r>
      <w:r>
        <w:rPr>
          <w:rFonts w:hint="eastAsia" w:ascii="宋体" w:hAnsi="宋体" w:eastAsia="宋体" w:cs="宋体"/>
          <w:color w:val="auto"/>
          <w:highlight w:val="none"/>
          <w:u w:val="single"/>
          <w:lang w:val="en-US" w:eastAsia="zh-CN" w:bidi="ar-SA"/>
        </w:rPr>
        <w:t xml:space="preserve"> </w:t>
      </w:r>
      <w:r>
        <w:rPr>
          <w:rFonts w:hint="eastAsia" w:ascii="宋体" w:hAnsi="宋体" w:eastAsia="宋体" w:cs="宋体"/>
          <w:color w:val="auto"/>
          <w:highlight w:val="none"/>
          <w:u w:val="single"/>
          <w:lang w:bidi="ar-SA"/>
        </w:rPr>
        <w:t xml:space="preserve"> </w:t>
      </w:r>
      <w:r>
        <w:rPr>
          <w:rFonts w:hint="eastAsia" w:ascii="宋体" w:hAnsi="宋体" w:eastAsia="宋体" w:cs="宋体"/>
          <w:color w:val="auto"/>
          <w:highlight w:val="none"/>
          <w:lang w:bidi="ar-SA"/>
        </w:rPr>
        <w:t>万元，资产总额为</w:t>
      </w:r>
      <w:r>
        <w:rPr>
          <w:rFonts w:hint="eastAsia" w:ascii="宋体" w:hAnsi="宋体" w:eastAsia="宋体" w:cs="宋体"/>
          <w:color w:val="auto"/>
          <w:highlight w:val="none"/>
          <w:u w:val="single"/>
          <w:lang w:bidi="ar-SA"/>
        </w:rPr>
        <w:t xml:space="preserve">   </w:t>
      </w:r>
      <w:r>
        <w:rPr>
          <w:rFonts w:hint="eastAsia" w:ascii="宋体" w:hAnsi="宋体" w:eastAsia="宋体" w:cs="宋体"/>
          <w:color w:val="auto"/>
          <w:highlight w:val="none"/>
          <w:lang w:bidi="ar-SA"/>
        </w:rPr>
        <w:t>万元，属于</w:t>
      </w:r>
      <w:r>
        <w:rPr>
          <w:rFonts w:hint="eastAsia" w:ascii="宋体" w:hAnsi="宋体" w:eastAsia="宋体" w:cs="宋体"/>
          <w:color w:val="auto"/>
          <w:highlight w:val="none"/>
          <w:u w:val="single"/>
          <w:lang w:bidi="ar-SA"/>
        </w:rPr>
        <w:t xml:space="preserve">   （中型企业、小型企业、微型企业）</w:t>
      </w:r>
      <w:r>
        <w:rPr>
          <w:rFonts w:hint="eastAsia" w:ascii="宋体" w:hAnsi="宋体" w:eastAsia="宋体" w:cs="宋体"/>
          <w:color w:val="auto"/>
          <w:highlight w:val="none"/>
          <w:lang w:bidi="ar-SA"/>
        </w:rPr>
        <w:t xml:space="preserve"> </w:t>
      </w:r>
      <w:r>
        <w:rPr>
          <w:rFonts w:hint="eastAsia" w:ascii="宋体" w:hAnsi="宋体" w:eastAsia="宋体" w:cs="宋体"/>
          <w:color w:val="auto"/>
          <w:highlight w:val="none"/>
          <w:lang w:eastAsia="zh-CN" w:bidi="ar-SA"/>
        </w:rPr>
        <w:t>；</w:t>
      </w:r>
    </w:p>
    <w:p w14:paraId="50A7F2E0">
      <w:pPr>
        <w:pStyle w:val="72"/>
        <w:numPr>
          <w:ilvl w:val="0"/>
          <w:numId w:val="7"/>
        </w:numPr>
        <w:tabs>
          <w:tab w:val="left" w:pos="879"/>
          <w:tab w:val="left" w:pos="1136"/>
          <w:tab w:val="left" w:pos="3461"/>
        </w:tabs>
        <w:rPr>
          <w:rFonts w:hint="eastAsia" w:ascii="宋体" w:hAnsi="宋体" w:eastAsia="宋体" w:cs="宋体"/>
          <w:color w:val="auto"/>
          <w:highlight w:val="none"/>
          <w:lang w:val="en-US" w:eastAsia="zh-CN" w:bidi="ar-SA"/>
        </w:rPr>
      </w:pPr>
      <w:r>
        <w:rPr>
          <w:rFonts w:hint="eastAsia" w:ascii="宋体" w:hAnsi="宋体" w:eastAsia="宋体" w:cs="宋体"/>
          <w:color w:val="auto"/>
          <w:highlight w:val="none"/>
          <w:lang w:val="en-US" w:eastAsia="zh-CN" w:bidi="ar-SA"/>
        </w:rPr>
        <w:t>......</w:t>
      </w:r>
    </w:p>
    <w:p w14:paraId="3DF28D04">
      <w:pPr>
        <w:pStyle w:val="72"/>
        <w:tabs>
          <w:tab w:val="left" w:leader="dot" w:pos="-4890"/>
        </w:tabs>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以上企业，不属于大企业的分支机构，不存在控股股东为大企业的情形，也不存在与大企业的负责人为同一人的情形。</w:t>
      </w:r>
    </w:p>
    <w:p w14:paraId="2BA87721">
      <w:pPr>
        <w:pStyle w:val="72"/>
        <w:ind w:firstLine="480"/>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本企业对上述声明内容的真实性负责。如有虚假，将依法承担相应责任。</w:t>
      </w:r>
    </w:p>
    <w:p w14:paraId="12814777">
      <w:pPr>
        <w:pStyle w:val="72"/>
        <w:spacing w:line="374" w:lineRule="exact"/>
        <w:ind w:firstLine="0"/>
        <w:jc w:val="center"/>
        <w:rPr>
          <w:rFonts w:hint="eastAsia" w:ascii="宋体" w:hAnsi="宋体" w:eastAsia="宋体" w:cs="宋体"/>
          <w:color w:val="auto"/>
          <w:sz w:val="24"/>
          <w:szCs w:val="24"/>
          <w:highlight w:val="none"/>
          <w:lang w:bidi="ar-SA"/>
        </w:rPr>
      </w:pPr>
    </w:p>
    <w:p w14:paraId="1BF65929">
      <w:pPr>
        <w:pStyle w:val="72"/>
        <w:spacing w:line="374" w:lineRule="exact"/>
        <w:ind w:firstLine="0"/>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企业名称（</w:t>
      </w:r>
      <w:r>
        <w:rPr>
          <w:rFonts w:hint="eastAsia" w:ascii="宋体" w:hAnsi="宋体" w:eastAsia="宋体" w:cs="宋体"/>
          <w:color w:val="auto"/>
          <w:sz w:val="24"/>
          <w:szCs w:val="24"/>
          <w:highlight w:val="none"/>
          <w:lang w:eastAsia="zh-CN" w:bidi="ar-SA"/>
        </w:rPr>
        <w:t>公章或电子签章</w:t>
      </w:r>
      <w:r>
        <w:rPr>
          <w:rFonts w:hint="eastAsia" w:ascii="宋体" w:hAnsi="宋体" w:eastAsia="宋体" w:cs="宋体"/>
          <w:color w:val="auto"/>
          <w:sz w:val="24"/>
          <w:szCs w:val="24"/>
          <w:highlight w:val="none"/>
          <w:lang w:bidi="ar-SA"/>
        </w:rPr>
        <w:t>）：</w:t>
      </w:r>
    </w:p>
    <w:p w14:paraId="676DA753">
      <w:pPr>
        <w:pStyle w:val="72"/>
        <w:spacing w:line="374" w:lineRule="exact"/>
        <w:ind w:firstLine="0"/>
        <w:jc w:val="center"/>
        <w:rPr>
          <w:rFonts w:hint="eastAsia" w:ascii="宋体" w:hAnsi="宋体" w:eastAsia="宋体" w:cs="宋体"/>
          <w:color w:val="auto"/>
          <w:highlight w:val="none"/>
          <w:shd w:val="clear" w:color="auto" w:fill="FFFFFF"/>
          <w:lang w:bidi="ar-SA"/>
        </w:rPr>
      </w:pPr>
      <w:r>
        <w:rPr>
          <w:rFonts w:hint="eastAsia" w:ascii="宋体" w:hAnsi="宋体" w:eastAsia="宋体" w:cs="宋体"/>
          <w:color w:val="auto"/>
          <w:sz w:val="24"/>
          <w:szCs w:val="24"/>
          <w:highlight w:val="none"/>
          <w:lang w:bidi="ar-SA"/>
        </w:rPr>
        <w:t>日期：</w:t>
      </w:r>
    </w:p>
    <w:p w14:paraId="0CBC22C9">
      <w:pPr>
        <w:wordWrap w:val="0"/>
        <w:adjustRightInd w:val="0"/>
        <w:spacing w:line="360"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1415EFBD">
      <w:pPr>
        <w:wordWrap w:val="0"/>
        <w:adjustRightInd w:val="0"/>
        <w:spacing w:line="36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1.填写要求：</w:t>
      </w:r>
    </w:p>
    <w:p w14:paraId="0381FAAA">
      <w:pPr>
        <w:wordWrap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①从业人员、营业收入、资产总额填报上一年度数据，无上一年度数据的新成立企业可不填报。（无上一年度数据的新成立企业需提供相关证明材料）</w:t>
      </w:r>
    </w:p>
    <w:p w14:paraId="0714AE18">
      <w:pPr>
        <w:wordWrap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②“标的名称”、“采购文件中明确的所属行业”依据采购文件第二部分投标人须知前附表“标的名称及其对应的中小企业划分标准所属行业”填写，不得缺漏。</w:t>
      </w:r>
    </w:p>
    <w:p w14:paraId="1FF2ECDC">
      <w:pPr>
        <w:wordWrap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③企业类型（包括新成立企业），按照《中小企业划型标准规定》（工信部联企业〔2011〕300号）规定和【招标文件】中明确的所属行业及划分标准，选择“中型企业、小型企业、微型企业”其中之一填写，不得缺漏。</w:t>
      </w:r>
    </w:p>
    <w:p w14:paraId="4980BC7E">
      <w:pPr>
        <w:wordWrap w:val="0"/>
        <w:spacing w:line="360" w:lineRule="exact"/>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④制造商，货物由中小企业制造，即货物由中小企业生产且使用该中小企业商号或者注册商标；</w:t>
      </w:r>
    </w:p>
    <w:p w14:paraId="449B6EA8">
      <w:pPr>
        <w:pStyle w:val="72"/>
        <w:tabs>
          <w:tab w:val="left" w:pos="662"/>
          <w:tab w:val="left" w:pos="908"/>
          <w:tab w:val="left" w:pos="2945"/>
        </w:tabs>
        <w:spacing w:line="360" w:lineRule="exact"/>
        <w:ind w:firstLine="0"/>
        <w:rPr>
          <w:rFonts w:hint="eastAsia" w:ascii="宋体" w:hAnsi="宋体" w:eastAsia="宋体" w:cs="宋体"/>
          <w:b/>
          <w:bCs/>
          <w:color w:val="auto"/>
          <w:kern w:val="0"/>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kern w:val="0"/>
          <w:highlight w:val="none"/>
          <w:lang w:val="en-US" w:eastAsia="zh-CN"/>
        </w:rPr>
        <w:t>投标人</w:t>
      </w:r>
      <w:r>
        <w:rPr>
          <w:rFonts w:hint="eastAsia" w:ascii="宋体" w:hAnsi="宋体" w:eastAsia="宋体" w:cs="宋体"/>
          <w:b/>
          <w:bCs/>
          <w:color w:val="auto"/>
          <w:kern w:val="0"/>
          <w:highlight w:val="none"/>
        </w:rPr>
        <w:t>为联合体形式的，企业名称</w:t>
      </w:r>
      <w:r>
        <w:rPr>
          <w:rFonts w:hint="eastAsia" w:ascii="宋体" w:hAnsi="宋体" w:eastAsia="宋体" w:cs="宋体"/>
          <w:b/>
          <w:bCs/>
          <w:color w:val="auto"/>
          <w:kern w:val="0"/>
          <w:highlight w:val="none"/>
          <w:lang w:eastAsia="zh-CN"/>
        </w:rPr>
        <w:t>填写所有联合体成员名称，</w:t>
      </w:r>
      <w:r>
        <w:rPr>
          <w:rFonts w:hint="eastAsia" w:ascii="宋体" w:hAnsi="宋体" w:eastAsia="宋体" w:cs="宋体"/>
          <w:b/>
          <w:bCs/>
          <w:color w:val="auto"/>
          <w:kern w:val="0"/>
          <w:highlight w:val="none"/>
        </w:rPr>
        <w:t>盖章可只需联合体牵头方盖章。</w:t>
      </w:r>
    </w:p>
    <w:p w14:paraId="665D9695">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监狱企业资格证明材料</w:t>
      </w:r>
    </w:p>
    <w:p w14:paraId="7766F70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（注：符合条件的监狱企业请提供本函，不符合的不提供本函）</w:t>
      </w:r>
    </w:p>
    <w:p w14:paraId="0327ACE6">
      <w:pPr>
        <w:pStyle w:val="13"/>
        <w:spacing w:after="0" w:line="400" w:lineRule="exact"/>
        <w:ind w:left="0" w:leftChars="0" w:rightChars="0"/>
        <w:jc w:val="center"/>
        <w:rPr>
          <w:rFonts w:hint="eastAsia" w:ascii="宋体" w:hAnsi="宋体" w:eastAsia="宋体" w:cs="宋体"/>
          <w:b/>
          <w:bCs/>
          <w:color w:val="auto"/>
          <w:sz w:val="24"/>
          <w:highlight w:val="none"/>
        </w:rPr>
      </w:pPr>
    </w:p>
    <w:p w14:paraId="1FE17AF6">
      <w:pPr>
        <w:spacing w:line="360" w:lineRule="auto"/>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（省级以上监狱管理局、戒毒管理局（含新疆生产建设兵团）出具的属于监狱企业的证明文件）</w:t>
      </w:r>
    </w:p>
    <w:p w14:paraId="76CC0592">
      <w:pPr>
        <w:pStyle w:val="13"/>
        <w:spacing w:after="0" w:line="400" w:lineRule="exact"/>
        <w:ind w:left="0" w:leftChars="0" w:rightChars="0"/>
        <w:rPr>
          <w:rFonts w:hint="eastAsia" w:ascii="宋体" w:hAnsi="宋体" w:eastAsia="宋体" w:cs="宋体"/>
          <w:color w:val="auto"/>
          <w:sz w:val="22"/>
          <w:highlight w:val="none"/>
        </w:rPr>
      </w:pPr>
    </w:p>
    <w:p w14:paraId="13FACDDB">
      <w:pPr>
        <w:pStyle w:val="13"/>
        <w:spacing w:after="0" w:line="400" w:lineRule="exact"/>
        <w:ind w:left="0" w:leftChars="0" w:rightChars="0"/>
        <w:rPr>
          <w:rFonts w:hint="eastAsia" w:ascii="宋体" w:hAnsi="宋体" w:eastAsia="宋体" w:cs="宋体"/>
          <w:color w:val="auto"/>
          <w:sz w:val="22"/>
          <w:highlight w:val="none"/>
        </w:rPr>
      </w:pPr>
    </w:p>
    <w:p w14:paraId="2C4D9D49">
      <w:pPr>
        <w:pStyle w:val="13"/>
        <w:spacing w:after="0" w:line="400" w:lineRule="exact"/>
        <w:ind w:left="0" w:leftChars="0" w:rightChars="0"/>
        <w:rPr>
          <w:rFonts w:hint="eastAsia" w:ascii="宋体" w:hAnsi="宋体" w:eastAsia="宋体" w:cs="宋体"/>
          <w:color w:val="auto"/>
          <w:sz w:val="22"/>
          <w:highlight w:val="none"/>
        </w:rPr>
      </w:pPr>
    </w:p>
    <w:p w14:paraId="4B75BC08">
      <w:pPr>
        <w:pStyle w:val="13"/>
        <w:spacing w:after="0" w:line="400" w:lineRule="exact"/>
        <w:ind w:left="0" w:leftChars="0" w:rightChars="0"/>
        <w:rPr>
          <w:rFonts w:hint="eastAsia" w:ascii="宋体" w:hAnsi="宋体" w:eastAsia="宋体" w:cs="宋体"/>
          <w:color w:val="auto"/>
          <w:sz w:val="22"/>
          <w:highlight w:val="none"/>
        </w:rPr>
      </w:pPr>
    </w:p>
    <w:p w14:paraId="4F4BC2D5">
      <w:pPr>
        <w:pStyle w:val="13"/>
        <w:spacing w:after="0" w:line="400" w:lineRule="exact"/>
        <w:ind w:left="0" w:leftChars="0" w:rightChars="0"/>
        <w:rPr>
          <w:rFonts w:hint="eastAsia" w:ascii="宋体" w:hAnsi="宋体" w:eastAsia="宋体" w:cs="宋体"/>
          <w:color w:val="auto"/>
          <w:highlight w:val="none"/>
        </w:rPr>
      </w:pPr>
    </w:p>
    <w:p w14:paraId="6FA7FD2C">
      <w:pPr>
        <w:pStyle w:val="13"/>
        <w:spacing w:after="0" w:line="400" w:lineRule="exact"/>
        <w:ind w:left="0" w:leftChars="0" w:rightChars="0"/>
        <w:rPr>
          <w:rFonts w:hint="eastAsia" w:ascii="宋体" w:hAnsi="宋体" w:eastAsia="宋体" w:cs="宋体"/>
          <w:color w:val="auto"/>
          <w:highlight w:val="none"/>
        </w:rPr>
      </w:pPr>
    </w:p>
    <w:p w14:paraId="65AA545C">
      <w:pPr>
        <w:pStyle w:val="13"/>
        <w:spacing w:after="0" w:line="400" w:lineRule="exact"/>
        <w:ind w:left="0" w:leftChars="0" w:rightChars="0"/>
        <w:rPr>
          <w:rFonts w:hint="eastAsia" w:ascii="宋体" w:hAnsi="宋体" w:eastAsia="宋体" w:cs="宋体"/>
          <w:color w:val="auto"/>
          <w:highlight w:val="none"/>
        </w:rPr>
      </w:pPr>
    </w:p>
    <w:p w14:paraId="44443093">
      <w:pPr>
        <w:pStyle w:val="13"/>
        <w:spacing w:after="0" w:line="400" w:lineRule="exact"/>
        <w:ind w:left="0" w:leftChars="0" w:rightChars="0"/>
        <w:rPr>
          <w:rFonts w:hint="eastAsia" w:ascii="宋体" w:hAnsi="宋体" w:eastAsia="宋体" w:cs="宋体"/>
          <w:color w:val="auto"/>
          <w:highlight w:val="none"/>
        </w:rPr>
      </w:pPr>
    </w:p>
    <w:p w14:paraId="273DE354">
      <w:pPr>
        <w:pStyle w:val="13"/>
        <w:spacing w:after="0" w:line="400" w:lineRule="exact"/>
        <w:ind w:left="0" w:leftChars="0" w:rightChars="0"/>
        <w:rPr>
          <w:rFonts w:hint="eastAsia" w:ascii="宋体" w:hAnsi="宋体" w:eastAsia="宋体" w:cs="宋体"/>
          <w:color w:val="auto"/>
          <w:highlight w:val="none"/>
        </w:rPr>
      </w:pPr>
    </w:p>
    <w:p w14:paraId="23552137">
      <w:pPr>
        <w:pStyle w:val="13"/>
        <w:spacing w:after="0" w:line="400" w:lineRule="exact"/>
        <w:ind w:left="0" w:leftChars="0" w:rightChars="0"/>
        <w:rPr>
          <w:rFonts w:hint="eastAsia" w:ascii="宋体" w:hAnsi="宋体" w:eastAsia="宋体" w:cs="宋体"/>
          <w:color w:val="auto"/>
          <w:highlight w:val="none"/>
        </w:rPr>
      </w:pPr>
    </w:p>
    <w:p w14:paraId="2B9EC402">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残疾人福利性单位声明函</w:t>
      </w:r>
    </w:p>
    <w:p w14:paraId="4254ED4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（注：符合条件的残疾人福利性单位请提供本函，不符合的不提供本函）</w:t>
      </w:r>
    </w:p>
    <w:p w14:paraId="4809EECC">
      <w:pPr>
        <w:spacing w:line="400" w:lineRule="exact"/>
        <w:rPr>
          <w:rFonts w:hint="eastAsia" w:ascii="宋体" w:hAnsi="宋体" w:eastAsia="宋体" w:cs="宋体"/>
          <w:b/>
          <w:color w:val="auto"/>
          <w:spacing w:val="6"/>
          <w:sz w:val="30"/>
          <w:szCs w:val="30"/>
          <w:highlight w:val="none"/>
        </w:rPr>
      </w:pPr>
    </w:p>
    <w:p w14:paraId="38DA1D07">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AB7697">
      <w:pPr>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26C1C1A">
      <w:pPr>
        <w:spacing w:line="400" w:lineRule="exact"/>
        <w:ind w:firstLine="504" w:firstLineChars="200"/>
        <w:rPr>
          <w:rFonts w:hint="eastAsia" w:ascii="宋体" w:hAnsi="宋体" w:eastAsia="宋体" w:cs="宋体"/>
          <w:color w:val="auto"/>
          <w:spacing w:val="6"/>
          <w:sz w:val="24"/>
          <w:szCs w:val="24"/>
          <w:highlight w:val="none"/>
        </w:rPr>
      </w:pPr>
    </w:p>
    <w:p w14:paraId="0AF686CE">
      <w:pPr>
        <w:tabs>
          <w:tab w:val="left" w:pos="4860"/>
        </w:tabs>
        <w:spacing w:line="400" w:lineRule="exact"/>
        <w:ind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w:t>
      </w:r>
      <w:r>
        <w:rPr>
          <w:rFonts w:hint="eastAsia" w:ascii="宋体" w:hAnsi="宋体" w:eastAsia="宋体" w:cs="宋体"/>
          <w:color w:val="auto"/>
          <w:spacing w:val="6"/>
          <w:sz w:val="24"/>
          <w:szCs w:val="24"/>
          <w:highlight w:val="none"/>
          <w:lang w:eastAsia="zh-CN"/>
        </w:rPr>
        <w:t>公章或电子签章</w:t>
      </w:r>
      <w:r>
        <w:rPr>
          <w:rFonts w:hint="eastAsia" w:ascii="宋体" w:hAnsi="宋体" w:eastAsia="宋体" w:cs="宋体"/>
          <w:color w:val="auto"/>
          <w:spacing w:val="6"/>
          <w:sz w:val="24"/>
          <w:szCs w:val="24"/>
          <w:highlight w:val="none"/>
        </w:rPr>
        <w:t>）：</w:t>
      </w:r>
    </w:p>
    <w:p w14:paraId="58B9687C">
      <w:pPr>
        <w:tabs>
          <w:tab w:val="left" w:pos="4860"/>
        </w:tabs>
        <w:spacing w:line="400" w:lineRule="exact"/>
        <w:ind w:firstLine="504"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                           日        期：</w:t>
      </w:r>
    </w:p>
    <w:p w14:paraId="52A7A53B">
      <w:pPr>
        <w:spacing w:line="400" w:lineRule="exact"/>
        <w:rPr>
          <w:rFonts w:hint="eastAsia" w:ascii="宋体" w:hAnsi="宋体" w:eastAsia="宋体" w:cs="宋体"/>
          <w:b/>
          <w:color w:val="auto"/>
          <w:sz w:val="24"/>
          <w:szCs w:val="24"/>
          <w:highlight w:val="none"/>
        </w:rPr>
      </w:pPr>
    </w:p>
    <w:p w14:paraId="25255DC2">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投标人不属于残疾人福利性单位的，无需提供此声明函，如提供所引起的后果由投标人承担。中标人为残疾人福利性单位的，采购代理机构将随中标结果同时公告其《残疾人福利性单位声明函》，接受社会监督。</w:t>
      </w:r>
    </w:p>
    <w:p w14:paraId="3595475B">
      <w:pPr>
        <w:pageBreakBefore w:val="0"/>
        <w:kinsoku/>
        <w:wordWrap w:val="0"/>
        <w:topLinePunct w:val="0"/>
        <w:bidi w:val="0"/>
        <w:spacing w:line="360" w:lineRule="auto"/>
        <w:jc w:val="center"/>
        <w:rPr>
          <w:rFonts w:hint="eastAsia" w:ascii="宋体" w:hAnsi="宋体" w:eastAsia="宋体" w:cs="宋体"/>
          <w:b/>
          <w:color w:val="auto"/>
          <w:sz w:val="28"/>
          <w:szCs w:val="28"/>
          <w:highlight w:val="none"/>
        </w:rPr>
      </w:pPr>
    </w:p>
    <w:p w14:paraId="11BDF45D">
      <w:pPr>
        <w:pageBreakBefore w:val="0"/>
        <w:kinsoku/>
        <w:wordWrap/>
        <w:topLinePunct w:val="0"/>
        <w:bidi w:val="0"/>
        <w:spacing w:line="24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3ADA1E87">
      <w:pPr>
        <w:pageBreakBefore w:val="0"/>
        <w:kinsoku/>
        <w:wordWrap w:val="0"/>
        <w:topLinePunct w:val="0"/>
        <w:bidi w:val="0"/>
        <w:spacing w:line="400" w:lineRule="exact"/>
        <w:rPr>
          <w:rFonts w:hint="eastAsia" w:ascii="宋体" w:hAnsi="宋体" w:eastAsia="宋体" w:cs="宋体"/>
          <w:color w:val="auto"/>
          <w:sz w:val="22"/>
          <w:highlight w:val="none"/>
          <w:lang w:eastAsia="zh-CN"/>
        </w:rPr>
      </w:pPr>
      <w:r>
        <w:rPr>
          <w:rFonts w:hint="eastAsia" w:ascii="宋体" w:hAnsi="宋体" w:eastAsia="宋体" w:cs="宋体"/>
          <w:b/>
          <w:color w:val="auto"/>
          <w:sz w:val="24"/>
          <w:szCs w:val="24"/>
          <w:highlight w:val="none"/>
          <w:lang w:eastAsia="zh-CN"/>
        </w:rPr>
        <w:t>附件3-4</w:t>
      </w:r>
    </w:p>
    <w:p w14:paraId="64F69E0C">
      <w:pPr>
        <w:pageBreakBefore w:val="0"/>
        <w:numPr>
          <w:ilvl w:val="1"/>
          <w:numId w:val="0"/>
        </w:numPr>
        <w:kinsoku/>
        <w:wordWrap w:val="0"/>
        <w:topLinePunct w:val="0"/>
        <w:bidi w:val="0"/>
        <w:spacing w:line="360" w:lineRule="auto"/>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联合体投标协议书</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rPr>
        <w:t>分包意向协议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eastAsia="zh-CN"/>
        </w:rPr>
        <w:t>）</w:t>
      </w:r>
    </w:p>
    <w:p w14:paraId="0AF8754E">
      <w:pPr>
        <w:pageBreakBefore w:val="0"/>
        <w:numPr>
          <w:ilvl w:val="1"/>
          <w:numId w:val="0"/>
        </w:numPr>
        <w:kinsoku/>
        <w:wordWrap w:val="0"/>
        <w:topLinePunct w:val="0"/>
        <w:bidi w:val="0"/>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联合体投标协议书</w:t>
      </w:r>
    </w:p>
    <w:p w14:paraId="52D6D2E4">
      <w:pPr>
        <w:pageBreakBefore w:val="0"/>
        <w:widowControl/>
        <w:kinsoku/>
        <w:wordWrap w:val="0"/>
        <w:topLinePunct w:val="0"/>
        <w:bidi w:val="0"/>
        <w:snapToGrid w:val="0"/>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（以联合体形式投标的提供联合投标协议</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项目不接受联合体投标或投标人不以联合体形式投标的则不需要提供）</w:t>
      </w:r>
    </w:p>
    <w:p w14:paraId="5CB9B044">
      <w:pPr>
        <w:pageBreakBefore w:val="0"/>
        <w:kinsoku/>
        <w:wordWrap w:val="0"/>
        <w:topLinePunct w:val="0"/>
        <w:bidi w:val="0"/>
        <w:snapToGrid w:val="0"/>
        <w:spacing w:line="360" w:lineRule="exact"/>
        <w:ind w:firstLine="442" w:firstLineChars="201"/>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_______</w:t>
      </w:r>
      <w:r>
        <w:rPr>
          <w:rFonts w:hint="eastAsia" w:ascii="宋体" w:hAnsi="宋体" w:eastAsia="宋体" w:cs="宋体"/>
          <w:color w:val="auto"/>
          <w:kern w:val="0"/>
          <w:sz w:val="22"/>
          <w:highlight w:val="none"/>
          <w:u w:val="single"/>
        </w:rPr>
        <w:t>（联合体所有成员名称）</w:t>
      </w:r>
      <w:r>
        <w:rPr>
          <w:rFonts w:hint="eastAsia" w:ascii="宋体" w:hAnsi="宋体" w:eastAsia="宋体" w:cs="宋体"/>
          <w:color w:val="auto"/>
          <w:kern w:val="0"/>
          <w:sz w:val="22"/>
          <w:highlight w:val="none"/>
        </w:rPr>
        <w:t>自愿</w:t>
      </w:r>
      <w:r>
        <w:rPr>
          <w:rFonts w:hint="eastAsia" w:ascii="宋体" w:hAnsi="宋体" w:eastAsia="宋体" w:cs="宋体"/>
          <w:color w:val="auto"/>
          <w:kern w:val="0"/>
          <w:sz w:val="22"/>
          <w:highlight w:val="none"/>
          <w:lang w:val="zh-CN"/>
        </w:rPr>
        <w:t>组成一个联合体，以一个投标人的身份</w:t>
      </w:r>
      <w:r>
        <w:rPr>
          <w:rFonts w:hint="eastAsia" w:ascii="宋体" w:hAnsi="宋体" w:eastAsia="宋体" w:cs="宋体"/>
          <w:color w:val="auto"/>
          <w:kern w:val="0"/>
          <w:sz w:val="22"/>
          <w:highlight w:val="none"/>
        </w:rPr>
        <w:t>参加_______</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标项</w:t>
      </w:r>
      <w:r>
        <w:rPr>
          <w:rFonts w:hint="eastAsia" w:ascii="宋体" w:hAnsi="宋体" w:eastAsia="宋体" w:cs="宋体"/>
          <w:color w:val="auto"/>
          <w:sz w:val="22"/>
          <w:highlight w:val="none"/>
        </w:rPr>
        <w:t>名称）</w:t>
      </w:r>
      <w:r>
        <w:rPr>
          <w:rFonts w:hint="eastAsia" w:ascii="宋体" w:hAnsi="宋体" w:eastAsia="宋体" w:cs="宋体"/>
          <w:color w:val="auto"/>
          <w:kern w:val="0"/>
          <w:sz w:val="22"/>
          <w:highlight w:val="none"/>
        </w:rPr>
        <w:t>_______</w:t>
      </w:r>
      <w:r>
        <w:rPr>
          <w:rFonts w:hint="eastAsia" w:ascii="宋体" w:hAnsi="宋体" w:eastAsia="宋体" w:cs="宋体"/>
          <w:color w:val="auto"/>
          <w:sz w:val="22"/>
          <w:highlight w:val="none"/>
        </w:rPr>
        <w:t>（项目编号）</w:t>
      </w:r>
      <w:r>
        <w:rPr>
          <w:rFonts w:hint="eastAsia" w:ascii="宋体" w:hAnsi="宋体" w:eastAsia="宋体" w:cs="宋体"/>
          <w:bCs/>
          <w:color w:val="auto"/>
          <w:kern w:val="0"/>
          <w:sz w:val="22"/>
          <w:highlight w:val="none"/>
        </w:rPr>
        <w:t>的</w:t>
      </w:r>
      <w:r>
        <w:rPr>
          <w:rFonts w:hint="eastAsia" w:ascii="宋体" w:hAnsi="宋体" w:eastAsia="宋体" w:cs="宋体"/>
          <w:bCs/>
          <w:color w:val="auto"/>
          <w:kern w:val="0"/>
          <w:sz w:val="22"/>
          <w:highlight w:val="none"/>
          <w:lang w:eastAsia="zh-CN"/>
        </w:rPr>
        <w:t>采购</w:t>
      </w:r>
      <w:r>
        <w:rPr>
          <w:rFonts w:hint="eastAsia" w:ascii="宋体" w:hAnsi="宋体" w:eastAsia="宋体" w:cs="宋体"/>
          <w:bCs/>
          <w:color w:val="auto"/>
          <w:kern w:val="0"/>
          <w:sz w:val="22"/>
          <w:highlight w:val="none"/>
        </w:rPr>
        <w:t>活动</w:t>
      </w:r>
      <w:r>
        <w:rPr>
          <w:rFonts w:hint="eastAsia" w:ascii="宋体" w:hAnsi="宋体" w:eastAsia="宋体" w:cs="宋体"/>
          <w:color w:val="auto"/>
          <w:kern w:val="0"/>
          <w:sz w:val="22"/>
          <w:highlight w:val="none"/>
          <w:lang w:val="zh-CN"/>
        </w:rPr>
        <w:t>。</w:t>
      </w:r>
    </w:p>
    <w:p w14:paraId="739548B0">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现就有关联合投标事宜订立协议如下： </w:t>
      </w:r>
    </w:p>
    <w:p w14:paraId="4A046105">
      <w:pPr>
        <w:pageBreakBefore w:val="0"/>
        <w:widowControl/>
        <w:numPr>
          <w:ilvl w:val="0"/>
          <w:numId w:val="8"/>
        </w:numPr>
        <w:kinsoku/>
        <w:wordWrap w:val="0"/>
        <w:topLinePunct w:val="0"/>
        <w:bidi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（牵头人全称）              </w:t>
      </w:r>
      <w:r>
        <w:rPr>
          <w:rFonts w:hint="eastAsia" w:ascii="宋体" w:hAnsi="宋体" w:eastAsia="宋体" w:cs="宋体"/>
          <w:color w:val="auto"/>
          <w:kern w:val="0"/>
          <w:sz w:val="22"/>
          <w:highlight w:val="none"/>
        </w:rPr>
        <w:t>为联合体的牵头人，</w:t>
      </w:r>
    </w:p>
    <w:p w14:paraId="773A1F57">
      <w:pPr>
        <w:pageBreakBefore w:val="0"/>
        <w:widowControl/>
        <w:kinsoku/>
        <w:wordWrap w:val="0"/>
        <w:topLinePunct w:val="0"/>
        <w:bidi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u w:val="single"/>
        </w:rPr>
        <w:t xml:space="preserve">       （联合体其他成员全称）         </w:t>
      </w:r>
      <w:r>
        <w:rPr>
          <w:rFonts w:hint="eastAsia" w:ascii="宋体" w:hAnsi="宋体" w:eastAsia="宋体" w:cs="宋体"/>
          <w:color w:val="auto"/>
          <w:kern w:val="0"/>
          <w:sz w:val="22"/>
          <w:highlight w:val="none"/>
        </w:rPr>
        <w:t xml:space="preserve">为联合体的成员方； </w:t>
      </w:r>
    </w:p>
    <w:p w14:paraId="35698A15">
      <w:pPr>
        <w:pStyle w:val="10"/>
        <w:pageBreakBefore w:val="0"/>
        <w:kinsoku/>
        <w:wordWrap w:val="0"/>
        <w:topLinePunct w:val="0"/>
        <w:bidi w:val="0"/>
        <w:spacing w:line="360" w:lineRule="exact"/>
        <w:ind w:left="440" w:hanging="44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p>
    <w:p w14:paraId="302BE03F">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2、联合体内部有关事项规定如下： </w:t>
      </w:r>
    </w:p>
    <w:p w14:paraId="7463A18C">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（1）由牵头人代表本联合体与采购人联系，负责协调工作。 </w:t>
      </w:r>
    </w:p>
    <w:p w14:paraId="1C9D68E9">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14:paraId="4BA98F04">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14:paraId="6309663B">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（4）如中标，联合体内部将遵守以下规定： </w:t>
      </w:r>
    </w:p>
    <w:p w14:paraId="274E8272">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a．联合体牵头人和成员共同与采购人签订采购合同，并就中标项目向采购人</w:t>
      </w:r>
      <w:r>
        <w:rPr>
          <w:rFonts w:hint="eastAsia" w:ascii="宋体" w:hAnsi="宋体" w:eastAsia="宋体" w:cs="宋体"/>
          <w:color w:val="auto"/>
          <w:kern w:val="0"/>
          <w:sz w:val="22"/>
          <w:highlight w:val="none"/>
          <w:lang w:eastAsia="zh-CN"/>
        </w:rPr>
        <w:t>负</w:t>
      </w:r>
      <w:r>
        <w:rPr>
          <w:rFonts w:hint="eastAsia" w:ascii="宋体" w:hAnsi="宋体" w:eastAsia="宋体" w:cs="宋体"/>
          <w:color w:val="auto"/>
          <w:kern w:val="0"/>
          <w:sz w:val="22"/>
          <w:highlight w:val="none"/>
          <w:lang w:val="en-US" w:eastAsia="zh-CN"/>
        </w:rPr>
        <w:t>有</w:t>
      </w:r>
      <w:r>
        <w:rPr>
          <w:rFonts w:hint="eastAsia" w:ascii="宋体" w:hAnsi="宋体" w:eastAsia="宋体" w:cs="宋体"/>
          <w:color w:val="auto"/>
          <w:kern w:val="0"/>
          <w:sz w:val="22"/>
          <w:highlight w:val="none"/>
        </w:rPr>
        <w:t xml:space="preserve">连带的和各自的法律责任； </w:t>
      </w:r>
    </w:p>
    <w:p w14:paraId="7DE79C7F">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14:paraId="6F7D0342">
      <w:pPr>
        <w:pageBreakBefore w:val="0"/>
        <w:widowControl/>
        <w:kinsoku/>
        <w:wordWrap w:val="0"/>
        <w:topLinePunct w:val="0"/>
        <w:bidi w:val="0"/>
        <w:spacing w:line="40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c．联合体各方承担的工作和义务详细安排如下： </w:t>
      </w:r>
    </w:p>
    <w:p w14:paraId="40CE89D5">
      <w:pPr>
        <w:pageBreakBefore w:val="0"/>
        <w:widowControl/>
        <w:kinsoku/>
        <w:wordWrap w:val="0"/>
        <w:topLinePunct w:val="0"/>
        <w:bidi w:val="0"/>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14:paraId="1F90521B">
      <w:pPr>
        <w:pageBreakBefore w:val="0"/>
        <w:widowControl/>
        <w:kinsoku/>
        <w:wordWrap w:val="0"/>
        <w:topLinePunct w:val="0"/>
        <w:bidi w:val="0"/>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14:paraId="0E5609B3">
      <w:pPr>
        <w:pageBreakBefore w:val="0"/>
        <w:widowControl/>
        <w:kinsoku/>
        <w:wordWrap w:val="0"/>
        <w:topLinePunct w:val="0"/>
        <w:bidi w:val="0"/>
        <w:spacing w:line="40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___________________________________________________________________________________</w:t>
      </w:r>
    </w:p>
    <w:p w14:paraId="4178CF44">
      <w:pPr>
        <w:pageBreakBefore w:val="0"/>
        <w:widowControl/>
        <w:kinsoku/>
        <w:wordWrap w:val="0"/>
        <w:topLinePunct w:val="0"/>
        <w:bidi w:val="0"/>
        <w:spacing w:line="400" w:lineRule="exact"/>
        <w:jc w:val="left"/>
        <w:rPr>
          <w:rFonts w:hint="eastAsia" w:ascii="宋体" w:hAnsi="宋体" w:eastAsia="宋体" w:cs="宋体"/>
          <w:bCs/>
          <w:color w:val="auto"/>
          <w:highlight w:val="none"/>
        </w:rPr>
      </w:pPr>
      <w:r>
        <w:rPr>
          <w:rFonts w:hint="eastAsia" w:ascii="宋体" w:hAnsi="宋体" w:eastAsia="宋体" w:cs="宋体"/>
          <w:color w:val="auto"/>
          <w:kern w:val="0"/>
          <w:sz w:val="22"/>
          <w:highlight w:val="none"/>
        </w:rPr>
        <w:t xml:space="preserve">___________________________________________________________________________________ </w:t>
      </w:r>
    </w:p>
    <w:p w14:paraId="44DFC23D">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b/>
          <w:color w:val="auto"/>
          <w:kern w:val="0"/>
          <w:sz w:val="22"/>
          <w:highlight w:val="none"/>
        </w:rPr>
        <w:t xml:space="preserve">（5）投标工作和联合体在中标后项目实施过程中的有关合同占比按各自承担的工作量分摊，具体说明如下： </w:t>
      </w:r>
    </w:p>
    <w:p w14:paraId="69315817">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____________________________________________________________________________________  </w:t>
      </w:r>
    </w:p>
    <w:p w14:paraId="50C952A9">
      <w:pPr>
        <w:pageBreakBefore w:val="0"/>
        <w:widowControl/>
        <w:kinsoku/>
        <w:wordWrap w:val="0"/>
        <w:topLinePunct w:val="0"/>
        <w:bidi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____________________________________________________________________________________</w:t>
      </w:r>
      <w:r>
        <w:rPr>
          <w:rFonts w:hint="eastAsia" w:ascii="宋体" w:hAnsi="宋体" w:eastAsia="宋体" w:cs="宋体"/>
          <w:color w:val="auto"/>
          <w:kern w:val="0"/>
          <w:sz w:val="22"/>
          <w:highlight w:val="none"/>
          <w:u w:val="single"/>
        </w:rPr>
        <w:t xml:space="preserve">（牵头人全称）            </w:t>
      </w:r>
      <w:r>
        <w:rPr>
          <w:rFonts w:hint="eastAsia" w:ascii="宋体" w:hAnsi="宋体" w:eastAsia="宋体" w:cs="宋体"/>
          <w:color w:val="auto"/>
          <w:kern w:val="0"/>
          <w:sz w:val="22"/>
          <w:highlight w:val="none"/>
        </w:rPr>
        <w:t>合同占比：_______%</w:t>
      </w:r>
    </w:p>
    <w:p w14:paraId="4A07275C">
      <w:pPr>
        <w:pageBreakBefore w:val="0"/>
        <w:widowControl/>
        <w:kinsoku/>
        <w:wordWrap w:val="0"/>
        <w:topLinePunct w:val="0"/>
        <w:bidi w:val="0"/>
        <w:spacing w:line="400" w:lineRule="exact"/>
        <w:jc w:val="left"/>
        <w:rPr>
          <w:rFonts w:hint="eastAsia" w:ascii="宋体" w:hAnsi="宋体" w:eastAsia="宋体" w:cs="宋体"/>
          <w:b/>
          <w:color w:val="auto"/>
          <w:kern w:val="0"/>
          <w:sz w:val="22"/>
          <w:highlight w:val="none"/>
        </w:rPr>
      </w:pPr>
      <w:r>
        <w:rPr>
          <w:rFonts w:hint="eastAsia" w:ascii="宋体" w:hAnsi="宋体" w:eastAsia="宋体" w:cs="宋体"/>
          <w:color w:val="auto"/>
          <w:kern w:val="0"/>
          <w:sz w:val="22"/>
          <w:highlight w:val="none"/>
          <w:u w:val="single"/>
        </w:rPr>
        <w:t xml:space="preserve">（联合体其他成员全称）    </w:t>
      </w:r>
      <w:r>
        <w:rPr>
          <w:rFonts w:hint="eastAsia" w:ascii="宋体" w:hAnsi="宋体" w:eastAsia="宋体" w:cs="宋体"/>
          <w:color w:val="auto"/>
          <w:kern w:val="0"/>
          <w:sz w:val="22"/>
          <w:highlight w:val="none"/>
        </w:rPr>
        <w:t>合同占比：_______%</w:t>
      </w:r>
    </w:p>
    <w:p w14:paraId="080ABE50">
      <w:pPr>
        <w:pStyle w:val="10"/>
        <w:pageBreakBefore w:val="0"/>
        <w:kinsoku/>
        <w:wordWrap w:val="0"/>
        <w:topLinePunct w:val="0"/>
        <w:bidi w:val="0"/>
        <w:spacing w:line="360" w:lineRule="exact"/>
        <w:ind w:left="440" w:hanging="440"/>
        <w:jc w:val="left"/>
        <w:rPr>
          <w:rFonts w:hint="eastAsia" w:ascii="宋体" w:hAnsi="宋体" w:eastAsia="宋体" w:cs="宋体"/>
          <w:color w:val="auto"/>
          <w:highlight w:val="none"/>
        </w:rPr>
      </w:pPr>
      <w:r>
        <w:rPr>
          <w:rFonts w:hint="eastAsia" w:ascii="宋体" w:hAnsi="宋体" w:eastAsia="宋体" w:cs="宋体"/>
          <w:color w:val="auto"/>
          <w:sz w:val="22"/>
          <w:highlight w:val="none"/>
        </w:rPr>
        <w:t>......</w:t>
      </w:r>
    </w:p>
    <w:p w14:paraId="765D4820">
      <w:pPr>
        <w:pageBreakBefore w:val="0"/>
        <w:kinsoku/>
        <w:wordWrap w:val="0"/>
        <w:topLinePunct w:val="0"/>
        <w:bidi w:val="0"/>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、有关本次联合投标的其他事宜：</w:t>
      </w:r>
    </w:p>
    <w:p w14:paraId="29093D1B">
      <w:pPr>
        <w:pageBreakBefore w:val="0"/>
        <w:kinsoku/>
        <w:wordWrap w:val="0"/>
        <w:topLinePunct w:val="0"/>
        <w:bidi w:val="0"/>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zh-CN"/>
        </w:rPr>
        <w:t>）联合体各方不再单独参加或者与其他投标人另外组成联合体参加同一合同项下的采购活动。</w:t>
      </w:r>
    </w:p>
    <w:p w14:paraId="7AC33230">
      <w:pPr>
        <w:pageBreakBefore w:val="0"/>
        <w:kinsoku/>
        <w:wordWrap w:val="0"/>
        <w:topLinePunct w:val="0"/>
        <w:bidi w:val="0"/>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lang w:val="zh-CN"/>
        </w:rPr>
        <w:t>）联合体中有同类资质的各方按照联合体分工承担相同工作的，按照资质等级较低的投标人确定资质等级。</w:t>
      </w:r>
    </w:p>
    <w:p w14:paraId="185CA30D">
      <w:pPr>
        <w:pageBreakBefore w:val="0"/>
        <w:kinsoku/>
        <w:wordWrap w:val="0"/>
        <w:topLinePunct w:val="0"/>
        <w:bidi w:val="0"/>
        <w:snapToGrid w:val="0"/>
        <w:spacing w:line="360" w:lineRule="exact"/>
        <w:jc w:val="left"/>
        <w:rPr>
          <w:rFonts w:hint="eastAsia" w:ascii="宋体" w:hAnsi="宋体" w:eastAsia="宋体" w:cs="宋体"/>
          <w:color w:val="auto"/>
          <w:kern w:val="0"/>
          <w:sz w:val="22"/>
          <w:highlight w:val="none"/>
          <w:lang w:val="zh-CN"/>
        </w:rPr>
      </w:pPr>
      <w:r>
        <w:rPr>
          <w:rFonts w:hint="eastAsia" w:ascii="宋体" w:hAnsi="宋体" w:eastAsia="宋体" w:cs="宋体"/>
          <w:color w:val="auto"/>
          <w:kern w:val="0"/>
          <w:sz w:val="22"/>
          <w:highlight w:val="none"/>
          <w:lang w:val="zh-CN"/>
        </w:rPr>
        <w:t>（</w:t>
      </w: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zh-CN"/>
        </w:rPr>
        <w:t>）本协议提交采购人、采购机构后，联合体各方不得以任何形式对上述内容进行修改或撤销。</w:t>
      </w:r>
    </w:p>
    <w:p w14:paraId="4F411EB7">
      <w:pPr>
        <w:pageBreakBefore w:val="0"/>
        <w:kinsoku/>
        <w:wordWrap w:val="0"/>
        <w:topLinePunct w:val="0"/>
        <w:bidi w:val="0"/>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14:paraId="251A8426">
      <w:pPr>
        <w:pageBreakBefore w:val="0"/>
        <w:kinsoku/>
        <w:wordWrap w:val="0"/>
        <w:topLinePunct w:val="0"/>
        <w:bidi w:val="0"/>
        <w:snapToGrid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5、如中标，本项目的采购代理服务费由联合体牵头人缴纳，合同款支付至合同约定的牵头人账号。</w:t>
      </w:r>
    </w:p>
    <w:p w14:paraId="453EED9E">
      <w:pPr>
        <w:pageBreakBefore w:val="0"/>
        <w:widowControl/>
        <w:kinsoku/>
        <w:wordWrap w:val="0"/>
        <w:topLinePunct w:val="0"/>
        <w:bidi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sz w:val="22"/>
          <w:highlight w:val="none"/>
          <w:u w:val="single"/>
        </w:rPr>
        <w:t xml:space="preserve">6、      </w:t>
      </w:r>
      <w:r>
        <w:rPr>
          <w:rFonts w:hint="eastAsia" w:ascii="宋体" w:hAnsi="宋体" w:eastAsia="宋体" w:cs="宋体"/>
          <w:color w:val="auto"/>
          <w:kern w:val="0"/>
          <w:sz w:val="22"/>
          <w:highlight w:val="none"/>
          <w:u w:val="single"/>
          <w:lang w:val="zh-CN"/>
        </w:rPr>
        <w:t>（联</w:t>
      </w:r>
      <w:r>
        <w:rPr>
          <w:rFonts w:hint="eastAsia" w:ascii="宋体" w:hAnsi="宋体" w:eastAsia="宋体" w:cs="宋体"/>
          <w:color w:val="auto"/>
          <w:sz w:val="22"/>
          <w:highlight w:val="none"/>
          <w:u w:val="single"/>
        </w:rPr>
        <w:t>合体牵头人</w:t>
      </w:r>
      <w:r>
        <w:rPr>
          <w:rFonts w:hint="eastAsia" w:ascii="宋体" w:hAnsi="宋体" w:eastAsia="宋体" w:cs="宋体"/>
          <w:color w:val="auto"/>
          <w:kern w:val="0"/>
          <w:sz w:val="22"/>
          <w:highlight w:val="none"/>
          <w:u w:val="single"/>
          <w:lang w:val="zh-CN"/>
        </w:rPr>
        <w:t>）</w:t>
      </w:r>
      <w:r>
        <w:rPr>
          <w:rFonts w:hint="eastAsia" w:ascii="宋体" w:hAnsi="宋体" w:eastAsia="宋体" w:cs="宋体"/>
          <w:color w:val="auto"/>
          <w:sz w:val="22"/>
          <w:highlight w:val="none"/>
        </w:rPr>
        <w:t>与</w:t>
      </w:r>
      <w:r>
        <w:rPr>
          <w:rFonts w:hint="eastAsia" w:ascii="宋体" w:hAnsi="宋体" w:eastAsia="宋体" w:cs="宋体"/>
          <w:color w:val="auto"/>
          <w:sz w:val="22"/>
          <w:highlight w:val="none"/>
          <w:u w:val="single"/>
        </w:rPr>
        <w:t xml:space="preserve">       （</w:t>
      </w:r>
      <w:r>
        <w:rPr>
          <w:rFonts w:hint="eastAsia" w:ascii="宋体" w:hAnsi="宋体" w:eastAsia="宋体" w:cs="宋体"/>
          <w:color w:val="auto"/>
          <w:kern w:val="0"/>
          <w:sz w:val="22"/>
          <w:highlight w:val="none"/>
          <w:u w:val="single"/>
        </w:rPr>
        <w:t>联合体的成员方</w:t>
      </w:r>
      <w:r>
        <w:rPr>
          <w:rFonts w:hint="eastAsia" w:ascii="宋体" w:hAnsi="宋体" w:eastAsia="宋体" w:cs="宋体"/>
          <w:color w:val="auto"/>
          <w:sz w:val="22"/>
          <w:highlight w:val="none"/>
          <w:u w:val="single"/>
        </w:rPr>
        <w:t>）</w:t>
      </w:r>
      <w:r>
        <w:rPr>
          <w:rFonts w:hint="eastAsia" w:ascii="宋体" w:hAnsi="宋体" w:eastAsia="宋体" w:cs="宋体"/>
          <w:color w:val="auto"/>
          <w:sz w:val="22"/>
          <w:highlight w:val="none"/>
        </w:rPr>
        <w:t>之间</w:t>
      </w:r>
      <w:r>
        <w:rPr>
          <w:rFonts w:hint="eastAsia" w:ascii="宋体" w:hAnsi="宋体" w:eastAsia="宋体" w:cs="宋体"/>
          <w:color w:val="auto"/>
          <w:sz w:val="22"/>
          <w:highlight w:val="none"/>
          <w:u w:val="single"/>
        </w:rPr>
        <w:t xml:space="preserve">        （填写是或者否）</w:t>
      </w:r>
      <w:r>
        <w:rPr>
          <w:rFonts w:hint="eastAsia" w:ascii="宋体" w:hAnsi="宋体" w:eastAsia="宋体" w:cs="宋体"/>
          <w:color w:val="auto"/>
          <w:sz w:val="22"/>
          <w:highlight w:val="none"/>
        </w:rPr>
        <w:t>存在直接控股、管理关系。</w:t>
      </w:r>
    </w:p>
    <w:p w14:paraId="3D131C65">
      <w:pPr>
        <w:pageBreakBefore w:val="0"/>
        <w:widowControl/>
        <w:kinsoku/>
        <w:wordWrap w:val="0"/>
        <w:topLinePunct w:val="0"/>
        <w:bidi w:val="0"/>
        <w:spacing w:line="360" w:lineRule="exact"/>
        <w:jc w:val="left"/>
        <w:rPr>
          <w:rFonts w:hint="eastAsia" w:ascii="宋体" w:hAnsi="宋体" w:eastAsia="宋体" w:cs="宋体"/>
          <w:color w:val="auto"/>
          <w:kern w:val="0"/>
          <w:sz w:val="22"/>
          <w:highlight w:val="none"/>
        </w:rPr>
      </w:pPr>
    </w:p>
    <w:p w14:paraId="0D5617C0">
      <w:pPr>
        <w:pageBreakBefore w:val="0"/>
        <w:widowControl/>
        <w:kinsoku/>
        <w:wordWrap w:val="0"/>
        <w:topLinePunct w:val="0"/>
        <w:bidi w:val="0"/>
        <w:spacing w:line="360" w:lineRule="exact"/>
        <w:jc w:val="left"/>
        <w:rPr>
          <w:rFonts w:hint="eastAsia" w:ascii="宋体" w:hAnsi="宋体" w:eastAsia="宋体" w:cs="宋体"/>
          <w:color w:val="auto"/>
          <w:kern w:val="0"/>
          <w:sz w:val="22"/>
          <w:highlight w:val="none"/>
        </w:rPr>
      </w:pPr>
    </w:p>
    <w:p w14:paraId="40B70C89">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单位名称（盖章）：                                 单位名称（盖章）： </w:t>
      </w:r>
    </w:p>
    <w:p w14:paraId="188B0B5C">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地址：                                             地址： </w:t>
      </w:r>
    </w:p>
    <w:p w14:paraId="21DFB9E2">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法定代表人或授权代表（签字或盖章）：               法定代表人或授权代表（签字或盖章）： </w:t>
      </w:r>
    </w:p>
    <w:p w14:paraId="0156FAAD">
      <w:pPr>
        <w:pageBreakBefore w:val="0"/>
        <w:widowControl/>
        <w:kinsoku/>
        <w:wordWrap w:val="0"/>
        <w:topLinePunct w:val="0"/>
        <w:bidi w:val="0"/>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kern w:val="0"/>
          <w:sz w:val="22"/>
          <w:highlight w:val="none"/>
        </w:rPr>
        <w:t xml:space="preserve">联系方式：                                         联系方式： </w:t>
      </w:r>
    </w:p>
    <w:p w14:paraId="104EFCE2">
      <w:pPr>
        <w:pageBreakBefore w:val="0"/>
        <w:widowControl/>
        <w:kinsoku/>
        <w:wordWrap w:val="0"/>
        <w:topLinePunct w:val="0"/>
        <w:bidi w:val="0"/>
        <w:spacing w:line="36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协议签订时间：                                     协议签订时间：</w:t>
      </w:r>
    </w:p>
    <w:p w14:paraId="008628A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ACFC80D">
      <w:pPr>
        <w:pageBreakBefore w:val="0"/>
        <w:kinsoku/>
        <w:wordWrap w:val="0"/>
        <w:topLinePunct w:val="0"/>
        <w:bidi w:val="0"/>
        <w:snapToGrid w:val="0"/>
        <w:spacing w:line="400" w:lineRule="exact"/>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分包意向协议（</w:t>
      </w:r>
      <w:r>
        <w:rPr>
          <w:rFonts w:hint="eastAsia" w:ascii="宋体" w:hAnsi="宋体" w:eastAsia="宋体" w:cs="宋体"/>
          <w:b/>
          <w:bCs/>
          <w:color w:val="auto"/>
          <w:sz w:val="22"/>
          <w:highlight w:val="none"/>
          <w:u w:val="single"/>
        </w:rPr>
        <w:t>本项目不允许分包</w:t>
      </w:r>
      <w:r>
        <w:rPr>
          <w:rFonts w:hint="eastAsia" w:ascii="宋体" w:hAnsi="宋体" w:eastAsia="宋体" w:cs="宋体"/>
          <w:b/>
          <w:bCs/>
          <w:color w:val="auto"/>
          <w:sz w:val="28"/>
          <w:szCs w:val="28"/>
          <w:highlight w:val="none"/>
          <w:lang w:val="zh-CN"/>
        </w:rPr>
        <w:t>）</w:t>
      </w:r>
    </w:p>
    <w:p w14:paraId="571047A5">
      <w:pPr>
        <w:pageBreakBefore w:val="0"/>
        <w:widowControl/>
        <w:kinsoku/>
        <w:wordWrap w:val="0"/>
        <w:topLinePunct w:val="0"/>
        <w:bidi w:val="0"/>
        <w:snapToGrid w:val="0"/>
        <w:spacing w:line="360" w:lineRule="exact"/>
        <w:ind w:left="-210" w:leftChars="-100"/>
        <w:jc w:val="left"/>
        <w:rPr>
          <w:rFonts w:hint="eastAsia" w:ascii="宋体" w:hAnsi="宋体" w:eastAsia="宋体" w:cs="宋体"/>
          <w:b/>
          <w:bCs/>
          <w:color w:val="auto"/>
          <w:highlight w:val="none"/>
        </w:rPr>
      </w:pPr>
      <w:r>
        <w:rPr>
          <w:rFonts w:hint="eastAsia" w:ascii="宋体" w:hAnsi="宋体" w:eastAsia="宋体" w:cs="宋体"/>
          <w:b/>
          <w:bCs/>
          <w:color w:val="auto"/>
          <w:sz w:val="18"/>
          <w:szCs w:val="18"/>
          <w:highlight w:val="none"/>
        </w:rPr>
        <w:t>（中标后以分包方式履行合同的提供分包意向协议，采购人不同意分包或中标后不以分包方式履行合同的则不需要提供）</w:t>
      </w:r>
    </w:p>
    <w:p w14:paraId="52626036">
      <w:pPr>
        <w:pageBreakBefore w:val="0"/>
        <w:kinsoku/>
        <w:wordWrap w:val="0"/>
        <w:topLinePunct w:val="0"/>
        <w:bidi w:val="0"/>
        <w:snapToGrid w:val="0"/>
        <w:spacing w:line="360" w:lineRule="exact"/>
        <w:ind w:firstLine="440" w:firstLineChars="200"/>
        <w:jc w:val="left"/>
        <w:rPr>
          <w:rFonts w:hint="eastAsia" w:ascii="宋体" w:hAnsi="宋体" w:eastAsia="宋体" w:cs="宋体"/>
          <w:color w:val="auto"/>
          <w:kern w:val="0"/>
          <w:sz w:val="22"/>
          <w:highlight w:val="none"/>
          <w:u w:val="single"/>
        </w:rPr>
      </w:pPr>
    </w:p>
    <w:p w14:paraId="39F09E3A">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lang w:val="zh-CN"/>
        </w:rPr>
        <w:t>若成为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标项</w:t>
      </w:r>
      <w:r>
        <w:rPr>
          <w:rFonts w:hint="eastAsia" w:ascii="宋体" w:hAnsi="宋体" w:eastAsia="宋体" w:cs="宋体"/>
          <w:color w:val="auto"/>
          <w:kern w:val="0"/>
          <w:sz w:val="24"/>
          <w:szCs w:val="24"/>
          <w:highlight w:val="none"/>
          <w:u w:val="single"/>
        </w:rPr>
        <w:t>名称）</w:t>
      </w:r>
      <w:r>
        <w:rPr>
          <w:rFonts w:hint="eastAsia" w:ascii="宋体" w:hAnsi="宋体" w:eastAsia="宋体" w:cs="宋体"/>
          <w:color w:val="auto"/>
          <w:sz w:val="24"/>
          <w:szCs w:val="24"/>
          <w:highlight w:val="none"/>
          <w:u w:val="single"/>
        </w:rPr>
        <w:t>（项目编号：   ）</w:t>
      </w:r>
      <w:r>
        <w:rPr>
          <w:rFonts w:hint="eastAsia" w:ascii="宋体" w:hAnsi="宋体" w:eastAsia="宋体" w:cs="宋体"/>
          <w:color w:val="auto"/>
          <w:kern w:val="0"/>
          <w:sz w:val="24"/>
          <w:szCs w:val="24"/>
          <w:highlight w:val="none"/>
          <w:lang w:val="zh-CN"/>
        </w:rPr>
        <w:t>的中标</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zh-CN"/>
        </w:rPr>
        <w:t>，将依法采取分包方式履行合同。</w:t>
      </w: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u w:val="single"/>
        </w:rPr>
        <w:t>（所有分包投标人名称）</w:t>
      </w:r>
      <w:r>
        <w:rPr>
          <w:rFonts w:hint="eastAsia" w:ascii="宋体" w:hAnsi="宋体" w:eastAsia="宋体" w:cs="宋体"/>
          <w:color w:val="auto"/>
          <w:kern w:val="0"/>
          <w:sz w:val="24"/>
          <w:szCs w:val="24"/>
          <w:highlight w:val="none"/>
        </w:rPr>
        <w:t>达成分包意向协议</w:t>
      </w:r>
      <w:r>
        <w:rPr>
          <w:rFonts w:hint="eastAsia" w:ascii="宋体" w:hAnsi="宋体" w:eastAsia="宋体" w:cs="宋体"/>
          <w:color w:val="auto"/>
          <w:kern w:val="0"/>
          <w:sz w:val="24"/>
          <w:szCs w:val="24"/>
          <w:highlight w:val="none"/>
          <w:lang w:val="zh-CN"/>
        </w:rPr>
        <w:t>。</w:t>
      </w:r>
    </w:p>
    <w:p w14:paraId="7042F47E">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一、分包标的及数量</w:t>
      </w:r>
    </w:p>
    <w:p w14:paraId="3D694E44">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u w:val="single"/>
        </w:rPr>
        <w:t>（投标人名称）</w:t>
      </w:r>
      <w:r>
        <w:rPr>
          <w:rFonts w:hint="eastAsia" w:ascii="宋体" w:hAnsi="宋体" w:eastAsia="宋体" w:cs="宋体"/>
          <w:color w:val="auto"/>
          <w:kern w:val="0"/>
          <w:sz w:val="24"/>
          <w:szCs w:val="24"/>
          <w:highlight w:val="none"/>
          <w:lang w:val="zh-CN"/>
        </w:rPr>
        <w:t>将</w:t>
      </w:r>
      <w:r>
        <w:rPr>
          <w:rFonts w:hint="eastAsia" w:ascii="宋体" w:hAnsi="宋体" w:eastAsia="宋体" w:cs="宋体"/>
          <w:color w:val="auto"/>
          <w:sz w:val="24"/>
          <w:szCs w:val="24"/>
          <w:highlight w:val="none"/>
          <w:u w:val="single"/>
        </w:rPr>
        <w:t>XX工作内容</w:t>
      </w:r>
      <w:r>
        <w:rPr>
          <w:rFonts w:hint="eastAsia" w:ascii="宋体" w:hAnsi="宋体" w:eastAsia="宋体" w:cs="宋体"/>
          <w:color w:val="auto"/>
          <w:sz w:val="24"/>
          <w:szCs w:val="24"/>
          <w:highlight w:val="none"/>
        </w:rPr>
        <w:t>分包给</w:t>
      </w:r>
      <w:r>
        <w:rPr>
          <w:rFonts w:hint="eastAsia" w:ascii="宋体" w:hAnsi="宋体" w:eastAsia="宋体" w:cs="宋体"/>
          <w:color w:val="auto"/>
          <w:kern w:val="0"/>
          <w:sz w:val="24"/>
          <w:szCs w:val="24"/>
          <w:highlight w:val="none"/>
          <w:u w:val="single"/>
        </w:rPr>
        <w:t>（某分包投标人名称）</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rPr>
        <w:t>（某分包投标人名称）</w:t>
      </w:r>
      <w:r>
        <w:rPr>
          <w:rFonts w:hint="eastAsia" w:ascii="宋体" w:hAnsi="宋体" w:eastAsia="宋体" w:cs="宋体"/>
          <w:color w:val="auto"/>
          <w:kern w:val="0"/>
          <w:sz w:val="24"/>
          <w:szCs w:val="24"/>
          <w:highlight w:val="none"/>
          <w:lang w:val="zh-CN"/>
        </w:rPr>
        <w:t>具备承</w:t>
      </w:r>
      <w:r>
        <w:rPr>
          <w:rFonts w:hint="eastAsia" w:ascii="宋体" w:hAnsi="宋体" w:eastAsia="宋体" w:cs="宋体"/>
          <w:color w:val="auto"/>
          <w:kern w:val="0"/>
          <w:sz w:val="24"/>
          <w:szCs w:val="24"/>
          <w:highlight w:val="none"/>
        </w:rPr>
        <w:t>担</w:t>
      </w:r>
      <w:r>
        <w:rPr>
          <w:rFonts w:hint="eastAsia" w:ascii="宋体" w:hAnsi="宋体" w:eastAsia="宋体" w:cs="宋体"/>
          <w:color w:val="auto"/>
          <w:sz w:val="24"/>
          <w:szCs w:val="24"/>
          <w:highlight w:val="none"/>
          <w:u w:val="single"/>
        </w:rPr>
        <w:t>XX工作内容</w:t>
      </w:r>
      <w:r>
        <w:rPr>
          <w:rFonts w:hint="eastAsia" w:ascii="宋体" w:hAnsi="宋体" w:eastAsia="宋体" w:cs="宋体"/>
          <w:color w:val="auto"/>
          <w:kern w:val="0"/>
          <w:sz w:val="24"/>
          <w:szCs w:val="24"/>
          <w:highlight w:val="none"/>
          <w:lang w:val="zh-CN"/>
        </w:rPr>
        <w:t>相应资质条件且不得再次分包；</w:t>
      </w:r>
    </w:p>
    <w:p w14:paraId="234FB4D7">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p>
    <w:p w14:paraId="254C2FF9">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二、分包工作履行期限、地点、方式：</w:t>
      </w:r>
    </w:p>
    <w:p w14:paraId="3EB75FCA">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三、质量：</w:t>
      </w:r>
    </w:p>
    <w:p w14:paraId="3EBBE952">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四、价款或者报酬：</w:t>
      </w:r>
    </w:p>
    <w:p w14:paraId="57F45DB7">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五、违约责任：</w:t>
      </w:r>
    </w:p>
    <w:p w14:paraId="0B19E7C6">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六、争议解决的办法：</w:t>
      </w:r>
    </w:p>
    <w:p w14:paraId="6C54F52F">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七、其他：</w:t>
      </w:r>
    </w:p>
    <w:p w14:paraId="60494851">
      <w:pPr>
        <w:pageBreakBefore w:val="0"/>
        <w:kinsoku/>
        <w:wordWrap w:val="0"/>
        <w:topLinePunct w:val="0"/>
        <w:bidi w:val="0"/>
        <w:snapToGrid w:val="0"/>
        <w:spacing w:line="360" w:lineRule="auto"/>
        <w:ind w:firstLine="480" w:firstLineChars="200"/>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u w:val="single"/>
        </w:rPr>
        <w:t>（某分包投标人名称）</w:t>
      </w:r>
      <w:r>
        <w:rPr>
          <w:rFonts w:hint="eastAsia" w:ascii="宋体" w:hAnsi="宋体" w:eastAsia="宋体" w:cs="宋体"/>
          <w:color w:val="auto"/>
          <w:kern w:val="0"/>
          <w:sz w:val="24"/>
          <w:szCs w:val="24"/>
          <w:highlight w:val="none"/>
          <w:u w:val="single"/>
          <w:lang w:val="zh-CN"/>
        </w:rPr>
        <w:t>的合同份额占到合同总金额     %以上。</w:t>
      </w:r>
    </w:p>
    <w:p w14:paraId="31652751">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八、</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（投标人）与</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（分包企业）之间</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（填写是或者否）存在直接控股、管理关系。</w:t>
      </w:r>
    </w:p>
    <w:p w14:paraId="71CADF71">
      <w:pPr>
        <w:pageBreakBefore w:val="0"/>
        <w:kinsoku/>
        <w:wordWrap w:val="0"/>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九、中小企业合同金额达到</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%，小微企业合同金额达到</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 xml:space="preserve">%  。  </w:t>
      </w:r>
    </w:p>
    <w:p w14:paraId="0033FB0A">
      <w:pPr>
        <w:pageBreakBefore w:val="0"/>
        <w:kinsoku/>
        <w:wordWrap w:val="0"/>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val="zh-CN"/>
        </w:rPr>
      </w:pPr>
    </w:p>
    <w:p w14:paraId="73FC0A5B">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投标人全称(公章或电子签章)：</w:t>
      </w:r>
    </w:p>
    <w:p w14:paraId="7F38B67C">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分包投标人名称（公章）：</w:t>
      </w:r>
    </w:p>
    <w:p w14:paraId="166EC0E2">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01569918">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5609CBC">
      <w:pPr>
        <w:pageBreakBefore w:val="0"/>
        <w:kinsoku/>
        <w:wordWrap w:val="0"/>
        <w:topLinePunct w:val="0"/>
        <w:bidi w:val="0"/>
        <w:snapToGrid w:val="0"/>
        <w:spacing w:before="120" w:beforeLines="50" w:after="50"/>
        <w:jc w:val="center"/>
        <w:outlineLvl w:val="1"/>
        <w:rPr>
          <w:rFonts w:hint="eastAsia" w:ascii="宋体" w:hAnsi="宋体" w:eastAsia="宋体" w:cs="宋体"/>
          <w:b/>
          <w:color w:val="auto"/>
          <w:sz w:val="28"/>
          <w:szCs w:val="28"/>
          <w:highlight w:val="none"/>
        </w:rPr>
      </w:pPr>
      <w:bookmarkStart w:id="50" w:name="_Toc24047"/>
      <w:r>
        <w:rPr>
          <w:rFonts w:hint="eastAsia" w:ascii="宋体" w:hAnsi="宋体" w:eastAsia="宋体" w:cs="宋体"/>
          <w:b/>
          <w:bCs/>
          <w:color w:val="auto"/>
          <w:sz w:val="28"/>
          <w:szCs w:val="28"/>
          <w:highlight w:val="none"/>
        </w:rPr>
        <w:t>三、商务和技术文件部分封面格式</w:t>
      </w:r>
      <w:bookmarkEnd w:id="50"/>
    </w:p>
    <w:p w14:paraId="7F31FB25">
      <w:pPr>
        <w:pageBreakBefore w:val="0"/>
        <w:kinsoku/>
        <w:wordWrap w:val="0"/>
        <w:topLinePunct w:val="0"/>
        <w:bidi w:val="0"/>
        <w:snapToGrid w:val="0"/>
        <w:spacing w:before="120" w:beforeLines="50" w:after="50"/>
        <w:outlineLvl w:val="9"/>
        <w:rPr>
          <w:rFonts w:hint="eastAsia" w:ascii="宋体" w:hAnsi="宋体" w:eastAsia="宋体" w:cs="宋体"/>
          <w:b/>
          <w:bCs/>
          <w:color w:val="auto"/>
          <w:sz w:val="24"/>
          <w:highlight w:val="none"/>
        </w:rPr>
      </w:pPr>
    </w:p>
    <w:p w14:paraId="54CEF8BC">
      <w:pPr>
        <w:pStyle w:val="13"/>
        <w:pageBreakBefore w:val="0"/>
        <w:kinsoku/>
        <w:wordWrap w:val="0"/>
        <w:topLinePunct w:val="0"/>
        <w:bidi w:val="0"/>
        <w:ind w:left="0" w:leftChars="0" w:right="1470"/>
        <w:outlineLvl w:val="9"/>
        <w:rPr>
          <w:rFonts w:hint="eastAsia" w:ascii="宋体" w:hAnsi="宋体" w:eastAsia="宋体" w:cs="宋体"/>
          <w:b/>
          <w:color w:val="auto"/>
          <w:sz w:val="24"/>
          <w:szCs w:val="24"/>
          <w:highlight w:val="none"/>
        </w:rPr>
      </w:pPr>
    </w:p>
    <w:p w14:paraId="07D08651">
      <w:pPr>
        <w:pageBreakBefore w:val="0"/>
        <w:kinsoku/>
        <w:wordWrap w:val="0"/>
        <w:topLinePunct w:val="0"/>
        <w:bidi w:val="0"/>
        <w:snapToGrid w:val="0"/>
        <w:spacing w:line="400" w:lineRule="exact"/>
        <w:jc w:val="center"/>
        <w:outlineLvl w:val="9"/>
        <w:rPr>
          <w:rFonts w:hint="eastAsia" w:ascii="宋体" w:hAnsi="宋体" w:eastAsia="宋体" w:cs="宋体"/>
          <w:b/>
          <w:bCs/>
          <w:color w:val="auto"/>
          <w:sz w:val="24"/>
          <w:szCs w:val="20"/>
          <w:highlight w:val="none"/>
        </w:rPr>
      </w:pPr>
    </w:p>
    <w:p w14:paraId="5F6B4777">
      <w:pPr>
        <w:pageBreakBefore w:val="0"/>
        <w:kinsoku/>
        <w:wordWrap w:val="0"/>
        <w:topLinePunct w:val="0"/>
        <w:bidi w:val="0"/>
        <w:snapToGrid w:val="0"/>
        <w:spacing w:line="400" w:lineRule="exact"/>
        <w:jc w:val="center"/>
        <w:outlineLvl w:val="9"/>
        <w:rPr>
          <w:rFonts w:hint="eastAsia" w:ascii="宋体" w:hAnsi="宋体" w:eastAsia="宋体" w:cs="宋体"/>
          <w:bCs/>
          <w:color w:val="auto"/>
          <w:sz w:val="24"/>
          <w:szCs w:val="20"/>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8890" b="1841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68E749">
                            <w:pPr>
                              <w:snapToGrid w:val="0"/>
                              <w:spacing w:before="120" w:beforeLines="50" w:after="50"/>
                              <w:jc w:val="right"/>
                              <w:rPr>
                                <w:rFonts w:ascii="宋体" w:hAnsi="宋体"/>
                                <w:b/>
                                <w:bCs/>
                                <w:sz w:val="32"/>
                                <w:szCs w:val="20"/>
                              </w:rPr>
                            </w:pPr>
                          </w:p>
                          <w:p w14:paraId="2968263A">
                            <w:pPr>
                              <w:snapToGrid w:val="0"/>
                              <w:spacing w:before="120" w:beforeLines="50" w:after="50"/>
                              <w:ind w:left="-850" w:leftChars="-405"/>
                              <w:rPr>
                                <w:rFonts w:ascii="宋体" w:hAnsi="宋体"/>
                                <w:sz w:val="24"/>
                                <w:szCs w:val="20"/>
                              </w:rPr>
                            </w:pPr>
                          </w:p>
                          <w:p w14:paraId="46110E70">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14:paraId="403468AE">
                            <w:pPr>
                              <w:snapToGrid w:val="0"/>
                              <w:spacing w:before="120" w:beforeLines="50" w:after="50"/>
                              <w:rPr>
                                <w:rFonts w:ascii="宋体" w:hAnsi="宋体"/>
                                <w:bCs/>
                                <w:sz w:val="24"/>
                                <w:szCs w:val="20"/>
                              </w:rPr>
                            </w:pPr>
                          </w:p>
                          <w:p w14:paraId="41CA8852">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23ECE2DD">
                            <w:pPr>
                              <w:snapToGrid w:val="0"/>
                              <w:spacing w:before="120" w:beforeLines="50" w:after="50"/>
                              <w:ind w:firstLine="1068" w:firstLineChars="445"/>
                              <w:rPr>
                                <w:rFonts w:hint="eastAsia" w:ascii="宋体" w:hAnsi="宋体"/>
                                <w:bCs/>
                                <w:sz w:val="24"/>
                                <w:lang w:val="en-US" w:eastAsia="zh-CN"/>
                              </w:rPr>
                            </w:pPr>
                            <w:r>
                              <w:rPr>
                                <w:rFonts w:hint="eastAsia" w:ascii="宋体" w:hAnsi="宋体"/>
                                <w:bCs/>
                                <w:sz w:val="24"/>
                                <w:lang w:val="en-US" w:eastAsia="zh-CN"/>
                              </w:rPr>
                              <w:t>标项：</w:t>
                            </w:r>
                          </w:p>
                          <w:p w14:paraId="597F12DD">
                            <w:pPr>
                              <w:snapToGrid w:val="0"/>
                              <w:spacing w:before="120" w:beforeLines="50" w:after="50"/>
                              <w:ind w:firstLine="1068" w:firstLineChars="445"/>
                              <w:rPr>
                                <w:rFonts w:hint="default" w:ascii="宋体" w:hAnsi="宋体"/>
                                <w:bCs/>
                                <w:sz w:val="24"/>
                                <w:lang w:val="en-US" w:eastAsia="zh-CN"/>
                              </w:rPr>
                            </w:pPr>
                            <w:r>
                              <w:rPr>
                                <w:rFonts w:hint="eastAsia" w:ascii="宋体" w:hAnsi="宋体"/>
                                <w:bCs/>
                                <w:sz w:val="24"/>
                                <w:lang w:val="en-US" w:eastAsia="zh-CN"/>
                              </w:rPr>
                              <w:t>标项名称：</w:t>
                            </w:r>
                          </w:p>
                          <w:p w14:paraId="6600D809">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361C4918">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0A8DE7D2">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3B5606EB">
                            <w:pPr>
                              <w:snapToGrid w:val="0"/>
                              <w:spacing w:before="120" w:beforeLines="50" w:after="50"/>
                              <w:ind w:firstLine="1068" w:firstLineChars="445"/>
                              <w:rPr>
                                <w:rFonts w:ascii="宋体" w:hAnsi="宋体"/>
                                <w:bCs/>
                                <w:sz w:val="24"/>
                              </w:rPr>
                            </w:pPr>
                          </w:p>
                          <w:p w14:paraId="759D754A">
                            <w:pPr>
                              <w:snapToGrid w:val="0"/>
                              <w:spacing w:before="120" w:beforeLines="50" w:after="50"/>
                              <w:ind w:firstLine="4080" w:firstLineChars="1700"/>
                              <w:rPr>
                                <w:rFonts w:ascii="宋体" w:hAnsi="宋体"/>
                                <w:sz w:val="24"/>
                                <w:szCs w:val="20"/>
                              </w:rPr>
                            </w:pPr>
                          </w:p>
                          <w:p w14:paraId="35B3FFAE">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OixDfZAAAACQEAAA8AAAAAAAAAAQAgAAAAIgAA&#10;AGRycy9kb3ducmV2LnhtbFBLAQIUABQAAAAIAIdO4kAcCiaIBwIAAEYEAAAOAAAAAAAAAAEAIAAA&#10;ACgBAABkcnMvZTJvRG9jLnhtbFBLBQYAAAAABgAGAFkBAAChBQAAAAA=&#10;">
                <v:fill on="t" focussize="0,0"/>
                <v:stroke color="#000000" joinstyle="miter"/>
                <v:imagedata o:title=""/>
                <o:lock v:ext="edit" aspectratio="f"/>
                <v:textbox>
                  <w:txbxContent>
                    <w:p w14:paraId="6E68E749">
                      <w:pPr>
                        <w:snapToGrid w:val="0"/>
                        <w:spacing w:before="120" w:beforeLines="50" w:after="50"/>
                        <w:jc w:val="right"/>
                        <w:rPr>
                          <w:rFonts w:ascii="宋体" w:hAnsi="宋体"/>
                          <w:b/>
                          <w:bCs/>
                          <w:sz w:val="32"/>
                          <w:szCs w:val="20"/>
                        </w:rPr>
                      </w:pPr>
                    </w:p>
                    <w:p w14:paraId="2968263A">
                      <w:pPr>
                        <w:snapToGrid w:val="0"/>
                        <w:spacing w:before="120" w:beforeLines="50" w:after="50"/>
                        <w:ind w:left="-850" w:leftChars="-405"/>
                        <w:rPr>
                          <w:rFonts w:ascii="宋体" w:hAnsi="宋体"/>
                          <w:sz w:val="24"/>
                          <w:szCs w:val="20"/>
                        </w:rPr>
                      </w:pPr>
                    </w:p>
                    <w:p w14:paraId="46110E70">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14:paraId="403468AE">
                      <w:pPr>
                        <w:snapToGrid w:val="0"/>
                        <w:spacing w:before="120" w:beforeLines="50" w:after="50"/>
                        <w:rPr>
                          <w:rFonts w:ascii="宋体" w:hAnsi="宋体"/>
                          <w:bCs/>
                          <w:sz w:val="24"/>
                          <w:szCs w:val="20"/>
                        </w:rPr>
                      </w:pPr>
                    </w:p>
                    <w:p w14:paraId="41CA8852">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23ECE2DD">
                      <w:pPr>
                        <w:snapToGrid w:val="0"/>
                        <w:spacing w:before="120" w:beforeLines="50" w:after="50"/>
                        <w:ind w:firstLine="1068" w:firstLineChars="445"/>
                        <w:rPr>
                          <w:rFonts w:hint="eastAsia" w:ascii="宋体" w:hAnsi="宋体"/>
                          <w:bCs/>
                          <w:sz w:val="24"/>
                          <w:lang w:val="en-US" w:eastAsia="zh-CN"/>
                        </w:rPr>
                      </w:pPr>
                      <w:r>
                        <w:rPr>
                          <w:rFonts w:hint="eastAsia" w:ascii="宋体" w:hAnsi="宋体"/>
                          <w:bCs/>
                          <w:sz w:val="24"/>
                          <w:lang w:val="en-US" w:eastAsia="zh-CN"/>
                        </w:rPr>
                        <w:t>标项：</w:t>
                      </w:r>
                    </w:p>
                    <w:p w14:paraId="597F12DD">
                      <w:pPr>
                        <w:snapToGrid w:val="0"/>
                        <w:spacing w:before="120" w:beforeLines="50" w:after="50"/>
                        <w:ind w:firstLine="1068" w:firstLineChars="445"/>
                        <w:rPr>
                          <w:rFonts w:hint="default" w:ascii="宋体" w:hAnsi="宋体"/>
                          <w:bCs/>
                          <w:sz w:val="24"/>
                          <w:lang w:val="en-US" w:eastAsia="zh-CN"/>
                        </w:rPr>
                      </w:pPr>
                      <w:r>
                        <w:rPr>
                          <w:rFonts w:hint="eastAsia" w:ascii="宋体" w:hAnsi="宋体"/>
                          <w:bCs/>
                          <w:sz w:val="24"/>
                          <w:lang w:val="en-US" w:eastAsia="zh-CN"/>
                        </w:rPr>
                        <w:t>标项名称：</w:t>
                      </w:r>
                    </w:p>
                    <w:p w14:paraId="6600D809">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361C4918">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0A8DE7D2">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3B5606EB">
                      <w:pPr>
                        <w:snapToGrid w:val="0"/>
                        <w:spacing w:before="120" w:beforeLines="50" w:after="50"/>
                        <w:ind w:firstLine="1068" w:firstLineChars="445"/>
                        <w:rPr>
                          <w:rFonts w:ascii="宋体" w:hAnsi="宋体"/>
                          <w:bCs/>
                          <w:sz w:val="24"/>
                        </w:rPr>
                      </w:pPr>
                    </w:p>
                    <w:p w14:paraId="759D754A">
                      <w:pPr>
                        <w:snapToGrid w:val="0"/>
                        <w:spacing w:before="120" w:beforeLines="50" w:after="50"/>
                        <w:ind w:firstLine="4080" w:firstLineChars="1700"/>
                        <w:rPr>
                          <w:rFonts w:ascii="宋体" w:hAnsi="宋体"/>
                          <w:sz w:val="24"/>
                          <w:szCs w:val="20"/>
                        </w:rPr>
                      </w:pPr>
                    </w:p>
                    <w:p w14:paraId="35B3FFAE">
                      <w:pPr>
                        <w:jc w:val="center"/>
                      </w:pPr>
                      <w:r>
                        <w:rPr>
                          <w:rFonts w:hint="eastAsia"/>
                          <w:sz w:val="24"/>
                        </w:rPr>
                        <w:t>年  月  日</w:t>
                      </w:r>
                    </w:p>
                  </w:txbxContent>
                </v:textbox>
                <w10:wrap type="topAndBottom"/>
              </v:shape>
            </w:pict>
          </mc:Fallback>
        </mc:AlternateContent>
      </w:r>
    </w:p>
    <w:p w14:paraId="7AE7707A">
      <w:pPr>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672C506">
      <w:pPr>
        <w:pageBreakBefore w:val="0"/>
        <w:kinsoku/>
        <w:wordWrap w:val="0"/>
        <w:topLinePunct w:val="0"/>
        <w:bidi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highlight w:val="none"/>
        </w:rPr>
        <w:t>商务和技术文件</w:t>
      </w:r>
    </w:p>
    <w:p w14:paraId="4301E011">
      <w:pPr>
        <w:pageBreakBefore w:val="0"/>
        <w:kinsoku/>
        <w:wordWrap w:val="0"/>
        <w:topLinePunct w:val="0"/>
        <w:bidi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附件4</w:t>
      </w:r>
    </w:p>
    <w:p w14:paraId="347DE5C1">
      <w:pPr>
        <w:pageBreakBefore w:val="0"/>
        <w:kinsoku/>
        <w:wordWrap w:val="0"/>
        <w:topLinePunct w:val="0"/>
        <w:bidi w:val="0"/>
        <w:spacing w:line="4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商务和技术文件投标文件</w:t>
      </w:r>
    </w:p>
    <w:p w14:paraId="76847EB1">
      <w:pPr>
        <w:pageBreakBefore w:val="0"/>
        <w:kinsoku/>
        <w:wordWrap w:val="0"/>
        <w:topLinePunct w:val="0"/>
        <w:bidi w:val="0"/>
        <w:spacing w:line="4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评分索引表</w:t>
      </w:r>
    </w:p>
    <w:p w14:paraId="68488D36">
      <w:pPr>
        <w:pageBreakBefore w:val="0"/>
        <w:kinsoku/>
        <w:wordWrap w:val="0"/>
        <w:topLinePunct w:val="0"/>
        <w:bidi w:val="0"/>
        <w:spacing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为了方便专家评审投标文件，针对招标文件评分细则要求，投标人应制作标书索引，置于投标文件首页，格式如下：</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14:paraId="7386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075081FD">
            <w:pPr>
              <w:pageBreakBefore w:val="0"/>
              <w:kinsoku/>
              <w:wordWrap w:val="0"/>
              <w:topLinePunct w:val="0"/>
              <w:bidi w:val="0"/>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序号</w:t>
            </w:r>
          </w:p>
        </w:tc>
        <w:tc>
          <w:tcPr>
            <w:tcW w:w="6956" w:type="dxa"/>
            <w:vAlign w:val="center"/>
          </w:tcPr>
          <w:p w14:paraId="1F068491">
            <w:pPr>
              <w:pageBreakBefore w:val="0"/>
              <w:kinsoku/>
              <w:wordWrap w:val="0"/>
              <w:topLinePunct w:val="0"/>
              <w:bidi w:val="0"/>
              <w:spacing w:line="400" w:lineRule="exact"/>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评分内容</w:t>
            </w:r>
          </w:p>
        </w:tc>
        <w:tc>
          <w:tcPr>
            <w:tcW w:w="1313" w:type="dxa"/>
            <w:vAlign w:val="center"/>
          </w:tcPr>
          <w:p w14:paraId="506636B9">
            <w:pPr>
              <w:pStyle w:val="59"/>
              <w:pageBreakBefore w:val="0"/>
              <w:kinsoku/>
              <w:wordWrap w:val="0"/>
              <w:topLinePunct w:val="0"/>
              <w:bidi w:val="0"/>
              <w:spacing w:line="400" w:lineRule="exact"/>
              <w:rPr>
                <w:rFonts w:hint="eastAsia" w:ascii="宋体" w:hAnsi="宋体" w:eastAsia="宋体" w:cs="宋体"/>
                <w:b/>
                <w:color w:val="auto"/>
                <w:spacing w:val="-6"/>
                <w:szCs w:val="24"/>
                <w:highlight w:val="none"/>
              </w:rPr>
            </w:pPr>
            <w:r>
              <w:rPr>
                <w:rFonts w:hint="eastAsia" w:ascii="宋体" w:hAnsi="宋体" w:eastAsia="宋体" w:cs="宋体"/>
                <w:b/>
                <w:color w:val="auto"/>
                <w:spacing w:val="-6"/>
                <w:szCs w:val="24"/>
                <w:highlight w:val="none"/>
              </w:rPr>
              <w:t>页码</w:t>
            </w:r>
          </w:p>
        </w:tc>
      </w:tr>
      <w:tr w14:paraId="4F4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3E04CA84">
            <w:pPr>
              <w:pageBreakBefore w:val="0"/>
              <w:kinsoku/>
              <w:wordWrap w:val="0"/>
              <w:topLinePunct w:val="0"/>
              <w:bidi w:val="0"/>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w:t>
            </w:r>
          </w:p>
        </w:tc>
        <w:tc>
          <w:tcPr>
            <w:tcW w:w="6956" w:type="dxa"/>
            <w:vAlign w:val="center"/>
          </w:tcPr>
          <w:p w14:paraId="556D1D1E">
            <w:pPr>
              <w:pageBreakBefore w:val="0"/>
              <w:kinsoku/>
              <w:wordWrap w:val="0"/>
              <w:topLinePunct w:val="0"/>
              <w:bidi w:val="0"/>
              <w:spacing w:line="400" w:lineRule="exact"/>
              <w:jc w:val="left"/>
              <w:rPr>
                <w:rFonts w:hint="eastAsia" w:ascii="宋体" w:hAnsi="宋体" w:eastAsia="宋体" w:cs="宋体"/>
                <w:color w:val="auto"/>
                <w:kern w:val="0"/>
                <w:sz w:val="24"/>
                <w:szCs w:val="24"/>
                <w:highlight w:val="none"/>
              </w:rPr>
            </w:pPr>
          </w:p>
          <w:p w14:paraId="4C005E7A">
            <w:pPr>
              <w:pageBreakBefore w:val="0"/>
              <w:kinsoku/>
              <w:wordWrap w:val="0"/>
              <w:topLinePunct w:val="0"/>
              <w:bidi w:val="0"/>
              <w:spacing w:line="400" w:lineRule="exact"/>
              <w:jc w:val="left"/>
              <w:rPr>
                <w:rFonts w:hint="eastAsia" w:ascii="宋体" w:hAnsi="宋体" w:eastAsia="宋体" w:cs="宋体"/>
                <w:color w:val="auto"/>
                <w:kern w:val="0"/>
                <w:sz w:val="24"/>
                <w:szCs w:val="24"/>
                <w:highlight w:val="none"/>
              </w:rPr>
            </w:pPr>
          </w:p>
        </w:tc>
        <w:tc>
          <w:tcPr>
            <w:tcW w:w="1313" w:type="dxa"/>
            <w:vAlign w:val="center"/>
          </w:tcPr>
          <w:p w14:paraId="06590E6B">
            <w:pPr>
              <w:pStyle w:val="10"/>
              <w:pageBreakBefore w:val="0"/>
              <w:kinsoku/>
              <w:wordWrap w:val="0"/>
              <w:topLinePunct w:val="0"/>
              <w:bidi w:val="0"/>
              <w:spacing w:line="400" w:lineRule="exact"/>
              <w:ind w:left="456" w:hanging="456"/>
              <w:rPr>
                <w:rFonts w:hint="eastAsia" w:ascii="宋体" w:hAnsi="宋体" w:eastAsia="宋体" w:cs="宋体"/>
                <w:color w:val="auto"/>
                <w:spacing w:val="-6"/>
                <w:szCs w:val="24"/>
                <w:highlight w:val="none"/>
              </w:rPr>
            </w:pPr>
          </w:p>
        </w:tc>
      </w:tr>
      <w:tr w14:paraId="1B1A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13596CAA">
            <w:pPr>
              <w:pageBreakBefore w:val="0"/>
              <w:kinsoku/>
              <w:wordWrap w:val="0"/>
              <w:topLinePunct w:val="0"/>
              <w:bidi w:val="0"/>
              <w:spacing w:line="400" w:lineRule="exac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2</w:t>
            </w:r>
          </w:p>
        </w:tc>
        <w:tc>
          <w:tcPr>
            <w:tcW w:w="6956" w:type="dxa"/>
            <w:vAlign w:val="center"/>
          </w:tcPr>
          <w:p w14:paraId="4EAFE148">
            <w:pPr>
              <w:pageBreakBefore w:val="0"/>
              <w:kinsoku/>
              <w:wordWrap w:val="0"/>
              <w:topLinePunct w:val="0"/>
              <w:bidi w:val="0"/>
              <w:spacing w:line="400" w:lineRule="exact"/>
              <w:jc w:val="left"/>
              <w:rPr>
                <w:rFonts w:hint="eastAsia" w:ascii="宋体" w:hAnsi="宋体" w:eastAsia="宋体" w:cs="宋体"/>
                <w:color w:val="auto"/>
                <w:kern w:val="0"/>
                <w:sz w:val="24"/>
                <w:szCs w:val="24"/>
                <w:highlight w:val="none"/>
              </w:rPr>
            </w:pPr>
          </w:p>
        </w:tc>
        <w:tc>
          <w:tcPr>
            <w:tcW w:w="1313" w:type="dxa"/>
            <w:vAlign w:val="center"/>
          </w:tcPr>
          <w:p w14:paraId="39D6178E">
            <w:pPr>
              <w:pStyle w:val="10"/>
              <w:pageBreakBefore w:val="0"/>
              <w:kinsoku/>
              <w:wordWrap w:val="0"/>
              <w:topLinePunct w:val="0"/>
              <w:bidi w:val="0"/>
              <w:spacing w:line="400" w:lineRule="exact"/>
              <w:rPr>
                <w:rFonts w:hint="eastAsia" w:ascii="宋体" w:hAnsi="宋体" w:eastAsia="宋体" w:cs="宋体"/>
                <w:color w:val="auto"/>
                <w:szCs w:val="24"/>
                <w:highlight w:val="none"/>
              </w:rPr>
            </w:pPr>
          </w:p>
        </w:tc>
      </w:tr>
      <w:tr w14:paraId="1D00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11D50474">
            <w:pPr>
              <w:pageBreakBefore w:val="0"/>
              <w:kinsoku/>
              <w:wordWrap w:val="0"/>
              <w:topLinePunct w:val="0"/>
              <w:bidi w:val="0"/>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p>
        </w:tc>
        <w:tc>
          <w:tcPr>
            <w:tcW w:w="6956" w:type="dxa"/>
            <w:vAlign w:val="center"/>
          </w:tcPr>
          <w:p w14:paraId="1477FA78">
            <w:pPr>
              <w:pageBreakBefore w:val="0"/>
              <w:kinsoku/>
              <w:wordWrap w:val="0"/>
              <w:topLinePunct w:val="0"/>
              <w:bidi w:val="0"/>
              <w:spacing w:line="400" w:lineRule="exact"/>
              <w:rPr>
                <w:rFonts w:hint="eastAsia" w:ascii="宋体" w:hAnsi="宋体" w:eastAsia="宋体" w:cs="宋体"/>
                <w:color w:val="auto"/>
                <w:sz w:val="24"/>
                <w:szCs w:val="24"/>
                <w:highlight w:val="none"/>
              </w:rPr>
            </w:pPr>
          </w:p>
        </w:tc>
        <w:tc>
          <w:tcPr>
            <w:tcW w:w="1313" w:type="dxa"/>
          </w:tcPr>
          <w:p w14:paraId="799228CC">
            <w:pPr>
              <w:pageBreakBefore w:val="0"/>
              <w:kinsoku/>
              <w:wordWrap w:val="0"/>
              <w:topLinePunct w:val="0"/>
              <w:bidi w:val="0"/>
              <w:spacing w:line="400" w:lineRule="exact"/>
              <w:rPr>
                <w:rFonts w:hint="eastAsia" w:ascii="宋体" w:hAnsi="宋体" w:eastAsia="宋体" w:cs="宋体"/>
                <w:bCs/>
                <w:color w:val="auto"/>
                <w:sz w:val="24"/>
                <w:szCs w:val="24"/>
                <w:highlight w:val="none"/>
              </w:rPr>
            </w:pPr>
          </w:p>
        </w:tc>
      </w:tr>
      <w:tr w14:paraId="7360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793A65C6">
            <w:pPr>
              <w:pageBreakBefore w:val="0"/>
              <w:kinsoku/>
              <w:wordWrap w:val="0"/>
              <w:topLinePunct w:val="0"/>
              <w:bidi w:val="0"/>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w:t>
            </w:r>
          </w:p>
        </w:tc>
        <w:tc>
          <w:tcPr>
            <w:tcW w:w="6956" w:type="dxa"/>
            <w:vAlign w:val="center"/>
          </w:tcPr>
          <w:p w14:paraId="36E3FD00">
            <w:pPr>
              <w:pageBreakBefore w:val="0"/>
              <w:kinsoku/>
              <w:wordWrap w:val="0"/>
              <w:topLinePunct w:val="0"/>
              <w:bidi w:val="0"/>
              <w:spacing w:line="400" w:lineRule="exact"/>
              <w:rPr>
                <w:rFonts w:hint="eastAsia" w:ascii="宋体" w:hAnsi="宋体" w:eastAsia="宋体" w:cs="宋体"/>
                <w:color w:val="auto"/>
                <w:sz w:val="24"/>
                <w:szCs w:val="24"/>
                <w:highlight w:val="none"/>
              </w:rPr>
            </w:pPr>
          </w:p>
        </w:tc>
        <w:tc>
          <w:tcPr>
            <w:tcW w:w="1313" w:type="dxa"/>
          </w:tcPr>
          <w:p w14:paraId="154BC428">
            <w:pPr>
              <w:pageBreakBefore w:val="0"/>
              <w:kinsoku/>
              <w:wordWrap w:val="0"/>
              <w:topLinePunct w:val="0"/>
              <w:bidi w:val="0"/>
              <w:spacing w:line="400" w:lineRule="exact"/>
              <w:rPr>
                <w:rFonts w:hint="eastAsia" w:ascii="宋体" w:hAnsi="宋体" w:eastAsia="宋体" w:cs="宋体"/>
                <w:bCs/>
                <w:color w:val="auto"/>
                <w:sz w:val="24"/>
                <w:szCs w:val="24"/>
                <w:highlight w:val="none"/>
              </w:rPr>
            </w:pPr>
          </w:p>
        </w:tc>
      </w:tr>
      <w:tr w14:paraId="3C89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08403F1E">
            <w:pPr>
              <w:pageBreakBefore w:val="0"/>
              <w:kinsoku/>
              <w:wordWrap w:val="0"/>
              <w:topLinePunct w:val="0"/>
              <w:bidi w:val="0"/>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w:t>
            </w:r>
          </w:p>
        </w:tc>
        <w:tc>
          <w:tcPr>
            <w:tcW w:w="6956" w:type="dxa"/>
            <w:vAlign w:val="center"/>
          </w:tcPr>
          <w:p w14:paraId="3C45B685">
            <w:pPr>
              <w:pageBreakBefore w:val="0"/>
              <w:kinsoku/>
              <w:wordWrap w:val="0"/>
              <w:topLinePunct w:val="0"/>
              <w:bidi w:val="0"/>
              <w:spacing w:line="400" w:lineRule="exact"/>
              <w:jc w:val="left"/>
              <w:rPr>
                <w:rFonts w:hint="eastAsia" w:ascii="宋体" w:hAnsi="宋体" w:eastAsia="宋体" w:cs="宋体"/>
                <w:color w:val="auto"/>
                <w:sz w:val="24"/>
                <w:szCs w:val="24"/>
                <w:highlight w:val="none"/>
              </w:rPr>
            </w:pPr>
          </w:p>
        </w:tc>
        <w:tc>
          <w:tcPr>
            <w:tcW w:w="1313" w:type="dxa"/>
          </w:tcPr>
          <w:p w14:paraId="6CC1F28B">
            <w:pPr>
              <w:pageBreakBefore w:val="0"/>
              <w:kinsoku/>
              <w:wordWrap w:val="0"/>
              <w:topLinePunct w:val="0"/>
              <w:bidi w:val="0"/>
              <w:spacing w:line="400" w:lineRule="exact"/>
              <w:rPr>
                <w:rFonts w:hint="eastAsia" w:ascii="宋体" w:hAnsi="宋体" w:eastAsia="宋体" w:cs="宋体"/>
                <w:bCs/>
                <w:color w:val="auto"/>
                <w:sz w:val="24"/>
                <w:szCs w:val="24"/>
                <w:highlight w:val="none"/>
              </w:rPr>
            </w:pPr>
          </w:p>
        </w:tc>
      </w:tr>
      <w:tr w14:paraId="1E98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46E8FC8E">
            <w:pPr>
              <w:pageBreakBefore w:val="0"/>
              <w:kinsoku/>
              <w:wordWrap w:val="0"/>
              <w:topLinePunct w:val="0"/>
              <w:bidi w:val="0"/>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w:t>
            </w:r>
          </w:p>
        </w:tc>
        <w:tc>
          <w:tcPr>
            <w:tcW w:w="6956" w:type="dxa"/>
            <w:vAlign w:val="center"/>
          </w:tcPr>
          <w:p w14:paraId="21410F51">
            <w:pPr>
              <w:pageBreakBefore w:val="0"/>
              <w:kinsoku/>
              <w:wordWrap w:val="0"/>
              <w:topLinePunct w:val="0"/>
              <w:bidi w:val="0"/>
              <w:spacing w:line="400" w:lineRule="exact"/>
              <w:jc w:val="left"/>
              <w:rPr>
                <w:rFonts w:hint="eastAsia" w:ascii="宋体" w:hAnsi="宋体" w:eastAsia="宋体" w:cs="宋体"/>
                <w:color w:val="auto"/>
                <w:sz w:val="24"/>
                <w:szCs w:val="24"/>
                <w:highlight w:val="none"/>
              </w:rPr>
            </w:pPr>
          </w:p>
        </w:tc>
        <w:tc>
          <w:tcPr>
            <w:tcW w:w="1313" w:type="dxa"/>
          </w:tcPr>
          <w:p w14:paraId="69F2B413">
            <w:pPr>
              <w:pageBreakBefore w:val="0"/>
              <w:kinsoku/>
              <w:wordWrap w:val="0"/>
              <w:topLinePunct w:val="0"/>
              <w:bidi w:val="0"/>
              <w:spacing w:line="400" w:lineRule="exact"/>
              <w:rPr>
                <w:rFonts w:hint="eastAsia" w:ascii="宋体" w:hAnsi="宋体" w:eastAsia="宋体" w:cs="宋体"/>
                <w:bCs/>
                <w:color w:val="auto"/>
                <w:sz w:val="24"/>
                <w:szCs w:val="24"/>
                <w:highlight w:val="none"/>
              </w:rPr>
            </w:pPr>
          </w:p>
        </w:tc>
      </w:tr>
      <w:tr w14:paraId="6B74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429831B8">
            <w:pPr>
              <w:pageBreakBefore w:val="0"/>
              <w:kinsoku/>
              <w:wordWrap w:val="0"/>
              <w:topLinePunct w:val="0"/>
              <w:bidi w:val="0"/>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w:t>
            </w:r>
          </w:p>
        </w:tc>
        <w:tc>
          <w:tcPr>
            <w:tcW w:w="6956" w:type="dxa"/>
            <w:vAlign w:val="center"/>
          </w:tcPr>
          <w:p w14:paraId="0A88C0AD">
            <w:pPr>
              <w:pageBreakBefore w:val="0"/>
              <w:kinsoku/>
              <w:wordWrap w:val="0"/>
              <w:topLinePunct w:val="0"/>
              <w:bidi w:val="0"/>
              <w:spacing w:line="400" w:lineRule="exact"/>
              <w:jc w:val="left"/>
              <w:rPr>
                <w:rFonts w:hint="eastAsia" w:ascii="宋体" w:hAnsi="宋体" w:eastAsia="宋体" w:cs="宋体"/>
                <w:color w:val="auto"/>
                <w:sz w:val="24"/>
                <w:szCs w:val="24"/>
                <w:highlight w:val="none"/>
              </w:rPr>
            </w:pPr>
          </w:p>
        </w:tc>
        <w:tc>
          <w:tcPr>
            <w:tcW w:w="1313" w:type="dxa"/>
          </w:tcPr>
          <w:p w14:paraId="73EF5088">
            <w:pPr>
              <w:pageBreakBefore w:val="0"/>
              <w:kinsoku/>
              <w:wordWrap w:val="0"/>
              <w:topLinePunct w:val="0"/>
              <w:bidi w:val="0"/>
              <w:spacing w:line="400" w:lineRule="exact"/>
              <w:rPr>
                <w:rFonts w:hint="eastAsia" w:ascii="宋体" w:hAnsi="宋体" w:eastAsia="宋体" w:cs="宋体"/>
                <w:bCs/>
                <w:color w:val="auto"/>
                <w:sz w:val="24"/>
                <w:szCs w:val="24"/>
                <w:highlight w:val="none"/>
              </w:rPr>
            </w:pPr>
          </w:p>
        </w:tc>
      </w:tr>
      <w:tr w14:paraId="6B0B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24053779">
            <w:pPr>
              <w:pageBreakBefore w:val="0"/>
              <w:kinsoku/>
              <w:wordWrap w:val="0"/>
              <w:topLinePunct w:val="0"/>
              <w:bidi w:val="0"/>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8</w:t>
            </w:r>
          </w:p>
        </w:tc>
        <w:tc>
          <w:tcPr>
            <w:tcW w:w="6956" w:type="dxa"/>
            <w:vAlign w:val="center"/>
          </w:tcPr>
          <w:p w14:paraId="04A5390E">
            <w:pPr>
              <w:pageBreakBefore w:val="0"/>
              <w:kinsoku/>
              <w:wordWrap w:val="0"/>
              <w:topLinePunct w:val="0"/>
              <w:bidi w:val="0"/>
              <w:spacing w:line="400" w:lineRule="exact"/>
              <w:rPr>
                <w:rFonts w:hint="eastAsia" w:ascii="宋体" w:hAnsi="宋体" w:eastAsia="宋体" w:cs="宋体"/>
                <w:color w:val="auto"/>
                <w:sz w:val="24"/>
                <w:szCs w:val="24"/>
                <w:highlight w:val="none"/>
              </w:rPr>
            </w:pPr>
          </w:p>
        </w:tc>
        <w:tc>
          <w:tcPr>
            <w:tcW w:w="1313" w:type="dxa"/>
          </w:tcPr>
          <w:p w14:paraId="7E162F22">
            <w:pPr>
              <w:pageBreakBefore w:val="0"/>
              <w:kinsoku/>
              <w:wordWrap w:val="0"/>
              <w:topLinePunct w:val="0"/>
              <w:bidi w:val="0"/>
              <w:spacing w:line="400" w:lineRule="exact"/>
              <w:rPr>
                <w:rFonts w:hint="eastAsia" w:ascii="宋体" w:hAnsi="宋体" w:eastAsia="宋体" w:cs="宋体"/>
                <w:bCs/>
                <w:color w:val="auto"/>
                <w:sz w:val="24"/>
                <w:szCs w:val="24"/>
                <w:highlight w:val="none"/>
              </w:rPr>
            </w:pPr>
          </w:p>
        </w:tc>
      </w:tr>
      <w:tr w14:paraId="40D5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1D031C00">
            <w:pPr>
              <w:pageBreakBefore w:val="0"/>
              <w:kinsoku/>
              <w:wordWrap w:val="0"/>
              <w:topLinePunct w:val="0"/>
              <w:bidi w:val="0"/>
              <w:spacing w:line="40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tc>
        <w:tc>
          <w:tcPr>
            <w:tcW w:w="6956" w:type="dxa"/>
            <w:vAlign w:val="center"/>
          </w:tcPr>
          <w:p w14:paraId="5A5EF602">
            <w:pPr>
              <w:pageBreakBefore w:val="0"/>
              <w:kinsoku/>
              <w:wordWrap w:val="0"/>
              <w:topLinePunct w:val="0"/>
              <w:bidi w:val="0"/>
              <w:spacing w:line="400" w:lineRule="exact"/>
              <w:jc w:val="left"/>
              <w:rPr>
                <w:rFonts w:hint="eastAsia" w:ascii="宋体" w:hAnsi="宋体" w:eastAsia="宋体" w:cs="宋体"/>
                <w:color w:val="auto"/>
                <w:sz w:val="24"/>
                <w:szCs w:val="24"/>
                <w:highlight w:val="none"/>
              </w:rPr>
            </w:pPr>
          </w:p>
        </w:tc>
        <w:tc>
          <w:tcPr>
            <w:tcW w:w="1313" w:type="dxa"/>
          </w:tcPr>
          <w:p w14:paraId="3806571A">
            <w:pPr>
              <w:pageBreakBefore w:val="0"/>
              <w:kinsoku/>
              <w:wordWrap w:val="0"/>
              <w:topLinePunct w:val="0"/>
              <w:bidi w:val="0"/>
              <w:spacing w:line="400" w:lineRule="exact"/>
              <w:rPr>
                <w:rFonts w:hint="eastAsia" w:ascii="宋体" w:hAnsi="宋体" w:eastAsia="宋体" w:cs="宋体"/>
                <w:bCs/>
                <w:color w:val="auto"/>
                <w:sz w:val="24"/>
                <w:szCs w:val="24"/>
                <w:highlight w:val="none"/>
              </w:rPr>
            </w:pPr>
          </w:p>
        </w:tc>
      </w:tr>
    </w:tbl>
    <w:p w14:paraId="28F72167">
      <w:pPr>
        <w:pageBreakBefore w:val="0"/>
        <w:kinsoku/>
        <w:wordWrap w:val="0"/>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备注：一.“评分内容”对应“第六部分”评标原则及方法。</w:t>
      </w:r>
    </w:p>
    <w:p w14:paraId="436C024C">
      <w:pPr>
        <w:pageBreakBefore w:val="0"/>
        <w:kinsoku/>
        <w:wordWrap w:val="0"/>
        <w:topLinePunct w:val="0"/>
        <w:bidi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二.评标内容自行添加。本表可扩展。</w:t>
      </w:r>
    </w:p>
    <w:p w14:paraId="04D7EE8A">
      <w:pPr>
        <w:pageBreakBefore w:val="0"/>
        <w:kinsoku/>
        <w:wordWrap w:val="0"/>
        <w:topLinePunct w:val="0"/>
        <w:bidi w:val="0"/>
        <w:spacing w:line="400" w:lineRule="exact"/>
        <w:ind w:firstLine="720" w:firstLineChars="3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三.各投标人在投标文件最前页根据本评标细则制作评分索引表，清楚标注响应内容及证明材料的所在页码。</w:t>
      </w:r>
    </w:p>
    <w:p w14:paraId="248ACECF">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223200">
      <w:pPr>
        <w:pageBreakBefore w:val="0"/>
        <w:kinsoku/>
        <w:wordWrap w:val="0"/>
        <w:topLinePunct w:val="0"/>
        <w:bidi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附件5</w:t>
      </w:r>
    </w:p>
    <w:p w14:paraId="41AE8D0A">
      <w:pPr>
        <w:pStyle w:val="10"/>
        <w:pageBreakBefore w:val="0"/>
        <w:kinsoku/>
        <w:wordWrap w:val="0"/>
        <w:topLinePunct w:val="0"/>
        <w:bidi w:val="0"/>
        <w:ind w:left="0" w:firstLine="0" w:firstLineChars="0"/>
        <w:rPr>
          <w:rFonts w:hint="eastAsia" w:ascii="宋体" w:hAnsi="宋体" w:eastAsia="宋体" w:cs="宋体"/>
          <w:color w:val="auto"/>
          <w:szCs w:val="24"/>
          <w:highlight w:val="none"/>
        </w:rPr>
      </w:pPr>
    </w:p>
    <w:p w14:paraId="6BA13E8D">
      <w:pPr>
        <w:pageBreakBefore w:val="0"/>
        <w:kinsoku/>
        <w:wordWrap w:val="0"/>
        <w:topLinePunct w:val="0"/>
        <w:bidi w:val="0"/>
        <w:spacing w:line="360" w:lineRule="auto"/>
        <w:ind w:right="-11"/>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法定代表人、单位负责人或自然人本人的身份证明</w:t>
      </w:r>
    </w:p>
    <w:p w14:paraId="20958B47">
      <w:pPr>
        <w:pageBreakBefore w:val="0"/>
        <w:kinsoku/>
        <w:wordWrap w:val="0"/>
        <w:topLinePunct w:val="0"/>
        <w:bidi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温州市第七人民医院</w:t>
      </w:r>
      <w:r>
        <w:rPr>
          <w:rFonts w:hint="eastAsia" w:ascii="宋体" w:hAnsi="宋体" w:eastAsia="宋体" w:cs="宋体"/>
          <w:color w:val="auto"/>
          <w:sz w:val="24"/>
          <w:szCs w:val="24"/>
          <w:highlight w:val="none"/>
        </w:rPr>
        <w:t>、浙江乐诚工程咨询有限公司：</w:t>
      </w:r>
    </w:p>
    <w:p w14:paraId="4F5EFCD7">
      <w:pPr>
        <w:pageBreakBefore w:val="0"/>
        <w:kinsoku/>
        <w:wordWrap w:val="0"/>
        <w:topLinePunct w:val="0"/>
        <w:bidi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（姓名、性别、年龄）</w:t>
      </w:r>
      <w:r>
        <w:rPr>
          <w:rFonts w:hint="eastAsia" w:ascii="宋体" w:hAnsi="宋体" w:eastAsia="宋体" w:cs="宋体"/>
          <w:color w:val="auto"/>
          <w:sz w:val="24"/>
          <w:szCs w:val="24"/>
          <w:highlight w:val="none"/>
        </w:rPr>
        <w:t>在我单位任（职务名称）职务，是我单位的法定代表人。</w:t>
      </w:r>
    </w:p>
    <w:p w14:paraId="3CA2AEDE">
      <w:pPr>
        <w:pageBreakBefore w:val="0"/>
        <w:kinsoku/>
        <w:wordWrap w:val="0"/>
        <w:topLinePunct w:val="0"/>
        <w:bidi w:val="0"/>
        <w:spacing w:line="48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049656D">
      <w:pPr>
        <w:pageBreakBefore w:val="0"/>
        <w:kinsoku/>
        <w:wordWrap w:val="0"/>
        <w:topLinePunct w:val="0"/>
        <w:bidi w:val="0"/>
        <w:spacing w:line="400" w:lineRule="exact"/>
        <w:jc w:val="left"/>
        <w:rPr>
          <w:rFonts w:hint="eastAsia" w:ascii="宋体" w:hAnsi="宋体" w:eastAsia="宋体" w:cs="宋体"/>
          <w:b/>
          <w:bCs/>
          <w:color w:val="auto"/>
          <w:sz w:val="24"/>
          <w:szCs w:val="24"/>
          <w:highlight w:val="none"/>
        </w:rPr>
      </w:pPr>
    </w:p>
    <w:p w14:paraId="2A32ED2B">
      <w:pPr>
        <w:pageBreakBefore w:val="0"/>
        <w:kinsoku/>
        <w:wordWrap w:val="0"/>
        <w:topLinePunct w:val="0"/>
        <w:bidi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法定代表人身份证号：（身份证复印附后）</w:t>
      </w:r>
    </w:p>
    <w:p w14:paraId="00B20C45">
      <w:pPr>
        <w:pageBreakBefore w:val="0"/>
        <w:kinsoku/>
        <w:wordWrap w:val="0"/>
        <w:topLinePunct w:val="0"/>
        <w:bidi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法定代表人电话：</w:t>
      </w:r>
    </w:p>
    <w:p w14:paraId="72DC788B">
      <w:pPr>
        <w:pageBreakBefore w:val="0"/>
        <w:kinsoku/>
        <w:wordWrap w:val="0"/>
        <w:topLinePunct w:val="0"/>
        <w:bidi w:val="0"/>
        <w:spacing w:line="400" w:lineRule="exact"/>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投标人全称（电子签章）</w:t>
      </w:r>
    </w:p>
    <w:p w14:paraId="6B381FA4">
      <w:pPr>
        <w:pageBreakBefore w:val="0"/>
        <w:kinsoku/>
        <w:wordWrap w:val="0"/>
        <w:topLinePunct w:val="0"/>
        <w:bidi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   年  月  日</w:t>
      </w:r>
    </w:p>
    <w:p w14:paraId="23FE3616">
      <w:pPr>
        <w:pageBreakBefore w:val="0"/>
        <w:kinsoku/>
        <w:wordWrap w:val="0"/>
        <w:topLinePunct w:val="0"/>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8890" b="1079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C45D34">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&#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l8mDtgAAAAJAQAADwAAAAAAAAABACAAAAAiAAAA&#10;ZHJzL2Rvd25yZXYueG1sUEsBAhQAFAAAAAgAh07iQDzBXzIHAgAARwQAAA4AAAAAAAAAAQAgAAAA&#10;JwEAAGRycy9lMm9Eb2MueG1sUEsFBgAAAAAGAAYAWQEAAKAFAAAAAA==&#10;">
                <v:fill on="t" focussize="0,0"/>
                <v:stroke color="#000000" joinstyle="miter"/>
                <v:imagedata o:title=""/>
                <o:lock v:ext="edit" aspectratio="f"/>
                <v:textbox>
                  <w:txbxContent>
                    <w:p w14:paraId="46C45D34">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14:paraId="112E1155">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1BCB699B">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59CDE2D0">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2BB9E41B">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53AB4134">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6F6D9749">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2795C579">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51E94E4D">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483075EA">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2802249F">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51C9CD53">
      <w:pPr>
        <w:pageBreakBefore w:val="0"/>
        <w:kinsoku/>
        <w:wordWrap w:val="0"/>
        <w:topLinePunct w:val="0"/>
        <w:bidi w:val="0"/>
        <w:snapToGrid w:val="0"/>
        <w:spacing w:line="400" w:lineRule="exact"/>
        <w:rPr>
          <w:rFonts w:hint="eastAsia" w:ascii="宋体" w:hAnsi="宋体" w:eastAsia="宋体" w:cs="宋体"/>
          <w:color w:val="auto"/>
          <w:sz w:val="24"/>
          <w:szCs w:val="24"/>
          <w:highlight w:val="none"/>
        </w:rPr>
      </w:pPr>
    </w:p>
    <w:p w14:paraId="0A0F5E58">
      <w:pPr>
        <w:pageBreakBefore w:val="0"/>
        <w:kinsoku/>
        <w:wordWrap w:val="0"/>
        <w:topLinePunct w:val="0"/>
        <w:bidi w:val="0"/>
        <w:spacing w:line="400" w:lineRule="exact"/>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说明：投标人的法定代表人参加投标，须在投标文件中提供</w:t>
      </w:r>
      <w:r>
        <w:rPr>
          <w:rFonts w:hint="eastAsia" w:ascii="宋体" w:hAnsi="宋体" w:eastAsia="宋体" w:cs="宋体"/>
          <w:b/>
          <w:bCs/>
          <w:color w:val="auto"/>
          <w:spacing w:val="-6"/>
          <w:sz w:val="24"/>
          <w:highlight w:val="none"/>
          <w:lang w:eastAsia="zh-CN"/>
        </w:rPr>
        <w:t>法定代表人、单位负责人或自然人本人的身份证明</w:t>
      </w:r>
      <w:r>
        <w:rPr>
          <w:rFonts w:hint="eastAsia" w:ascii="宋体" w:hAnsi="宋体" w:eastAsia="宋体" w:cs="宋体"/>
          <w:b/>
          <w:bCs/>
          <w:color w:val="auto"/>
          <w:spacing w:val="-6"/>
          <w:sz w:val="24"/>
          <w:highlight w:val="none"/>
        </w:rPr>
        <w:t>；投标人的法定代表人委托授权代表参加投标，须在投标文件中提供</w:t>
      </w:r>
      <w:r>
        <w:rPr>
          <w:rFonts w:hint="eastAsia" w:ascii="宋体" w:hAnsi="宋体" w:eastAsia="宋体" w:cs="宋体"/>
          <w:b/>
          <w:bCs/>
          <w:color w:val="auto"/>
          <w:spacing w:val="-6"/>
          <w:sz w:val="24"/>
          <w:highlight w:val="none"/>
          <w:lang w:eastAsia="zh-CN"/>
        </w:rPr>
        <w:t>授权委托书</w:t>
      </w:r>
      <w:r>
        <w:rPr>
          <w:rFonts w:hint="eastAsia" w:ascii="宋体" w:hAnsi="宋体" w:eastAsia="宋体" w:cs="宋体"/>
          <w:b/>
          <w:bCs/>
          <w:color w:val="auto"/>
          <w:spacing w:val="-6"/>
          <w:sz w:val="24"/>
          <w:highlight w:val="none"/>
        </w:rPr>
        <w:t>。</w:t>
      </w:r>
    </w:p>
    <w:p w14:paraId="79B160ED">
      <w:pP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br w:type="page"/>
      </w:r>
    </w:p>
    <w:p w14:paraId="29B7C5E1">
      <w:pPr>
        <w:pageBreakBefore w:val="0"/>
        <w:kinsoku/>
        <w:wordWrap w:val="0"/>
        <w:topLinePunct w:val="0"/>
        <w:bidi w:val="0"/>
        <w:snapToGrid w:val="0"/>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lang w:eastAsia="zh-CN"/>
        </w:rPr>
        <w:t>授权委托书</w:t>
      </w:r>
    </w:p>
    <w:p w14:paraId="55D25EDD">
      <w:pPr>
        <w:pageBreakBefore w:val="0"/>
        <w:kinsoku/>
        <w:wordWrap w:val="0"/>
        <w:topLinePunct w:val="0"/>
        <w:bidi w:val="0"/>
        <w:snapToGrid w:val="0"/>
        <w:spacing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Cs/>
          <w:color w:val="auto"/>
          <w:spacing w:val="-6"/>
          <w:sz w:val="24"/>
          <w:szCs w:val="24"/>
          <w:highlight w:val="none"/>
        </w:rPr>
        <w:t>致：</w:t>
      </w:r>
      <w:r>
        <w:rPr>
          <w:rFonts w:hint="eastAsia" w:ascii="宋体" w:hAnsi="宋体" w:eastAsia="宋体" w:cs="宋体"/>
          <w:color w:val="auto"/>
          <w:sz w:val="24"/>
          <w:szCs w:val="24"/>
          <w:highlight w:val="none"/>
          <w:lang w:eastAsia="zh-CN"/>
        </w:rPr>
        <w:t>温州市第七人民医院</w:t>
      </w:r>
      <w:r>
        <w:rPr>
          <w:rFonts w:hint="eastAsia" w:ascii="宋体" w:hAnsi="宋体" w:eastAsia="宋体" w:cs="宋体"/>
          <w:color w:val="auto"/>
          <w:sz w:val="24"/>
          <w:szCs w:val="24"/>
          <w:highlight w:val="none"/>
        </w:rPr>
        <w:t>、浙江乐诚工程咨询有限公司</w:t>
      </w:r>
      <w:r>
        <w:rPr>
          <w:rFonts w:hint="eastAsia" w:ascii="宋体" w:hAnsi="宋体" w:eastAsia="宋体" w:cs="宋体"/>
          <w:color w:val="auto"/>
          <w:spacing w:val="-6"/>
          <w:sz w:val="24"/>
          <w:szCs w:val="24"/>
          <w:highlight w:val="none"/>
        </w:rPr>
        <w:t>：</w:t>
      </w:r>
    </w:p>
    <w:p w14:paraId="60B6429E">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（姓名）系</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（投标人名称）的法定代表人，现授权委托本单位在职职工</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（姓名）（身份证号：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）以我方的名义参加</w:t>
      </w:r>
      <w:r>
        <w:rPr>
          <w:rFonts w:hint="eastAsia" w:ascii="宋体" w:hAnsi="宋体" w:eastAsia="宋体" w:cs="宋体"/>
          <w:color w:val="auto"/>
          <w:spacing w:val="-6"/>
          <w:sz w:val="24"/>
          <w:szCs w:val="24"/>
          <w:highlight w:val="none"/>
          <w:lang w:eastAsia="zh-CN"/>
        </w:rPr>
        <w:t>温州市第七人民医院</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标项名称：</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）的投标活动，并代表我方全权办理针对上述项目的投标、开标、评标、签约等具体事务和签署相关文件。</w:t>
      </w:r>
    </w:p>
    <w:p w14:paraId="1CDCD645">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我方对被授权人的签名负全部责任。</w:t>
      </w:r>
    </w:p>
    <w:p w14:paraId="047D005F">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在撤销授权的书面通知以前，本授权书一直有效。被授权人在授权书有效期内签署的所有文件不因授权的撤销而失效。</w:t>
      </w:r>
    </w:p>
    <w:p w14:paraId="715574BC">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被授权人无转委托权，特此委托。</w:t>
      </w:r>
    </w:p>
    <w:p w14:paraId="5CE89E4C">
      <w:pPr>
        <w:pageBreakBefore w:val="0"/>
        <w:kinsoku/>
        <w:wordWrap w:val="0"/>
        <w:topLinePunct w:val="0"/>
        <w:bidi w:val="0"/>
        <w:snapToGrid w:val="0"/>
        <w:spacing w:line="288" w:lineRule="auto"/>
        <w:rPr>
          <w:rFonts w:hint="eastAsia" w:ascii="宋体" w:hAnsi="宋体" w:eastAsia="宋体" w:cs="宋体"/>
          <w:color w:val="auto"/>
          <w:spacing w:val="-6"/>
          <w:sz w:val="24"/>
          <w:szCs w:val="24"/>
          <w:highlight w:val="none"/>
        </w:rPr>
      </w:pPr>
    </w:p>
    <w:p w14:paraId="1D92E8BA">
      <w:pPr>
        <w:pageBreakBefore w:val="0"/>
        <w:kinsoku/>
        <w:wordWrap w:val="0"/>
        <w:topLinePunct w:val="0"/>
        <w:bidi w:val="0"/>
        <w:snapToGrid w:val="0"/>
        <w:spacing w:line="288" w:lineRule="auto"/>
        <w:rPr>
          <w:rFonts w:hint="eastAsia" w:ascii="宋体" w:hAnsi="宋体" w:eastAsia="宋体" w:cs="宋体"/>
          <w:color w:val="auto"/>
          <w:spacing w:val="-6"/>
          <w:sz w:val="24"/>
          <w:szCs w:val="24"/>
          <w:highlight w:val="none"/>
        </w:rPr>
      </w:pPr>
    </w:p>
    <w:p w14:paraId="518BF5A4">
      <w:pPr>
        <w:pageBreakBefore w:val="0"/>
        <w:kinsoku/>
        <w:wordWrap w:val="0"/>
        <w:topLinePunct w:val="0"/>
        <w:bidi w:val="0"/>
        <w:snapToGrid w:val="0"/>
        <w:spacing w:line="288" w:lineRule="auto"/>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被授权人签字：              法定代表人签字或签章：</w:t>
      </w:r>
    </w:p>
    <w:p w14:paraId="1E51FC6F">
      <w:pPr>
        <w:pageBreakBefore w:val="0"/>
        <w:kinsoku/>
        <w:wordWrap w:val="0"/>
        <w:topLinePunct w:val="0"/>
        <w:bidi w:val="0"/>
        <w:snapToGrid w:val="0"/>
        <w:spacing w:line="288" w:lineRule="auto"/>
        <w:ind w:firstLine="912" w:firstLineChars="4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职务：                               职务：</w:t>
      </w:r>
    </w:p>
    <w:p w14:paraId="2B625331">
      <w:pPr>
        <w:pageBreakBefore w:val="0"/>
        <w:kinsoku/>
        <w:wordWrap w:val="0"/>
        <w:topLinePunct w:val="0"/>
        <w:bidi w:val="0"/>
        <w:snapToGrid w:val="0"/>
        <w:spacing w:line="288"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被授权人身份证号码：</w:t>
      </w:r>
    </w:p>
    <w:p w14:paraId="7C153E69">
      <w:pPr>
        <w:pStyle w:val="31"/>
        <w:pageBreakBefore w:val="0"/>
        <w:kinsoku/>
        <w:wordWrap w:val="0"/>
        <w:topLinePunct w:val="0"/>
        <w:bidi w:val="0"/>
        <w:ind w:left="456" w:hanging="456"/>
        <w:rPr>
          <w:rFonts w:hint="eastAsia" w:ascii="宋体" w:hAnsi="宋体" w:eastAsia="宋体" w:cs="宋体"/>
          <w:color w:val="auto"/>
          <w:highlight w:val="none"/>
          <w:u w:val="single"/>
        </w:rPr>
      </w:pPr>
      <w:r>
        <w:rPr>
          <w:rFonts w:hint="eastAsia" w:ascii="宋体" w:hAnsi="宋体" w:eastAsia="宋体" w:cs="宋体"/>
          <w:color w:val="auto"/>
          <w:spacing w:val="-6"/>
          <w:szCs w:val="24"/>
          <w:highlight w:val="none"/>
        </w:rPr>
        <w:t>被授权人手机号码：</w:t>
      </w:r>
    </w:p>
    <w:p w14:paraId="68A7FFB3">
      <w:pPr>
        <w:pageBreakBefore w:val="0"/>
        <w:kinsoku/>
        <w:wordWrap w:val="0"/>
        <w:topLinePunct w:val="0"/>
        <w:bidi w:val="0"/>
        <w:snapToGrid w:val="0"/>
        <w:spacing w:line="288" w:lineRule="auto"/>
        <w:ind w:firstLine="4332" w:firstLineChars="19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投标人名称（公章或电子签章）：</w:t>
      </w:r>
    </w:p>
    <w:p w14:paraId="23745113">
      <w:pPr>
        <w:pageBreakBefore w:val="0"/>
        <w:kinsoku/>
        <w:wordWrap w:val="0"/>
        <w:topLinePunct w:val="0"/>
        <w:bidi w:val="0"/>
        <w:snapToGrid w:val="0"/>
        <w:spacing w:line="288"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年  月    日</w:t>
      </w:r>
    </w:p>
    <w:p w14:paraId="78B0457D">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16510" b="1270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D3712C">
                            <w:pPr>
                              <w:rPr>
                                <w:rFonts w:ascii="宋体"/>
                                <w:sz w:val="24"/>
                              </w:rPr>
                            </w:pPr>
                            <w:r>
                              <w:rPr>
                                <w:rFonts w:hint="eastAsia" w:ascii="新宋体" w:hAnsi="新宋体" w:eastAsia="新宋体"/>
                                <w:sz w:val="22"/>
                              </w:rPr>
                              <w:t>被授权人</w:t>
                            </w:r>
                            <w:r>
                              <w:rPr>
                                <w:rFonts w:hint="eastAsia" w:ascii="宋体" w:hAnsi="宋体"/>
                                <w:sz w:val="24"/>
                              </w:rPr>
                              <w:t>身份证：</w:t>
                            </w:r>
                          </w:p>
                          <w:p w14:paraId="37AFD0C9">
                            <w:pPr>
                              <w:rPr>
                                <w:rFonts w:ascii="宋体"/>
                                <w:sz w:val="24"/>
                              </w:rPr>
                            </w:pPr>
                          </w:p>
                          <w:p w14:paraId="553EF508">
                            <w:pPr>
                              <w:rPr>
                                <w:rFonts w:ascii="宋体"/>
                                <w:sz w:val="24"/>
                              </w:rPr>
                            </w:pPr>
                          </w:p>
                          <w:p w14:paraId="1E771F00">
                            <w:pPr>
                              <w:rPr>
                                <w:rFonts w:ascii="宋体"/>
                                <w:sz w:val="24"/>
                              </w:rPr>
                            </w:pPr>
                          </w:p>
                          <w:p w14:paraId="3B951F60">
                            <w:pPr>
                              <w:rPr>
                                <w:rFonts w:ascii="宋体"/>
                                <w:sz w:val="24"/>
                              </w:rPr>
                            </w:pP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NKV8nZAAAACQEAAA8AAAAAAAAA&#10;AQAgAAAAIgAAAGRycy9kb3ducmV2LnhtbFBLAQIUABQAAAAIAIdO4kDjFI9XEAIAAEYEAAAOAAAA&#10;AAAAAAEAIAAAACgBAABkcnMvZTJvRG9jLnhtbFBLBQYAAAAABgAGAFkBAACqBQAAAAA=&#10;">
                <v:fill on="t" focussize="0,0"/>
                <v:stroke color="#000000" joinstyle="miter"/>
                <v:imagedata o:title=""/>
                <o:lock v:ext="edit" aspectratio="f"/>
                <v:textbox>
                  <w:txbxContent>
                    <w:p w14:paraId="45D3712C">
                      <w:pPr>
                        <w:rPr>
                          <w:rFonts w:ascii="宋体"/>
                          <w:sz w:val="24"/>
                        </w:rPr>
                      </w:pPr>
                      <w:r>
                        <w:rPr>
                          <w:rFonts w:hint="eastAsia" w:ascii="新宋体" w:hAnsi="新宋体" w:eastAsia="新宋体"/>
                          <w:sz w:val="22"/>
                        </w:rPr>
                        <w:t>被授权人</w:t>
                      </w:r>
                      <w:r>
                        <w:rPr>
                          <w:rFonts w:hint="eastAsia" w:ascii="宋体" w:hAnsi="宋体"/>
                          <w:sz w:val="24"/>
                        </w:rPr>
                        <w:t>身份证：</w:t>
                      </w:r>
                    </w:p>
                    <w:p w14:paraId="37AFD0C9">
                      <w:pPr>
                        <w:rPr>
                          <w:rFonts w:ascii="宋体"/>
                          <w:sz w:val="24"/>
                        </w:rPr>
                      </w:pPr>
                    </w:p>
                    <w:p w14:paraId="553EF508">
                      <w:pPr>
                        <w:rPr>
                          <w:rFonts w:ascii="宋体"/>
                          <w:sz w:val="24"/>
                        </w:rPr>
                      </w:pPr>
                    </w:p>
                    <w:p w14:paraId="1E771F00">
                      <w:pPr>
                        <w:rPr>
                          <w:rFonts w:ascii="宋体"/>
                          <w:sz w:val="24"/>
                        </w:rPr>
                      </w:pPr>
                    </w:p>
                    <w:p w14:paraId="3B951F60">
                      <w:pPr>
                        <w:rPr>
                          <w:rFonts w:ascii="宋体"/>
                          <w:sz w:val="24"/>
                        </w:rPr>
                      </w:pPr>
                      <w:r>
                        <w:rPr>
                          <w:rFonts w:hint="eastAsia" w:ascii="宋体" w:hAnsi="宋体"/>
                          <w:sz w:val="24"/>
                        </w:rPr>
                        <w:t>复印件粘贴处</w:t>
                      </w:r>
                    </w:p>
                  </w:txbxContent>
                </v:textbox>
              </v:shape>
            </w:pict>
          </mc:Fallback>
        </mc:AlternateContent>
      </w:r>
    </w:p>
    <w:p w14:paraId="0039C915">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p>
    <w:p w14:paraId="30B1A3B9">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p>
    <w:p w14:paraId="4014FB8F">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p>
    <w:p w14:paraId="052A4C79">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p>
    <w:p w14:paraId="7E4A55A6">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p>
    <w:p w14:paraId="589A2F48">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p>
    <w:p w14:paraId="22B11BE0">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p>
    <w:p w14:paraId="7D5B3A92">
      <w:pPr>
        <w:pageBreakBefore w:val="0"/>
        <w:kinsoku/>
        <w:wordWrap w:val="0"/>
        <w:topLinePunct w:val="0"/>
        <w:bidi w:val="0"/>
        <w:spacing w:line="288" w:lineRule="auto"/>
        <w:rPr>
          <w:rFonts w:hint="eastAsia" w:ascii="宋体" w:hAnsi="宋体" w:eastAsia="宋体" w:cs="宋体"/>
          <w:color w:val="auto"/>
          <w:spacing w:val="-6"/>
          <w:sz w:val="24"/>
          <w:szCs w:val="24"/>
          <w:highlight w:val="none"/>
        </w:rPr>
      </w:pPr>
    </w:p>
    <w:p w14:paraId="24B88B6F">
      <w:pPr>
        <w:pageBreakBefore w:val="0"/>
        <w:kinsoku/>
        <w:wordWrap w:val="0"/>
        <w:topLinePunct w:val="0"/>
        <w:bidi w:val="0"/>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法定代表人授权书</w:t>
      </w:r>
    </w:p>
    <w:p w14:paraId="4BA51B11">
      <w:pPr>
        <w:pStyle w:val="13"/>
        <w:pageBreakBefore w:val="0"/>
        <w:kinsoku/>
        <w:wordWrap w:val="0"/>
        <w:topLinePunct w:val="0"/>
        <w:bidi w:val="0"/>
        <w:spacing w:after="0"/>
        <w:ind w:left="1470" w:right="1470"/>
        <w:rPr>
          <w:rFonts w:hint="eastAsia" w:ascii="宋体" w:hAnsi="宋体" w:eastAsia="宋体" w:cs="宋体"/>
          <w:color w:val="auto"/>
          <w:highlight w:val="none"/>
        </w:rPr>
      </w:pPr>
    </w:p>
    <w:p w14:paraId="25F8C3E2">
      <w:pPr>
        <w:adjustRightInd w:val="0"/>
        <w:snapToGrid w:val="0"/>
        <w:spacing w:line="360" w:lineRule="exact"/>
        <w:rPr>
          <w:rFonts w:hint="eastAsia" w:ascii="宋体" w:hAnsi="宋体" w:eastAsia="宋体" w:cs="宋体"/>
          <w:color w:val="auto"/>
          <w:sz w:val="22"/>
          <w:highlight w:val="none"/>
          <w:u w:val="single"/>
        </w:rPr>
      </w:pPr>
      <w:r>
        <w:rPr>
          <w:rFonts w:hint="eastAsia" w:ascii="宋体" w:hAnsi="宋体" w:eastAsia="宋体" w:cs="宋体"/>
          <w:b/>
          <w:bCs/>
          <w:color w:val="auto"/>
          <w:kern w:val="0"/>
          <w:sz w:val="22"/>
          <w:highlight w:val="none"/>
        </w:rPr>
        <w:t>注：</w:t>
      </w:r>
      <w:r>
        <w:rPr>
          <w:rFonts w:hint="eastAsia" w:ascii="宋体" w:hAnsi="宋体" w:eastAsia="宋体" w:cs="宋体"/>
          <w:color w:val="auto"/>
          <w:sz w:val="22"/>
          <w:highlight w:val="none"/>
          <w:u w:val="single"/>
        </w:rPr>
        <w:t>▲</w:t>
      </w:r>
      <w:r>
        <w:rPr>
          <w:rFonts w:hint="eastAsia" w:ascii="宋体" w:hAnsi="宋体" w:eastAsia="宋体" w:cs="宋体"/>
          <w:color w:val="auto"/>
          <w:sz w:val="22"/>
          <w:highlight w:val="none"/>
          <w:u w:val="single"/>
          <w:lang w:val="en-US" w:eastAsia="zh-CN"/>
        </w:rPr>
        <w:t>附</w:t>
      </w:r>
      <w:r>
        <w:rPr>
          <w:rFonts w:hint="eastAsia" w:ascii="宋体" w:hAnsi="宋体" w:eastAsia="宋体" w:cs="宋体"/>
          <w:color w:val="auto"/>
          <w:sz w:val="22"/>
          <w:highlight w:val="none"/>
          <w:u w:val="single"/>
        </w:rPr>
        <w:t>授权代表社保缴纳证明（</w:t>
      </w:r>
      <w:r>
        <w:rPr>
          <w:rFonts w:hint="eastAsia" w:ascii="宋体" w:hAnsi="宋体" w:eastAsia="宋体" w:cs="宋体"/>
          <w:color w:val="auto"/>
          <w:sz w:val="22"/>
          <w:highlight w:val="none"/>
          <w:u w:val="single"/>
          <w:lang w:eastAsia="zh-CN"/>
        </w:rPr>
        <w:t>2026年02月01日</w:t>
      </w:r>
      <w:r>
        <w:rPr>
          <w:rFonts w:hint="eastAsia" w:ascii="宋体" w:hAnsi="宋体" w:eastAsia="宋体" w:cs="宋体"/>
          <w:color w:val="auto"/>
          <w:sz w:val="22"/>
          <w:highlight w:val="none"/>
          <w:u w:val="single"/>
        </w:rPr>
        <w:t>（含）至本项目投标文件提交截止时间止任意</w:t>
      </w:r>
      <w:r>
        <w:rPr>
          <w:rFonts w:hint="eastAsia" w:ascii="宋体" w:hAnsi="宋体" w:eastAsia="宋体" w:cs="宋体"/>
          <w:color w:val="auto"/>
          <w:sz w:val="22"/>
          <w:highlight w:val="none"/>
          <w:u w:val="single"/>
          <w:lang w:eastAsia="zh-CN"/>
        </w:rPr>
        <w:t>一个月</w:t>
      </w:r>
      <w:r>
        <w:rPr>
          <w:rFonts w:hint="eastAsia" w:ascii="宋体" w:hAnsi="宋体" w:eastAsia="宋体" w:cs="宋体"/>
          <w:color w:val="auto"/>
          <w:sz w:val="22"/>
          <w:highlight w:val="none"/>
          <w:u w:val="single"/>
        </w:rPr>
        <w:t>）；</w:t>
      </w:r>
      <w:r>
        <w:rPr>
          <w:rFonts w:hint="eastAsia" w:ascii="宋体" w:hAnsi="宋体" w:eastAsia="宋体" w:cs="宋体"/>
          <w:color w:val="auto"/>
          <w:sz w:val="22"/>
          <w:highlight w:val="none"/>
          <w:u w:val="single"/>
          <w:lang w:val="en-US" w:eastAsia="zh-CN"/>
        </w:rPr>
        <w:t>投标人</w:t>
      </w:r>
      <w:r>
        <w:rPr>
          <w:rFonts w:hint="eastAsia" w:ascii="宋体" w:hAnsi="宋体" w:eastAsia="宋体" w:cs="宋体"/>
          <w:color w:val="auto"/>
          <w:sz w:val="22"/>
          <w:highlight w:val="none"/>
          <w:u w:val="single"/>
        </w:rPr>
        <w:t>委派不在本单位缴纳社保的人员作为授权代表的，说明具体原因、授权代表缴纳社保的单位，并附列该授权代表缴纳社保证明（</w:t>
      </w:r>
      <w:r>
        <w:rPr>
          <w:rFonts w:hint="eastAsia" w:ascii="宋体" w:hAnsi="宋体" w:eastAsia="宋体" w:cs="宋体"/>
          <w:color w:val="auto"/>
          <w:sz w:val="22"/>
          <w:highlight w:val="none"/>
          <w:u w:val="single"/>
          <w:lang w:eastAsia="zh-CN"/>
        </w:rPr>
        <w:t>2026年02月01日</w:t>
      </w:r>
      <w:r>
        <w:rPr>
          <w:rFonts w:hint="eastAsia" w:ascii="宋体" w:hAnsi="宋体" w:eastAsia="宋体" w:cs="宋体"/>
          <w:color w:val="auto"/>
          <w:sz w:val="22"/>
          <w:highlight w:val="none"/>
          <w:u w:val="single"/>
        </w:rPr>
        <w:t>（含）至本项目投标文件提交截止时间止任意</w:t>
      </w:r>
      <w:r>
        <w:rPr>
          <w:rFonts w:hint="eastAsia" w:ascii="宋体" w:hAnsi="宋体" w:eastAsia="宋体" w:cs="宋体"/>
          <w:color w:val="auto"/>
          <w:sz w:val="22"/>
          <w:highlight w:val="none"/>
          <w:u w:val="single"/>
          <w:lang w:eastAsia="zh-CN"/>
        </w:rPr>
        <w:t>一个月</w:t>
      </w:r>
      <w:r>
        <w:rPr>
          <w:rFonts w:hint="eastAsia" w:ascii="宋体" w:hAnsi="宋体" w:eastAsia="宋体" w:cs="宋体"/>
          <w:color w:val="auto"/>
          <w:sz w:val="22"/>
          <w:highlight w:val="none"/>
          <w:u w:val="single"/>
        </w:rPr>
        <w:t>）。</w:t>
      </w:r>
    </w:p>
    <w:p w14:paraId="05FEEBC4">
      <w:pPr>
        <w:adjustRightInd w:val="0"/>
        <w:snapToGrid w:val="0"/>
        <w:spacing w:line="360" w:lineRule="exact"/>
        <w:rPr>
          <w:rFonts w:hint="eastAsia" w:ascii="宋体" w:hAnsi="宋体" w:eastAsia="宋体" w:cs="宋体"/>
          <w:color w:val="auto"/>
          <w:sz w:val="22"/>
          <w:highlight w:val="none"/>
          <w:u w:val="single"/>
        </w:rPr>
      </w:pPr>
    </w:p>
    <w:p w14:paraId="71838FCD">
      <w:pP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br w:type="page"/>
      </w:r>
    </w:p>
    <w:p w14:paraId="2A7ACCE3">
      <w:pPr>
        <w:pageBreakBefore w:val="0"/>
        <w:kinsoku/>
        <w:wordWrap w:val="0"/>
        <w:topLinePunct w:val="0"/>
        <w:bidi w:val="0"/>
        <w:adjustRightInd w:val="0"/>
        <w:snapToGrid w:val="0"/>
        <w:spacing w:line="288" w:lineRule="auto"/>
        <w:jc w:val="center"/>
        <w:outlineLvl w:val="9"/>
        <w:rPr>
          <w:rFonts w:hint="eastAsia" w:ascii="宋体" w:hAnsi="宋体" w:eastAsia="宋体" w:cs="宋体"/>
          <w:b/>
          <w:color w:val="auto"/>
          <w:spacing w:val="-6"/>
          <w:szCs w:val="21"/>
          <w:highlight w:val="none"/>
        </w:rPr>
      </w:pPr>
      <w:r>
        <w:rPr>
          <w:rFonts w:hint="eastAsia" w:ascii="宋体" w:hAnsi="宋体" w:eastAsia="宋体" w:cs="宋体"/>
          <w:b/>
          <w:color w:val="auto"/>
          <w:spacing w:val="-6"/>
          <w:sz w:val="28"/>
          <w:szCs w:val="28"/>
          <w:highlight w:val="none"/>
        </w:rPr>
        <w:t>联合投标授权委托书（</w:t>
      </w:r>
      <w:r>
        <w:rPr>
          <w:rFonts w:hint="eastAsia" w:ascii="宋体" w:hAnsi="宋体" w:eastAsia="宋体" w:cs="宋体"/>
          <w:b/>
          <w:color w:val="auto"/>
          <w:spacing w:val="-6"/>
          <w:sz w:val="28"/>
          <w:szCs w:val="28"/>
          <w:highlight w:val="none"/>
          <w:lang w:val="zh-CN"/>
        </w:rPr>
        <w:t>适用于联合体投标</w:t>
      </w:r>
      <w:r>
        <w:rPr>
          <w:rFonts w:hint="eastAsia" w:ascii="宋体" w:hAnsi="宋体" w:eastAsia="宋体" w:cs="宋体"/>
          <w:b/>
          <w:color w:val="auto"/>
          <w:spacing w:val="-6"/>
          <w:sz w:val="28"/>
          <w:szCs w:val="28"/>
          <w:highlight w:val="none"/>
        </w:rPr>
        <w:t>）</w:t>
      </w:r>
    </w:p>
    <w:p w14:paraId="7A17BC97">
      <w:pPr>
        <w:pStyle w:val="7"/>
        <w:pageBreakBefore w:val="0"/>
        <w:kinsoku/>
        <w:wordWrap w:val="0"/>
        <w:overflowPunct w:val="0"/>
        <w:topLinePunct w:val="0"/>
        <w:bidi w:val="0"/>
        <w:spacing w:line="360" w:lineRule="auto"/>
        <w:ind w:firstLine="0"/>
        <w:rPr>
          <w:rFonts w:hint="eastAsia" w:ascii="宋体" w:hAnsi="宋体" w:eastAsia="宋体" w:cs="宋体"/>
          <w:color w:val="auto"/>
          <w:sz w:val="24"/>
          <w:szCs w:val="24"/>
          <w:highlight w:val="none"/>
        </w:rPr>
      </w:pPr>
    </w:p>
    <w:p w14:paraId="758E3D2F">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bookmarkStart w:id="51" w:name="_Hlk112340065"/>
      <w:r>
        <w:rPr>
          <w:rFonts w:hint="eastAsia" w:ascii="宋体" w:hAnsi="宋体" w:eastAsia="宋体" w:cs="宋体"/>
          <w:color w:val="auto"/>
          <w:spacing w:val="-6"/>
          <w:sz w:val="24"/>
          <w:szCs w:val="24"/>
          <w:highlight w:val="none"/>
        </w:rPr>
        <w:t>本授权委托书声明：</w:t>
      </w:r>
    </w:p>
    <w:p w14:paraId="616D2F44">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与</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签订的《联合协议》的内容，联合体牵头人的法定代表人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 xml:space="preserve"> 现授权（ _________（姓名），身份证号码：_________________________，手机号码：</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）为联合投标代理人，代理人在投标、开标、评标、合同谈判过程中所签署的一切文件和处理与这有关的一切事务， 联合投标各方均予以认可并遵守。</w:t>
      </w:r>
    </w:p>
    <w:p w14:paraId="7A3B749B">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特此委托。</w:t>
      </w:r>
    </w:p>
    <w:p w14:paraId="1ACAD5C4">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p>
    <w:p w14:paraId="1FCF6AD3">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联合体牵头人的法定代表人（签字或签章）：</w:t>
      </w:r>
    </w:p>
    <w:p w14:paraId="63B05DC9">
      <w:pPr>
        <w:pageBreakBefore w:val="0"/>
        <w:kinsoku/>
        <w:wordWrap w:val="0"/>
        <w:topLinePunct w:val="0"/>
        <w:bidi w:val="0"/>
        <w:snapToGrid w:val="0"/>
        <w:spacing w:line="360" w:lineRule="auto"/>
        <w:rPr>
          <w:rFonts w:hint="eastAsia" w:ascii="宋体" w:hAnsi="宋体" w:eastAsia="宋体" w:cs="宋体"/>
          <w:color w:val="auto"/>
          <w:spacing w:val="-6"/>
          <w:sz w:val="24"/>
          <w:szCs w:val="24"/>
          <w:highlight w:val="none"/>
        </w:rPr>
      </w:pPr>
    </w:p>
    <w:p w14:paraId="210DAD9C">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授权代表（签字）：</w:t>
      </w:r>
    </w:p>
    <w:bookmarkEnd w:id="51"/>
    <w:p w14:paraId="0902AF34">
      <w:pPr>
        <w:pageBreakBefore w:val="0"/>
        <w:kinsoku/>
        <w:wordWrap w:val="0"/>
        <w:topLinePunct w:val="0"/>
        <w:bidi w:val="0"/>
        <w:snapToGrid w:val="0"/>
        <w:spacing w:line="360" w:lineRule="auto"/>
        <w:ind w:firstLine="456"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 w:val="24"/>
          <w:szCs w:val="24"/>
          <w:highlight w:val="none"/>
        </w:rPr>
        <w:t>日期：  年  月  日</w:t>
      </w:r>
    </w:p>
    <w:p w14:paraId="3A95B60C">
      <w:pPr>
        <w:pageBreakBefore w:val="0"/>
        <w:kinsoku/>
        <w:wordWrap w:val="0"/>
        <w:topLinePunct w:val="0"/>
        <w:bidi w:val="0"/>
        <w:snapToGrid w:val="0"/>
        <w:spacing w:line="360" w:lineRule="auto"/>
        <w:ind w:firstLine="460" w:firstLineChars="202"/>
        <w:rPr>
          <w:rFonts w:hint="eastAsia" w:ascii="宋体" w:hAnsi="宋体" w:eastAsia="宋体" w:cs="宋体"/>
          <w:color w:val="auto"/>
          <w:spacing w:val="-6"/>
          <w:sz w:val="24"/>
          <w:szCs w:val="24"/>
          <w:highlight w:val="none"/>
          <w:lang w:val="zh-CN"/>
        </w:rPr>
      </w:pPr>
    </w:p>
    <w:p w14:paraId="5EDC0CE4">
      <w:pPr>
        <w:pageBreakBefore w:val="0"/>
        <w:kinsoku/>
        <w:wordWrap w:val="0"/>
        <w:topLinePunct w:val="0"/>
        <w:bidi w:val="0"/>
        <w:snapToGrid w:val="0"/>
        <w:spacing w:line="360" w:lineRule="auto"/>
        <w:ind w:firstLine="460" w:firstLineChars="202"/>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联合体成员名称(公章)：</w:t>
      </w:r>
    </w:p>
    <w:p w14:paraId="27D1C5BC">
      <w:pPr>
        <w:pageBreakBefore w:val="0"/>
        <w:kinsoku/>
        <w:wordWrap w:val="0"/>
        <w:topLinePunct w:val="0"/>
        <w:bidi w:val="0"/>
        <w:snapToGrid w:val="0"/>
        <w:spacing w:line="360" w:lineRule="auto"/>
        <w:ind w:firstLine="460" w:firstLineChars="202"/>
        <w:rPr>
          <w:rFonts w:hint="eastAsia" w:ascii="宋体" w:hAnsi="宋体" w:eastAsia="宋体" w:cs="宋体"/>
          <w:color w:val="auto"/>
          <w:spacing w:val="-6"/>
          <w:sz w:val="24"/>
          <w:szCs w:val="24"/>
          <w:highlight w:val="none"/>
          <w:lang w:val="zh-CN"/>
        </w:rPr>
      </w:pPr>
    </w:p>
    <w:p w14:paraId="5163B45A">
      <w:pPr>
        <w:pageBreakBefore w:val="0"/>
        <w:kinsoku/>
        <w:wordWrap w:val="0"/>
        <w:topLinePunct w:val="0"/>
        <w:bidi w:val="0"/>
        <w:snapToGrid w:val="0"/>
        <w:spacing w:line="360" w:lineRule="auto"/>
        <w:ind w:firstLine="460" w:firstLineChars="202"/>
        <w:rPr>
          <w:rFonts w:hint="eastAsia" w:ascii="宋体" w:hAnsi="宋体" w:eastAsia="宋体" w:cs="宋体"/>
          <w:color w:val="auto"/>
          <w:spacing w:val="-6"/>
          <w:sz w:val="24"/>
          <w:szCs w:val="24"/>
          <w:highlight w:val="none"/>
          <w:lang w:val="zh-CN"/>
        </w:rPr>
      </w:pPr>
      <w:r>
        <w:rPr>
          <w:rFonts w:hint="eastAsia" w:ascii="宋体" w:hAnsi="宋体" w:eastAsia="宋体" w:cs="宋体"/>
          <w:color w:val="auto"/>
          <w:spacing w:val="-6"/>
          <w:sz w:val="24"/>
          <w:szCs w:val="24"/>
          <w:highlight w:val="none"/>
          <w:lang w:val="zh-CN"/>
        </w:rPr>
        <w:t>联合体成员名称(公章)：</w:t>
      </w:r>
    </w:p>
    <w:p w14:paraId="40E4338B">
      <w:pPr>
        <w:pStyle w:val="11"/>
        <w:pageBreakBefore w:val="0"/>
        <w:kinsoku/>
        <w:wordWrap w:val="0"/>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525780</wp:posOffset>
                </wp:positionH>
                <wp:positionV relativeFrom="paragraph">
                  <wp:posOffset>29845</wp:posOffset>
                </wp:positionV>
                <wp:extent cx="5191125" cy="2221230"/>
                <wp:effectExtent l="4445" t="5080" r="5080" b="21590"/>
                <wp:wrapNone/>
                <wp:docPr id="1" name="文本框 9"/>
                <wp:cNvGraphicFramePr/>
                <a:graphic xmlns:a="http://schemas.openxmlformats.org/drawingml/2006/main">
                  <a:graphicData uri="http://schemas.microsoft.com/office/word/2010/wordprocessingShape">
                    <wps:wsp>
                      <wps:cNvSpPr txBox="1"/>
                      <wps:spPr>
                        <a:xfrm>
                          <a:off x="0" y="0"/>
                          <a:ext cx="5191125" cy="2221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AB6938">
                            <w:pPr>
                              <w:rPr>
                                <w:rFonts w:ascii="宋体"/>
                                <w:sz w:val="24"/>
                                <w:szCs w:val="24"/>
                              </w:rPr>
                            </w:pPr>
                            <w:r>
                              <w:rPr>
                                <w:rFonts w:ascii="新宋体" w:hAnsi="新宋体" w:eastAsia="新宋体"/>
                                <w:sz w:val="22"/>
                              </w:rPr>
                              <w:t xml:space="preserve">  </w:t>
                            </w:r>
                            <w:r>
                              <w:rPr>
                                <w:rFonts w:hint="eastAsia" w:ascii="新宋体" w:hAnsi="新宋体" w:eastAsia="新宋体"/>
                                <w:sz w:val="24"/>
                                <w:szCs w:val="24"/>
                              </w:rPr>
                              <w:t>被授权人</w:t>
                            </w:r>
                            <w:r>
                              <w:rPr>
                                <w:rFonts w:hint="eastAsia" w:ascii="宋体" w:hAnsi="宋体"/>
                                <w:sz w:val="24"/>
                                <w:szCs w:val="24"/>
                              </w:rPr>
                              <w:t>身份证：</w:t>
                            </w:r>
                          </w:p>
                          <w:p w14:paraId="481FC9E7">
                            <w:pPr>
                              <w:rPr>
                                <w:rFonts w:ascii="宋体"/>
                                <w:sz w:val="24"/>
                                <w:szCs w:val="24"/>
                              </w:rPr>
                            </w:pPr>
                          </w:p>
                          <w:p w14:paraId="1204FF28">
                            <w:pPr>
                              <w:rPr>
                                <w:rFonts w:ascii="宋体"/>
                                <w:sz w:val="24"/>
                                <w:szCs w:val="24"/>
                              </w:rPr>
                            </w:pPr>
                          </w:p>
                          <w:p w14:paraId="48918CF9">
                            <w:pPr>
                              <w:rPr>
                                <w:rFonts w:ascii="宋体"/>
                                <w:sz w:val="24"/>
                                <w:szCs w:val="24"/>
                              </w:rPr>
                            </w:pPr>
                          </w:p>
                          <w:p w14:paraId="4F7E24EE">
                            <w:pPr>
                              <w:rPr>
                                <w:rFonts w:ascii="宋体"/>
                                <w:sz w:val="24"/>
                                <w:szCs w:val="24"/>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复印件粘贴处</w:t>
                            </w:r>
                          </w:p>
                        </w:txbxContent>
                      </wps:txbx>
                      <wps:bodyPr upright="1"/>
                    </wps:wsp>
                  </a:graphicData>
                </a:graphic>
              </wp:anchor>
            </w:drawing>
          </mc:Choice>
          <mc:Fallback>
            <w:pict>
              <v:shape id="文本框 9" o:spid="_x0000_s1026" o:spt="202" type="#_x0000_t202" style="position:absolute;left:0pt;margin-left:41.4pt;margin-top:2.35pt;height:174.9pt;width:408.75pt;z-index:251663360;mso-width-relative:page;mso-height-relative:page;" fillcolor="#FFFFFF" filled="t" stroked="t" coordsize="21600,21600" o:gfxdata="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CekKfYAAAACAEAAA8AAAAAAAAAAQAgAAAA&#10;IgAAAGRycy9kb3ducmV2LnhtbFBLAQIUABQAAAAIAIdO4kDlwQZyCwIAADcEAAAOAAAAAAAAAAEA&#10;IAAAACcBAABkcnMvZTJvRG9jLnhtbFBLBQYAAAAABgAGAFkBAACkBQAAAAA=&#10;">
                <v:fill on="t" focussize="0,0"/>
                <v:stroke color="#000000" joinstyle="miter"/>
                <v:imagedata o:title=""/>
                <o:lock v:ext="edit" aspectratio="f"/>
                <v:textbox>
                  <w:txbxContent>
                    <w:p w14:paraId="49AB6938">
                      <w:pPr>
                        <w:rPr>
                          <w:rFonts w:ascii="宋体"/>
                          <w:sz w:val="24"/>
                          <w:szCs w:val="24"/>
                        </w:rPr>
                      </w:pPr>
                      <w:r>
                        <w:rPr>
                          <w:rFonts w:ascii="新宋体" w:hAnsi="新宋体" w:eastAsia="新宋体"/>
                          <w:sz w:val="22"/>
                        </w:rPr>
                        <w:t xml:space="preserve">  </w:t>
                      </w:r>
                      <w:r>
                        <w:rPr>
                          <w:rFonts w:hint="eastAsia" w:ascii="新宋体" w:hAnsi="新宋体" w:eastAsia="新宋体"/>
                          <w:sz w:val="24"/>
                          <w:szCs w:val="24"/>
                        </w:rPr>
                        <w:t>被授权人</w:t>
                      </w:r>
                      <w:r>
                        <w:rPr>
                          <w:rFonts w:hint="eastAsia" w:ascii="宋体" w:hAnsi="宋体"/>
                          <w:sz w:val="24"/>
                          <w:szCs w:val="24"/>
                        </w:rPr>
                        <w:t>身份证：</w:t>
                      </w:r>
                    </w:p>
                    <w:p w14:paraId="481FC9E7">
                      <w:pPr>
                        <w:rPr>
                          <w:rFonts w:ascii="宋体"/>
                          <w:sz w:val="24"/>
                          <w:szCs w:val="24"/>
                        </w:rPr>
                      </w:pPr>
                    </w:p>
                    <w:p w14:paraId="1204FF28">
                      <w:pPr>
                        <w:rPr>
                          <w:rFonts w:ascii="宋体"/>
                          <w:sz w:val="24"/>
                          <w:szCs w:val="24"/>
                        </w:rPr>
                      </w:pPr>
                    </w:p>
                    <w:p w14:paraId="48918CF9">
                      <w:pPr>
                        <w:rPr>
                          <w:rFonts w:ascii="宋体"/>
                          <w:sz w:val="24"/>
                          <w:szCs w:val="24"/>
                        </w:rPr>
                      </w:pPr>
                    </w:p>
                    <w:p w14:paraId="4F7E24EE">
                      <w:pPr>
                        <w:rPr>
                          <w:rFonts w:ascii="宋体"/>
                          <w:sz w:val="24"/>
                          <w:szCs w:val="24"/>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复印件粘贴处</w:t>
                      </w:r>
                    </w:p>
                  </w:txbxContent>
                </v:textbox>
              </v:shape>
            </w:pict>
          </mc:Fallback>
        </mc:AlternateContent>
      </w:r>
    </w:p>
    <w:p w14:paraId="792924A4">
      <w:pPr>
        <w:pStyle w:val="11"/>
        <w:pageBreakBefore w:val="0"/>
        <w:kinsoku/>
        <w:wordWrap w:val="0"/>
        <w:topLinePunct w:val="0"/>
        <w:bidi w:val="0"/>
        <w:rPr>
          <w:rFonts w:hint="eastAsia" w:ascii="宋体" w:hAnsi="宋体" w:eastAsia="宋体" w:cs="宋体"/>
          <w:color w:val="auto"/>
          <w:highlight w:val="none"/>
        </w:rPr>
      </w:pPr>
    </w:p>
    <w:p w14:paraId="7D25DB63">
      <w:pPr>
        <w:pStyle w:val="11"/>
        <w:pageBreakBefore w:val="0"/>
        <w:kinsoku/>
        <w:wordWrap w:val="0"/>
        <w:topLinePunct w:val="0"/>
        <w:bidi w:val="0"/>
        <w:rPr>
          <w:rFonts w:hint="eastAsia" w:ascii="宋体" w:hAnsi="宋体" w:eastAsia="宋体" w:cs="宋体"/>
          <w:color w:val="auto"/>
          <w:highlight w:val="none"/>
        </w:rPr>
      </w:pPr>
    </w:p>
    <w:p w14:paraId="255BB3F3">
      <w:pPr>
        <w:pStyle w:val="11"/>
        <w:pageBreakBefore w:val="0"/>
        <w:kinsoku/>
        <w:wordWrap w:val="0"/>
        <w:topLinePunct w:val="0"/>
        <w:bidi w:val="0"/>
        <w:rPr>
          <w:rFonts w:hint="eastAsia" w:ascii="宋体" w:hAnsi="宋体" w:eastAsia="宋体" w:cs="宋体"/>
          <w:color w:val="auto"/>
          <w:highlight w:val="none"/>
        </w:rPr>
      </w:pPr>
    </w:p>
    <w:p w14:paraId="246D3480">
      <w:pPr>
        <w:pStyle w:val="11"/>
        <w:pageBreakBefore w:val="0"/>
        <w:kinsoku/>
        <w:wordWrap w:val="0"/>
        <w:topLinePunct w:val="0"/>
        <w:bidi w:val="0"/>
        <w:rPr>
          <w:rFonts w:hint="eastAsia" w:ascii="宋体" w:hAnsi="宋体" w:eastAsia="宋体" w:cs="宋体"/>
          <w:color w:val="auto"/>
          <w:highlight w:val="none"/>
        </w:rPr>
      </w:pPr>
    </w:p>
    <w:p w14:paraId="55494643">
      <w:pPr>
        <w:pStyle w:val="11"/>
        <w:pageBreakBefore w:val="0"/>
        <w:kinsoku/>
        <w:wordWrap w:val="0"/>
        <w:topLinePunct w:val="0"/>
        <w:bidi w:val="0"/>
        <w:rPr>
          <w:rFonts w:hint="eastAsia" w:ascii="宋体" w:hAnsi="宋体" w:eastAsia="宋体" w:cs="宋体"/>
          <w:color w:val="auto"/>
          <w:highlight w:val="none"/>
        </w:rPr>
      </w:pPr>
    </w:p>
    <w:p w14:paraId="28F22853">
      <w:pPr>
        <w:pStyle w:val="11"/>
        <w:pageBreakBefore w:val="0"/>
        <w:kinsoku/>
        <w:wordWrap w:val="0"/>
        <w:topLinePunct w:val="0"/>
        <w:bidi w:val="0"/>
        <w:rPr>
          <w:rFonts w:hint="eastAsia" w:ascii="宋体" w:hAnsi="宋体" w:eastAsia="宋体" w:cs="宋体"/>
          <w:color w:val="auto"/>
          <w:highlight w:val="none"/>
        </w:rPr>
      </w:pPr>
    </w:p>
    <w:p w14:paraId="67F464B8">
      <w:pPr>
        <w:pStyle w:val="11"/>
        <w:pageBreakBefore w:val="0"/>
        <w:kinsoku/>
        <w:wordWrap w:val="0"/>
        <w:topLinePunct w:val="0"/>
        <w:bidi w:val="0"/>
        <w:rPr>
          <w:rFonts w:hint="eastAsia" w:ascii="宋体" w:hAnsi="宋体" w:eastAsia="宋体" w:cs="宋体"/>
          <w:color w:val="auto"/>
          <w:highlight w:val="none"/>
        </w:rPr>
      </w:pPr>
    </w:p>
    <w:p w14:paraId="57A80C7A">
      <w:pPr>
        <w:pStyle w:val="11"/>
        <w:pageBreakBefore w:val="0"/>
        <w:kinsoku/>
        <w:wordWrap w:val="0"/>
        <w:topLinePunct w:val="0"/>
        <w:bidi w:val="0"/>
        <w:rPr>
          <w:rFonts w:hint="eastAsia" w:ascii="宋体" w:hAnsi="宋体" w:eastAsia="宋体" w:cs="宋体"/>
          <w:color w:val="auto"/>
          <w:highlight w:val="none"/>
        </w:rPr>
      </w:pPr>
    </w:p>
    <w:p w14:paraId="02EF4E96">
      <w:pPr>
        <w:pStyle w:val="11"/>
        <w:pageBreakBefore w:val="0"/>
        <w:kinsoku/>
        <w:wordWrap w:val="0"/>
        <w:topLinePunct w:val="0"/>
        <w:bidi w:val="0"/>
        <w:rPr>
          <w:rFonts w:hint="eastAsia" w:ascii="宋体" w:hAnsi="宋体" w:eastAsia="宋体" w:cs="宋体"/>
          <w:color w:val="auto"/>
          <w:highlight w:val="none"/>
        </w:rPr>
      </w:pPr>
    </w:p>
    <w:p w14:paraId="273FF8EE">
      <w:pPr>
        <w:pStyle w:val="11"/>
        <w:pageBreakBefore w:val="0"/>
        <w:kinsoku/>
        <w:wordWrap w:val="0"/>
        <w:topLinePunct w:val="0"/>
        <w:bidi w:val="0"/>
        <w:rPr>
          <w:rFonts w:hint="eastAsia" w:ascii="宋体" w:hAnsi="宋体" w:eastAsia="宋体" w:cs="宋体"/>
          <w:color w:val="auto"/>
          <w:highlight w:val="none"/>
        </w:rPr>
      </w:pPr>
    </w:p>
    <w:p w14:paraId="6FF26B7A">
      <w:pPr>
        <w:pStyle w:val="11"/>
        <w:pageBreakBefore w:val="0"/>
        <w:kinsoku/>
        <w:wordWrap w:val="0"/>
        <w:topLinePunct w:val="0"/>
        <w:bidi w:val="0"/>
        <w:rPr>
          <w:rFonts w:hint="eastAsia" w:ascii="宋体" w:hAnsi="宋体" w:eastAsia="宋体" w:cs="宋体"/>
          <w:color w:val="auto"/>
          <w:highlight w:val="none"/>
        </w:rPr>
      </w:pPr>
    </w:p>
    <w:p w14:paraId="04F90FDC">
      <w:pPr>
        <w:pStyle w:val="11"/>
        <w:pageBreakBefore w:val="0"/>
        <w:kinsoku/>
        <w:wordWrap w:val="0"/>
        <w:topLinePunct w:val="0"/>
        <w:bidi w:val="0"/>
        <w:rPr>
          <w:rFonts w:hint="eastAsia" w:ascii="宋体" w:hAnsi="宋体" w:eastAsia="宋体" w:cs="宋体"/>
          <w:color w:val="auto"/>
          <w:highlight w:val="none"/>
        </w:rPr>
      </w:pPr>
    </w:p>
    <w:p w14:paraId="618B73F4">
      <w:pPr>
        <w:pStyle w:val="11"/>
        <w:pageBreakBefore w:val="0"/>
        <w:kinsoku/>
        <w:wordWrap w:val="0"/>
        <w:topLinePunct w:val="0"/>
        <w:bidi w:val="0"/>
        <w:rPr>
          <w:rFonts w:hint="eastAsia" w:ascii="宋体" w:hAnsi="宋体" w:eastAsia="宋体" w:cs="宋体"/>
          <w:color w:val="auto"/>
          <w:highlight w:val="none"/>
        </w:rPr>
      </w:pPr>
    </w:p>
    <w:p w14:paraId="103F1A92">
      <w:pPr>
        <w:pStyle w:val="11"/>
        <w:pageBreakBefore w:val="0"/>
        <w:kinsoku/>
        <w:wordWrap w:val="0"/>
        <w:topLinePunct w:val="0"/>
        <w:bidi w:val="0"/>
        <w:rPr>
          <w:rFonts w:hint="eastAsia" w:ascii="宋体" w:hAnsi="宋体" w:eastAsia="宋体" w:cs="宋体"/>
          <w:color w:val="auto"/>
          <w:highlight w:val="none"/>
        </w:rPr>
      </w:pPr>
    </w:p>
    <w:p w14:paraId="252A6248">
      <w:pPr>
        <w:adjustRightInd w:val="0"/>
        <w:snapToGrid w:val="0"/>
        <w:spacing w:line="360" w:lineRule="exact"/>
        <w:rPr>
          <w:rFonts w:hint="eastAsia" w:ascii="宋体" w:hAnsi="宋体" w:eastAsia="宋体" w:cs="宋体"/>
          <w:b/>
          <w:color w:val="auto"/>
          <w:spacing w:val="-6"/>
          <w:sz w:val="28"/>
          <w:szCs w:val="28"/>
          <w:highlight w:val="none"/>
          <w:lang w:val="en-US" w:eastAsia="zh-CN"/>
        </w:rPr>
      </w:pPr>
      <w:r>
        <w:rPr>
          <w:rFonts w:hint="eastAsia" w:ascii="宋体" w:hAnsi="宋体" w:eastAsia="宋体" w:cs="宋体"/>
          <w:b/>
          <w:bCs/>
          <w:color w:val="auto"/>
          <w:kern w:val="0"/>
          <w:sz w:val="22"/>
          <w:highlight w:val="none"/>
        </w:rPr>
        <w:t>注：</w:t>
      </w:r>
      <w:r>
        <w:rPr>
          <w:rFonts w:hint="eastAsia" w:ascii="宋体" w:hAnsi="宋体" w:eastAsia="宋体" w:cs="宋体"/>
          <w:color w:val="auto"/>
          <w:sz w:val="22"/>
          <w:highlight w:val="none"/>
          <w:u w:val="single"/>
        </w:rPr>
        <w:t>▲投标人代表不是联合体成员中法定代表人（单位负责人、自然人本人）的，</w:t>
      </w:r>
      <w:r>
        <w:rPr>
          <w:rFonts w:hint="eastAsia" w:ascii="宋体" w:hAnsi="宋体" w:eastAsia="宋体" w:cs="宋体"/>
          <w:color w:val="auto"/>
          <w:sz w:val="22"/>
          <w:highlight w:val="none"/>
          <w:u w:val="single"/>
          <w:lang w:val="en-US" w:eastAsia="zh-CN"/>
        </w:rPr>
        <w:t>附</w:t>
      </w:r>
      <w:r>
        <w:rPr>
          <w:rFonts w:hint="eastAsia" w:ascii="宋体" w:hAnsi="宋体" w:eastAsia="宋体" w:cs="宋体"/>
          <w:color w:val="auto"/>
          <w:sz w:val="22"/>
          <w:highlight w:val="none"/>
          <w:u w:val="single"/>
        </w:rPr>
        <w:t>授权代表社保缴纳证明（</w:t>
      </w:r>
      <w:r>
        <w:rPr>
          <w:rFonts w:hint="eastAsia" w:ascii="宋体" w:hAnsi="宋体" w:eastAsia="宋体" w:cs="宋体"/>
          <w:color w:val="auto"/>
          <w:sz w:val="22"/>
          <w:highlight w:val="none"/>
          <w:u w:val="single"/>
          <w:lang w:eastAsia="zh-CN"/>
        </w:rPr>
        <w:t>2026年02月01日</w:t>
      </w:r>
      <w:r>
        <w:rPr>
          <w:rFonts w:hint="eastAsia" w:ascii="宋体" w:hAnsi="宋体" w:eastAsia="宋体" w:cs="宋体"/>
          <w:color w:val="auto"/>
          <w:sz w:val="22"/>
          <w:highlight w:val="none"/>
          <w:u w:val="single"/>
        </w:rPr>
        <w:t>（含）至本项目投标文件提交截止时间止任意</w:t>
      </w:r>
      <w:r>
        <w:rPr>
          <w:rFonts w:hint="eastAsia" w:ascii="宋体" w:hAnsi="宋体" w:eastAsia="宋体" w:cs="宋体"/>
          <w:color w:val="auto"/>
          <w:sz w:val="22"/>
          <w:highlight w:val="none"/>
          <w:u w:val="single"/>
          <w:lang w:eastAsia="zh-CN"/>
        </w:rPr>
        <w:t>一个月</w:t>
      </w:r>
      <w:r>
        <w:rPr>
          <w:rFonts w:hint="eastAsia" w:ascii="宋体" w:hAnsi="宋体" w:eastAsia="宋体" w:cs="宋体"/>
          <w:color w:val="auto"/>
          <w:sz w:val="22"/>
          <w:highlight w:val="none"/>
          <w:u w:val="single"/>
        </w:rPr>
        <w:t>）；投标人委派不在本单位缴纳社保的人员作为授权代表的，说明具体原因、授权代表缴纳社保的单位，并附列该授权代表缴纳社保证明（</w:t>
      </w:r>
      <w:r>
        <w:rPr>
          <w:rFonts w:hint="eastAsia" w:ascii="宋体" w:hAnsi="宋体" w:eastAsia="宋体" w:cs="宋体"/>
          <w:color w:val="auto"/>
          <w:sz w:val="22"/>
          <w:highlight w:val="none"/>
          <w:u w:val="single"/>
          <w:lang w:eastAsia="zh-CN"/>
        </w:rPr>
        <w:t>2026年02月01日</w:t>
      </w:r>
      <w:r>
        <w:rPr>
          <w:rFonts w:hint="eastAsia" w:ascii="宋体" w:hAnsi="宋体" w:eastAsia="宋体" w:cs="宋体"/>
          <w:color w:val="auto"/>
          <w:sz w:val="22"/>
          <w:highlight w:val="none"/>
          <w:u w:val="single"/>
        </w:rPr>
        <w:t>（含）至本项目投标文件提交截止时间止任意</w:t>
      </w:r>
      <w:r>
        <w:rPr>
          <w:rFonts w:hint="eastAsia" w:ascii="宋体" w:hAnsi="宋体" w:eastAsia="宋体" w:cs="宋体"/>
          <w:color w:val="auto"/>
          <w:sz w:val="22"/>
          <w:highlight w:val="none"/>
          <w:u w:val="single"/>
          <w:lang w:eastAsia="zh-CN"/>
        </w:rPr>
        <w:t>一个月</w:t>
      </w:r>
      <w:r>
        <w:rPr>
          <w:rFonts w:hint="eastAsia" w:ascii="宋体" w:hAnsi="宋体" w:eastAsia="宋体" w:cs="宋体"/>
          <w:color w:val="auto"/>
          <w:sz w:val="22"/>
          <w:highlight w:val="none"/>
          <w:u w:val="single"/>
        </w:rPr>
        <w:t>）。</w:t>
      </w:r>
    </w:p>
    <w:p w14:paraId="198088AA">
      <w:pPr>
        <w:pageBreakBefore w:val="0"/>
        <w:kinsoku/>
        <w:wordWrap w:val="0"/>
        <w:topLinePunct w:val="0"/>
        <w:bidi w:val="0"/>
        <w:spacing w:line="400" w:lineRule="exact"/>
        <w:rPr>
          <w:rFonts w:hint="eastAsia" w:ascii="宋体" w:hAnsi="宋体" w:eastAsia="宋体" w:cs="宋体"/>
          <w:b/>
          <w:color w:val="auto"/>
          <w:sz w:val="24"/>
          <w:szCs w:val="24"/>
          <w:highlight w:val="none"/>
        </w:rPr>
      </w:pPr>
    </w:p>
    <w:p w14:paraId="5140B3F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BB85A93">
      <w:pPr>
        <w:pageBreakBefore w:val="0"/>
        <w:kinsoku/>
        <w:wordWrap w:val="0"/>
        <w:topLinePunct w:val="0"/>
        <w:bidi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附件6</w:t>
      </w:r>
    </w:p>
    <w:p w14:paraId="30991F64">
      <w:pPr>
        <w:pageBreakBefore w:val="0"/>
        <w:kinsoku/>
        <w:wordWrap w:val="0"/>
        <w:topLinePunct w:val="0"/>
        <w:bidi w:val="0"/>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 标 函</w:t>
      </w:r>
    </w:p>
    <w:p w14:paraId="738DA2D2">
      <w:pPr>
        <w:pageBreakBefore w:val="0"/>
        <w:kinsoku/>
        <w:wordWrap w:val="0"/>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温州市第七人民医院</w:t>
      </w:r>
      <w:r>
        <w:rPr>
          <w:rFonts w:hint="eastAsia" w:ascii="宋体" w:hAnsi="宋体" w:eastAsia="宋体" w:cs="宋体"/>
          <w:color w:val="auto"/>
          <w:sz w:val="24"/>
          <w:szCs w:val="24"/>
          <w:highlight w:val="none"/>
          <w:u w:val="single"/>
        </w:rPr>
        <w:t>、浙江乐诚工程咨询有限公司</w:t>
      </w:r>
    </w:p>
    <w:p w14:paraId="76230998">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lang w:eastAsia="zh-CN"/>
        </w:rPr>
        <w:t>温州市第七人民医院</w:t>
      </w:r>
      <w:r>
        <w:rPr>
          <w:rFonts w:hint="eastAsia" w:ascii="宋体" w:hAnsi="宋体" w:eastAsia="宋体" w:cs="宋体"/>
          <w:color w:val="auto"/>
          <w:sz w:val="24"/>
          <w:szCs w:val="24"/>
          <w:highlight w:val="none"/>
          <w:lang w:val="en-US" w:eastAsia="zh-CN"/>
        </w:rPr>
        <w:t>（标项名称：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）的投标邀请，我方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（投标人名称）作为投标人正式授权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（授权代表全名，职务）代表我方处理本次项目中的一切投标相关事宜。</w:t>
      </w:r>
    </w:p>
    <w:p w14:paraId="2C2B1191">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完全明白招标文件的所有条款要求，并重申以下几点：</w:t>
      </w:r>
    </w:p>
    <w:p w14:paraId="1F95ABB1">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（一）本投标文件的有效期自提交投标文件的截止之日起 </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天内有效，如中标，有效期将延至合同终止日为止；</w:t>
      </w:r>
    </w:p>
    <w:p w14:paraId="7990CB60">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（二）我方已详细研究了招标文件的所有内容包括修改书（如有）和所有已提供的参考资料以及有关附件，我方完全理解并同意放弃在此方面提出含糊意见或误解的一切权力；</w:t>
      </w:r>
    </w:p>
    <w:p w14:paraId="17CC379B">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（三）我方明白并愿意在规定的开标时间之后，投标人在投标有效期内不撤回投标；</w:t>
      </w:r>
    </w:p>
    <w:p w14:paraId="22F38E41">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（四）我方同意提供按照贵方可能要求的与投标有关的一切数据或资料；</w:t>
      </w:r>
    </w:p>
    <w:p w14:paraId="30F38F16">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（五）我方理解贵方不一定接受最低报价。</w:t>
      </w:r>
    </w:p>
    <w:p w14:paraId="2A6CFAD0">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（六）如中标，我方承诺按照招标文件规定向你方递交履约保证金，本投标文件至本项目合同履行完毕止均保持有效，本投标人将按“招标文件”及政府采购法律、法规的规定履行合同责任和义务。</w:t>
      </w:r>
    </w:p>
    <w:p w14:paraId="0DB951EE">
      <w:pPr>
        <w:pageBreakBefore w:val="0"/>
        <w:kinsoku/>
        <w:wordWrap w:val="0"/>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（七）所有与本投标有关的函件请发往下列地址：</w:t>
      </w:r>
    </w:p>
    <w:p w14:paraId="24036E07">
      <w:pPr>
        <w:pageBreakBefore w:val="0"/>
        <w:kinsoku/>
        <w:wordWrap w:val="0"/>
        <w:topLinePunct w:val="0"/>
        <w:bidi w:val="0"/>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宋体" w:hAnsi="宋体" w:eastAsia="宋体" w:cs="宋体"/>
          <w:color w:val="auto"/>
          <w:sz w:val="24"/>
          <w:szCs w:val="24"/>
          <w:highlight w:val="none"/>
          <w:u w:val="single"/>
        </w:rPr>
        <w:t xml:space="preserve">                　　  　　</w:t>
      </w:r>
    </w:p>
    <w:p w14:paraId="6A0A638E">
      <w:pPr>
        <w:pageBreakBefore w:val="0"/>
        <w:kinsoku/>
        <w:wordWrap w:val="0"/>
        <w:topLinePunct w:val="0"/>
        <w:bidi w:val="0"/>
        <w:spacing w:line="4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31AE16DF">
      <w:pPr>
        <w:pageBreakBefore w:val="0"/>
        <w:kinsoku/>
        <w:wordWrap w:val="0"/>
        <w:topLinePunct w:val="0"/>
        <w:bidi w:val="0"/>
        <w:spacing w:line="40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759D1BFE">
      <w:pPr>
        <w:pageBreakBefore w:val="0"/>
        <w:kinsoku/>
        <w:wordWrap w:val="0"/>
        <w:topLinePunct w:val="0"/>
        <w:bidi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rPr>
        <w:t xml:space="preserve">         　　         </w:t>
      </w:r>
    </w:p>
    <w:p w14:paraId="0930042D">
      <w:pPr>
        <w:pageBreakBefore w:val="0"/>
        <w:kinsoku/>
        <w:wordWrap w:val="0"/>
        <w:topLinePunct w:val="0"/>
        <w:bidi w:val="0"/>
        <w:spacing w:line="400" w:lineRule="exact"/>
        <w:rPr>
          <w:rFonts w:hint="eastAsia" w:ascii="宋体" w:hAnsi="宋体" w:eastAsia="宋体" w:cs="宋体"/>
          <w:color w:val="auto"/>
          <w:sz w:val="24"/>
          <w:szCs w:val="24"/>
          <w:highlight w:val="none"/>
        </w:rPr>
      </w:pPr>
    </w:p>
    <w:p w14:paraId="0F62B950">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投标人全称(公章或电子签章)：</w:t>
      </w:r>
    </w:p>
    <w:p w14:paraId="017D11F8">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14:paraId="3D151D67">
      <w:pPr>
        <w:pageBreakBefore w:val="0"/>
        <w:kinsoku/>
        <w:wordWrap w:val="0"/>
        <w:topLinePunct w:val="0"/>
        <w:bidi w:val="0"/>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034DF7A">
      <w:pPr>
        <w:pageBreakBefore w:val="0"/>
        <w:kinsoku/>
        <w:wordWrap w:val="0"/>
        <w:topLinePunct w:val="0"/>
        <w:bidi w:val="0"/>
        <w:snapToGrid w:val="0"/>
        <w:spacing w:line="400" w:lineRule="exact"/>
        <w:jc w:val="center"/>
        <w:rPr>
          <w:rFonts w:hint="eastAsia" w:ascii="宋体" w:hAnsi="宋体" w:eastAsia="宋体" w:cs="宋体"/>
          <w:b/>
          <w:bCs/>
          <w:color w:val="auto"/>
          <w:sz w:val="28"/>
          <w:szCs w:val="28"/>
          <w:highlight w:val="none"/>
        </w:rPr>
      </w:pPr>
    </w:p>
    <w:p w14:paraId="6948884E">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9350BB1">
      <w:pPr>
        <w:pageBreakBefore w:val="0"/>
        <w:kinsoku/>
        <w:wordWrap w:val="0"/>
        <w:topLinePunct w:val="0"/>
        <w:bidi w:val="0"/>
        <w:spacing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color w:val="auto"/>
          <w:sz w:val="24"/>
          <w:szCs w:val="24"/>
          <w:highlight w:val="none"/>
          <w:lang w:eastAsia="zh-CN"/>
        </w:rPr>
        <w:t>附件7</w:t>
      </w:r>
    </w:p>
    <w:p w14:paraId="6C866F97">
      <w:pPr>
        <w:pageBreakBefore w:val="0"/>
        <w:kinsoku/>
        <w:wordWrap w:val="0"/>
        <w:topLinePunct w:val="0"/>
        <w:bidi w:val="0"/>
        <w:snapToGrid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投标声明书</w:t>
      </w:r>
    </w:p>
    <w:p w14:paraId="53D54352">
      <w:pPr>
        <w:pageBreakBefore w:val="0"/>
        <w:kinsoku/>
        <w:wordWrap w:val="0"/>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eastAsia="zh-CN"/>
        </w:rPr>
        <w:t>温州市第七人民医院</w:t>
      </w:r>
      <w:r>
        <w:rPr>
          <w:rFonts w:hint="eastAsia" w:ascii="宋体" w:hAnsi="宋体" w:eastAsia="宋体" w:cs="宋体"/>
          <w:color w:val="auto"/>
          <w:sz w:val="24"/>
          <w:szCs w:val="24"/>
          <w:highlight w:val="none"/>
          <w:u w:val="single"/>
        </w:rPr>
        <w:t>、浙江乐诚工程咨询有限公司</w:t>
      </w:r>
      <w:r>
        <w:rPr>
          <w:rFonts w:hint="eastAsia" w:ascii="宋体" w:hAnsi="宋体" w:eastAsia="宋体" w:cs="宋体"/>
          <w:color w:val="auto"/>
          <w:sz w:val="24"/>
          <w:szCs w:val="24"/>
          <w:highlight w:val="none"/>
        </w:rPr>
        <w:t>：</w:t>
      </w:r>
    </w:p>
    <w:p w14:paraId="695DC2F0">
      <w:pPr>
        <w:pageBreakBefore w:val="0"/>
        <w:kinsoku/>
        <w:wordWrap w:val="0"/>
        <w:topLinePunct w:val="0"/>
        <w:bidi w:val="0"/>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系中华人民共和国合法企业，经营地址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C820EF">
      <w:pPr>
        <w:pageBreakBefore w:val="0"/>
        <w:kinsoku/>
        <w:wordWrap w:val="0"/>
        <w:topLinePunct w:val="0"/>
        <w:bidi w:val="0"/>
        <w:snapToGrid w:val="0"/>
        <w:spacing w:line="40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的法定代表人，我方愿意参加贵方组织的</w:t>
      </w:r>
      <w:r>
        <w:rPr>
          <w:rFonts w:hint="eastAsia" w:ascii="宋体" w:hAnsi="宋体" w:eastAsia="宋体" w:cs="宋体"/>
          <w:color w:val="auto"/>
          <w:sz w:val="24"/>
          <w:szCs w:val="24"/>
          <w:highlight w:val="none"/>
          <w:lang w:val="en-US" w:eastAsia="zh-CN"/>
        </w:rPr>
        <w:t>（标项名称：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）的投标，为便于贵方公正、择优地确定中标人及其服务，我方就本次投标有关事项郑重声明如下：</w:t>
      </w:r>
    </w:p>
    <w:p w14:paraId="6B0CF07C">
      <w:pPr>
        <w:pageBreakBefore w:val="0"/>
        <w:kinsoku/>
        <w:wordWrap w:val="0"/>
        <w:topLinePunct w:val="0"/>
        <w:bidi w:val="0"/>
        <w:spacing w:line="400" w:lineRule="exact"/>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1.我方向贵方提交的所有投标文件、资料都是准确的和真实的；</w:t>
      </w:r>
    </w:p>
    <w:p w14:paraId="276AF95B">
      <w:pPr>
        <w:pageBreakBefore w:val="0"/>
        <w:kinsoku/>
        <w:wordWrap w:val="0"/>
        <w:topLinePunct w:val="0"/>
        <w:bidi w:val="0"/>
        <w:spacing w:line="400" w:lineRule="exact"/>
        <w:ind w:firstLine="456"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2.我方不是采购人的附属机构；在获知本项目采购信息后，与采购人聘请的为此项目提供咨询服务的公司及其附属机构没有任何联系；</w:t>
      </w:r>
    </w:p>
    <w:p w14:paraId="5DE925F3">
      <w:pPr>
        <w:pageBreakBefore w:val="0"/>
        <w:kinsoku/>
        <w:wordWrap w:val="0"/>
        <w:topLinePunct w:val="0"/>
        <w:bidi w:val="0"/>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3.我方在参加</w:t>
      </w:r>
      <w:r>
        <w:rPr>
          <w:rFonts w:hint="eastAsia" w:ascii="宋体" w:hAnsi="宋体" w:eastAsia="宋体" w:cs="宋体"/>
          <w:color w:val="auto"/>
          <w:spacing w:val="-6"/>
          <w:sz w:val="24"/>
          <w:szCs w:val="24"/>
          <w:highlight w:val="none"/>
          <w:lang w:eastAsia="zh-CN"/>
        </w:rPr>
        <w:t>采购</w:t>
      </w:r>
      <w:r>
        <w:rPr>
          <w:rFonts w:hint="eastAsia" w:ascii="宋体" w:hAnsi="宋体" w:eastAsia="宋体" w:cs="宋体"/>
          <w:color w:val="auto"/>
          <w:spacing w:val="-6"/>
          <w:sz w:val="24"/>
          <w:szCs w:val="24"/>
          <w:highlight w:val="none"/>
        </w:rPr>
        <w:t>活动前3年内：</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pacing w:val="-6"/>
          <w:sz w:val="24"/>
          <w:szCs w:val="24"/>
          <w:highlight w:val="none"/>
        </w:rPr>
        <w:t>（填写“有”或“没有”，如实填写，如不填写视同未按要求填写）</w:t>
      </w:r>
      <w:r>
        <w:rPr>
          <w:rFonts w:hint="eastAsia" w:ascii="宋体" w:hAnsi="宋体" w:eastAsia="宋体" w:cs="宋体"/>
          <w:color w:val="auto"/>
          <w:spacing w:val="-6"/>
          <w:sz w:val="24"/>
          <w:szCs w:val="24"/>
          <w:highlight w:val="none"/>
        </w:rPr>
        <w:t>因违法经营被禁止在一定期限内参加政府采购活动，且期限未满的情形；</w:t>
      </w:r>
    </w:p>
    <w:p w14:paraId="4CF2149B">
      <w:pPr>
        <w:pageBreakBefore w:val="0"/>
        <w:kinsoku/>
        <w:wordWrap w:val="0"/>
        <w:topLinePunct w:val="0"/>
        <w:bidi w:val="0"/>
        <w:spacing w:line="40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4.以上事项如有虚假或隐瞒，我方愿意承担一切后果和责任。</w:t>
      </w:r>
    </w:p>
    <w:p w14:paraId="6C24770C">
      <w:pPr>
        <w:pStyle w:val="12"/>
        <w:pageBreakBefore w:val="0"/>
        <w:tabs>
          <w:tab w:val="left" w:pos="939"/>
        </w:tabs>
        <w:kinsoku/>
        <w:wordWrap w:val="0"/>
        <w:topLinePunct w:val="0"/>
        <w:bidi w:val="0"/>
        <w:snapToGrid w:val="0"/>
        <w:spacing w:line="400" w:lineRule="exact"/>
        <w:ind w:left="458" w:leftChars="0" w:hanging="458" w:hangingChars="191"/>
        <w:rPr>
          <w:rFonts w:hint="eastAsia" w:ascii="宋体" w:hAnsi="宋体" w:eastAsia="宋体" w:cs="宋体"/>
          <w:color w:val="auto"/>
          <w:sz w:val="24"/>
          <w:szCs w:val="24"/>
          <w:highlight w:val="none"/>
        </w:rPr>
      </w:pPr>
    </w:p>
    <w:p w14:paraId="19DCFC63">
      <w:pPr>
        <w:pStyle w:val="60"/>
        <w:pageBreakBefore w:val="0"/>
        <w:kinsoku/>
        <w:wordWrap w:val="0"/>
        <w:topLinePunct w:val="0"/>
        <w:bidi w:val="0"/>
        <w:snapToGrid w:val="0"/>
        <w:spacing w:line="400" w:lineRule="exact"/>
        <w:ind w:firstLine="200"/>
        <w:rPr>
          <w:rFonts w:hint="eastAsia" w:ascii="宋体" w:hAnsi="宋体" w:eastAsia="宋体" w:cs="宋体"/>
          <w:color w:val="auto"/>
          <w:highlight w:val="none"/>
        </w:rPr>
      </w:pPr>
    </w:p>
    <w:p w14:paraId="63EEC3A6">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投标人全称(公章或电子签章)：</w:t>
      </w:r>
    </w:p>
    <w:p w14:paraId="0DAF0562">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14:paraId="1198FA67">
      <w:pPr>
        <w:pageBreakBefore w:val="0"/>
        <w:kinsoku/>
        <w:wordWrap w:val="0"/>
        <w:topLinePunct w:val="0"/>
        <w:bidi w:val="0"/>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47A14AB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9D25318">
      <w:pPr>
        <w:pageBreakBefore w:val="0"/>
        <w:kinsoku/>
        <w:wordWrap w:val="0"/>
        <w:topLinePunct w:val="0"/>
        <w:bidi w:val="0"/>
        <w:spacing w:line="400" w:lineRule="exact"/>
        <w:rPr>
          <w:rFonts w:hint="eastAsia" w:ascii="宋体" w:hAnsi="宋体" w:eastAsia="宋体" w:cs="宋体"/>
          <w:b/>
          <w:color w:val="auto"/>
          <w:spacing w:val="-6"/>
          <w:sz w:val="24"/>
          <w:highlight w:val="none"/>
          <w:lang w:eastAsia="zh-CN"/>
        </w:rPr>
      </w:pPr>
      <w:r>
        <w:rPr>
          <w:rFonts w:hint="eastAsia" w:ascii="宋体" w:hAnsi="宋体" w:eastAsia="宋体" w:cs="宋体"/>
          <w:b/>
          <w:color w:val="auto"/>
          <w:sz w:val="24"/>
          <w:szCs w:val="24"/>
          <w:highlight w:val="none"/>
          <w:lang w:eastAsia="zh-CN"/>
        </w:rPr>
        <w:t>附件8</w:t>
      </w:r>
    </w:p>
    <w:p w14:paraId="271EA240">
      <w:pPr>
        <w:pageBreakBefore w:val="0"/>
        <w:kinsoku/>
        <w:wordWrap w:val="0"/>
        <w:topLinePunct w:val="0"/>
        <w:bidi w:val="0"/>
        <w:spacing w:line="400" w:lineRule="exact"/>
        <w:ind w:firstLine="435"/>
        <w:jc w:val="center"/>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投标人基本情况表</w:t>
      </w:r>
    </w:p>
    <w:tbl>
      <w:tblPr>
        <w:tblStyle w:val="32"/>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14:paraId="0B47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F9450C3">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p>
        </w:tc>
        <w:tc>
          <w:tcPr>
            <w:tcW w:w="8490" w:type="dxa"/>
            <w:gridSpan w:val="3"/>
            <w:vAlign w:val="center"/>
          </w:tcPr>
          <w:p w14:paraId="661C75D1">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企业名称：</w:t>
            </w:r>
          </w:p>
        </w:tc>
      </w:tr>
      <w:tr w14:paraId="6405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6580965">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p>
        </w:tc>
        <w:tc>
          <w:tcPr>
            <w:tcW w:w="8490" w:type="dxa"/>
            <w:gridSpan w:val="3"/>
            <w:vAlign w:val="center"/>
          </w:tcPr>
          <w:p w14:paraId="64256241">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总部地址：</w:t>
            </w:r>
          </w:p>
        </w:tc>
      </w:tr>
      <w:tr w14:paraId="3D07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87A055C">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3</w:t>
            </w:r>
          </w:p>
        </w:tc>
        <w:tc>
          <w:tcPr>
            <w:tcW w:w="8490" w:type="dxa"/>
            <w:gridSpan w:val="3"/>
            <w:vAlign w:val="center"/>
          </w:tcPr>
          <w:p w14:paraId="174707D0">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当地代表处地址：</w:t>
            </w:r>
          </w:p>
        </w:tc>
      </w:tr>
      <w:tr w14:paraId="6217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8053F9F">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4</w:t>
            </w:r>
          </w:p>
        </w:tc>
        <w:tc>
          <w:tcPr>
            <w:tcW w:w="4305" w:type="dxa"/>
            <w:gridSpan w:val="2"/>
            <w:vAlign w:val="center"/>
          </w:tcPr>
          <w:p w14:paraId="3AACA3DC">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电话：</w:t>
            </w:r>
          </w:p>
        </w:tc>
        <w:tc>
          <w:tcPr>
            <w:tcW w:w="4185" w:type="dxa"/>
            <w:vAlign w:val="center"/>
          </w:tcPr>
          <w:p w14:paraId="306E4CA6">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联系人：</w:t>
            </w:r>
          </w:p>
        </w:tc>
      </w:tr>
      <w:tr w14:paraId="45CC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9FA16E3">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5</w:t>
            </w:r>
          </w:p>
        </w:tc>
        <w:tc>
          <w:tcPr>
            <w:tcW w:w="4305" w:type="dxa"/>
            <w:gridSpan w:val="2"/>
            <w:vAlign w:val="center"/>
          </w:tcPr>
          <w:p w14:paraId="0B4BC01A">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传真：</w:t>
            </w:r>
          </w:p>
        </w:tc>
        <w:tc>
          <w:tcPr>
            <w:tcW w:w="4185" w:type="dxa"/>
            <w:vAlign w:val="center"/>
          </w:tcPr>
          <w:p w14:paraId="03D5FB15">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电子信箱：</w:t>
            </w:r>
          </w:p>
        </w:tc>
      </w:tr>
      <w:tr w14:paraId="3AF8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4647E97">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6</w:t>
            </w:r>
          </w:p>
        </w:tc>
        <w:tc>
          <w:tcPr>
            <w:tcW w:w="4305" w:type="dxa"/>
            <w:gridSpan w:val="2"/>
            <w:vAlign w:val="center"/>
          </w:tcPr>
          <w:p w14:paraId="6D8BC511">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注册地：</w:t>
            </w:r>
          </w:p>
        </w:tc>
        <w:tc>
          <w:tcPr>
            <w:tcW w:w="4185" w:type="dxa"/>
            <w:vAlign w:val="center"/>
          </w:tcPr>
          <w:p w14:paraId="42A7FC8C">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注册年份：</w:t>
            </w:r>
          </w:p>
        </w:tc>
      </w:tr>
      <w:tr w14:paraId="0284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6A9D857">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7</w:t>
            </w:r>
          </w:p>
        </w:tc>
        <w:tc>
          <w:tcPr>
            <w:tcW w:w="8490" w:type="dxa"/>
            <w:gridSpan w:val="3"/>
            <w:vAlign w:val="center"/>
          </w:tcPr>
          <w:p w14:paraId="5D37B3B8">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公司的资质等级（请附上有关证书）</w:t>
            </w:r>
          </w:p>
        </w:tc>
      </w:tr>
      <w:tr w14:paraId="0D32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0C5961A">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8</w:t>
            </w:r>
          </w:p>
        </w:tc>
        <w:tc>
          <w:tcPr>
            <w:tcW w:w="8490" w:type="dxa"/>
            <w:gridSpan w:val="3"/>
            <w:vAlign w:val="center"/>
          </w:tcPr>
          <w:p w14:paraId="4A4D170D">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公司（是否通过，何种）质量保证体系认证（如通过请附相关证书，提供认证机构年审监督报告）</w:t>
            </w:r>
          </w:p>
        </w:tc>
      </w:tr>
      <w:tr w14:paraId="2EF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73C610D">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9</w:t>
            </w:r>
          </w:p>
        </w:tc>
        <w:tc>
          <w:tcPr>
            <w:tcW w:w="2520" w:type="dxa"/>
            <w:vAlign w:val="center"/>
          </w:tcPr>
          <w:p w14:paraId="369FCCA0">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作为承包人经历年数</w:t>
            </w:r>
          </w:p>
        </w:tc>
        <w:tc>
          <w:tcPr>
            <w:tcW w:w="5970" w:type="dxa"/>
            <w:gridSpan w:val="2"/>
            <w:vAlign w:val="center"/>
          </w:tcPr>
          <w:p w14:paraId="699F6270">
            <w:pPr>
              <w:pageBreakBefore w:val="0"/>
              <w:kinsoku/>
              <w:wordWrap w:val="0"/>
              <w:topLinePunct w:val="0"/>
              <w:bidi w:val="0"/>
              <w:spacing w:line="400" w:lineRule="exact"/>
              <w:rPr>
                <w:rFonts w:hint="eastAsia" w:ascii="宋体" w:hAnsi="宋体" w:eastAsia="宋体" w:cs="宋体"/>
                <w:color w:val="auto"/>
                <w:spacing w:val="-6"/>
                <w:sz w:val="24"/>
                <w:highlight w:val="none"/>
              </w:rPr>
            </w:pPr>
          </w:p>
        </w:tc>
      </w:tr>
      <w:tr w14:paraId="21D0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B4402FE">
            <w:pPr>
              <w:pageBreakBefore w:val="0"/>
              <w:kinsoku/>
              <w:wordWrap w:val="0"/>
              <w:topLinePunct w:val="0"/>
              <w:bidi w:val="0"/>
              <w:spacing w:line="400" w:lineRule="exact"/>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10</w:t>
            </w:r>
          </w:p>
        </w:tc>
        <w:tc>
          <w:tcPr>
            <w:tcW w:w="2520" w:type="dxa"/>
            <w:vAlign w:val="center"/>
          </w:tcPr>
          <w:p w14:paraId="356B44BA">
            <w:pPr>
              <w:pageBreakBefore w:val="0"/>
              <w:kinsoku/>
              <w:wordWrap w:val="0"/>
              <w:topLinePunct w:val="0"/>
              <w:bidi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其他需要说明的情况</w:t>
            </w:r>
          </w:p>
        </w:tc>
        <w:tc>
          <w:tcPr>
            <w:tcW w:w="5970" w:type="dxa"/>
            <w:gridSpan w:val="2"/>
            <w:vAlign w:val="center"/>
          </w:tcPr>
          <w:p w14:paraId="1DEAED48">
            <w:pPr>
              <w:pageBreakBefore w:val="0"/>
              <w:kinsoku/>
              <w:wordWrap w:val="0"/>
              <w:topLinePunct w:val="0"/>
              <w:bidi w:val="0"/>
              <w:spacing w:line="400" w:lineRule="exact"/>
              <w:rPr>
                <w:rFonts w:hint="eastAsia" w:ascii="宋体" w:hAnsi="宋体" w:eastAsia="宋体" w:cs="宋体"/>
                <w:color w:val="auto"/>
                <w:spacing w:val="-6"/>
                <w:sz w:val="24"/>
                <w:highlight w:val="none"/>
              </w:rPr>
            </w:pPr>
          </w:p>
        </w:tc>
      </w:tr>
    </w:tbl>
    <w:p w14:paraId="1CDD531E">
      <w:pPr>
        <w:pageBreakBefore w:val="0"/>
        <w:kinsoku/>
        <w:wordWrap w:val="0"/>
        <w:topLinePunct w:val="0"/>
        <w:bidi w:val="0"/>
        <w:spacing w:line="400" w:lineRule="exact"/>
        <w:rPr>
          <w:rFonts w:hint="eastAsia" w:ascii="宋体" w:hAnsi="宋体" w:eastAsia="宋体" w:cs="宋体"/>
          <w:color w:val="auto"/>
          <w:spacing w:val="-6"/>
          <w:sz w:val="24"/>
          <w:highlight w:val="none"/>
        </w:rPr>
      </w:pPr>
    </w:p>
    <w:p w14:paraId="46BA29E5">
      <w:pPr>
        <w:pageBreakBefore w:val="0"/>
        <w:kinsoku/>
        <w:wordWrap w:val="0"/>
        <w:topLinePunct w:val="0"/>
        <w:bidi w:val="0"/>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说明：所有投标人都须填写此表。</w:t>
      </w:r>
    </w:p>
    <w:p w14:paraId="15FFA356">
      <w:pPr>
        <w:pageBreakBefore w:val="0"/>
        <w:kinsoku/>
        <w:wordWrap w:val="0"/>
        <w:topLinePunct w:val="0"/>
        <w:bidi w:val="0"/>
        <w:spacing w:line="400" w:lineRule="exact"/>
        <w:rPr>
          <w:rFonts w:hint="eastAsia" w:ascii="宋体" w:hAnsi="宋体" w:eastAsia="宋体" w:cs="宋体"/>
          <w:color w:val="auto"/>
          <w:spacing w:val="-6"/>
          <w:sz w:val="24"/>
          <w:highlight w:val="none"/>
        </w:rPr>
      </w:pPr>
    </w:p>
    <w:p w14:paraId="6F3FCF87">
      <w:pPr>
        <w:pageBreakBefore w:val="0"/>
        <w:kinsoku/>
        <w:wordWrap w:val="0"/>
        <w:topLinePunct w:val="0"/>
        <w:bidi w:val="0"/>
        <w:spacing w:line="400" w:lineRule="exact"/>
        <w:rPr>
          <w:rFonts w:hint="eastAsia" w:ascii="宋体" w:hAnsi="宋体" w:eastAsia="宋体" w:cs="宋体"/>
          <w:color w:val="auto"/>
          <w:spacing w:val="-6"/>
          <w:sz w:val="24"/>
          <w:highlight w:val="none"/>
        </w:rPr>
      </w:pPr>
    </w:p>
    <w:p w14:paraId="398FA974">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投标人全称(公章或电子签章)：</w:t>
      </w:r>
    </w:p>
    <w:p w14:paraId="67759BA1">
      <w:pPr>
        <w:pageBreakBefore w:val="0"/>
        <w:widowControl/>
        <w:kinsoku/>
        <w:wordWrap w:val="0"/>
        <w:topLinePunct w:val="0"/>
        <w:bidi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14:paraId="42A72040">
      <w:pPr>
        <w:pageBreakBefore w:val="0"/>
        <w:kinsoku/>
        <w:wordWrap w:val="0"/>
        <w:topLinePunct w:val="0"/>
        <w:bidi w:val="0"/>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0264B96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F497930">
      <w:pPr>
        <w:pageBreakBefore w:val="0"/>
        <w:kinsoku/>
        <w:wordWrap w:val="0"/>
        <w:topLinePunct w:val="0"/>
        <w:bidi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附件9</w:t>
      </w:r>
    </w:p>
    <w:p w14:paraId="2BBEFE18">
      <w:pPr>
        <w:pageBreakBefore w:val="0"/>
        <w:kinsoku/>
        <w:wordWrap w:val="0"/>
        <w:topLinePunct w:val="0"/>
        <w:bidi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投标人同类项目业绩一览表（如有）</w:t>
      </w:r>
    </w:p>
    <w:p w14:paraId="0C830B77">
      <w:pPr>
        <w:pageBreakBefore w:val="0"/>
        <w:kinsoku/>
        <w:wordWrap w:val="0"/>
        <w:topLinePunct w:val="0"/>
        <w:bidi w:val="0"/>
        <w:spacing w:line="400" w:lineRule="exact"/>
        <w:rPr>
          <w:rFonts w:hint="eastAsia" w:ascii="宋体" w:hAnsi="宋体" w:eastAsia="宋体" w:cs="宋体"/>
          <w:b/>
          <w:bCs/>
          <w:color w:val="auto"/>
          <w:sz w:val="24"/>
          <w:szCs w:val="24"/>
          <w:highlight w:val="none"/>
        </w:rPr>
      </w:pPr>
    </w:p>
    <w:p w14:paraId="2217D9EF">
      <w:pPr>
        <w:pStyle w:val="13"/>
        <w:pageBreakBefore w:val="0"/>
        <w:kinsoku/>
        <w:wordWrap w:val="0"/>
        <w:topLinePunct w:val="0"/>
        <w:bidi w:val="0"/>
        <w:spacing w:after="0" w:line="400" w:lineRule="exact"/>
        <w:ind w:left="0" w:leftChars="0" w:right="147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en-US" w:eastAsia="zh-CN"/>
        </w:rPr>
        <w:t>标项</w:t>
      </w:r>
      <w:r>
        <w:rPr>
          <w:rFonts w:hint="eastAsia" w:ascii="宋体" w:hAnsi="宋体" w:eastAsia="宋体" w:cs="宋体"/>
          <w:b/>
          <w:color w:val="auto"/>
          <w:sz w:val="24"/>
          <w:szCs w:val="24"/>
          <w:highlight w:val="none"/>
        </w:rPr>
        <w:t xml:space="preserve">名称：                              项目编号：                  </w:t>
      </w:r>
    </w:p>
    <w:tbl>
      <w:tblPr>
        <w:tblStyle w:val="32"/>
        <w:tblW w:w="92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5"/>
        <w:gridCol w:w="1833"/>
        <w:gridCol w:w="1614"/>
        <w:gridCol w:w="1464"/>
        <w:gridCol w:w="1584"/>
        <w:gridCol w:w="2024"/>
      </w:tblGrid>
      <w:tr w14:paraId="0415F7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04509036">
            <w:pPr>
              <w:pageBreakBefore w:val="0"/>
              <w:kinsoku/>
              <w:wordWrap w:val="0"/>
              <w:topLinePunct w:val="0"/>
              <w:bidi w:val="0"/>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序号</w:t>
            </w:r>
          </w:p>
        </w:tc>
        <w:tc>
          <w:tcPr>
            <w:tcW w:w="1833" w:type="dxa"/>
            <w:vAlign w:val="center"/>
          </w:tcPr>
          <w:p w14:paraId="6F9057B1">
            <w:pPr>
              <w:pageBreakBefore w:val="0"/>
              <w:kinsoku/>
              <w:wordWrap w:val="0"/>
              <w:topLinePunct w:val="0"/>
              <w:bidi w:val="0"/>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采购单位名称</w:t>
            </w:r>
          </w:p>
        </w:tc>
        <w:tc>
          <w:tcPr>
            <w:tcW w:w="1614" w:type="dxa"/>
            <w:vAlign w:val="center"/>
          </w:tcPr>
          <w:p w14:paraId="02DBF0AE">
            <w:pPr>
              <w:pageBreakBefore w:val="0"/>
              <w:kinsoku/>
              <w:wordWrap w:val="0"/>
              <w:topLinePunct w:val="0"/>
              <w:bidi w:val="0"/>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项目名称</w:t>
            </w:r>
          </w:p>
        </w:tc>
        <w:tc>
          <w:tcPr>
            <w:tcW w:w="1464" w:type="dxa"/>
            <w:vAlign w:val="center"/>
          </w:tcPr>
          <w:p w14:paraId="2D0A2C18">
            <w:pPr>
              <w:pageBreakBefore w:val="0"/>
              <w:kinsoku/>
              <w:wordWrap w:val="0"/>
              <w:topLinePunct w:val="0"/>
              <w:bidi w:val="0"/>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合同金额</w:t>
            </w:r>
          </w:p>
        </w:tc>
        <w:tc>
          <w:tcPr>
            <w:tcW w:w="1584" w:type="dxa"/>
            <w:vAlign w:val="center"/>
          </w:tcPr>
          <w:p w14:paraId="3E8D8604">
            <w:pPr>
              <w:pageBreakBefore w:val="0"/>
              <w:kinsoku/>
              <w:wordWrap w:val="0"/>
              <w:topLinePunct w:val="0"/>
              <w:bidi w:val="0"/>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合同签订时间</w:t>
            </w:r>
          </w:p>
        </w:tc>
        <w:tc>
          <w:tcPr>
            <w:tcW w:w="2024" w:type="dxa"/>
            <w:vAlign w:val="center"/>
          </w:tcPr>
          <w:p w14:paraId="7E142F6D">
            <w:pPr>
              <w:pageBreakBefore w:val="0"/>
              <w:kinsoku/>
              <w:wordWrap w:val="0"/>
              <w:topLinePunct w:val="0"/>
              <w:bidi w:val="0"/>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采购单位联系人及</w:t>
            </w:r>
          </w:p>
          <w:p w14:paraId="73879084">
            <w:pPr>
              <w:pageBreakBefore w:val="0"/>
              <w:kinsoku/>
              <w:wordWrap w:val="0"/>
              <w:topLinePunct w:val="0"/>
              <w:bidi w:val="0"/>
              <w:spacing w:line="40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联系电话</w:t>
            </w:r>
          </w:p>
        </w:tc>
      </w:tr>
      <w:tr w14:paraId="6E4100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5EE80D70">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45AFDCED">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19C6372F">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30A0979D">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5BAB896E">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4DD164B5">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1CDDAF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6633EAFD">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306442F4">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2F09088B">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6D260597">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7A567378">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0DFE279E">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76FFF8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7C979B6D">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3BDAB420">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7B251089">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79E674EF">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09B12E0A">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1AB772E5">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2467EE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32BD9E3C">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6AF23CF6">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0691D359">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2B7DE1E6">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632F9465">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4F500584">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4677C5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1E24F315">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2F1EDD4F">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19AF91F2">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7001B121">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48AC3D5E">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409B5D84">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30547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3A9C88E9">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5D72F744">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511A0994">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50BC2361">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140445AC">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5395296F">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0DB57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6010416B">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15B8B946">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1A302969">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3CE48859">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6CDDAEBB">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42C774E7">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5D3343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42DA9E8F">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0B3208B7">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6B6981BD">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2AC5C25B">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4FFD7948">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55CF992C">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18329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1E5969FF">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13016B19">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3A7968F7">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597810EB">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59CF082B">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3A624375">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0CA58D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2F4F3797">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05536B2A">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504B247D">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3A8A7332">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43B5FA1F">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37CF3D3C">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r w14:paraId="1659AE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55" w:type="dxa"/>
            <w:vAlign w:val="center"/>
          </w:tcPr>
          <w:p w14:paraId="058C7D5F">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833" w:type="dxa"/>
            <w:vAlign w:val="center"/>
          </w:tcPr>
          <w:p w14:paraId="2310070C">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614" w:type="dxa"/>
            <w:vAlign w:val="center"/>
          </w:tcPr>
          <w:p w14:paraId="0A4CA865">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464" w:type="dxa"/>
            <w:vAlign w:val="center"/>
          </w:tcPr>
          <w:p w14:paraId="77B3A490">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1584" w:type="dxa"/>
          </w:tcPr>
          <w:p w14:paraId="7B20F83D">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c>
          <w:tcPr>
            <w:tcW w:w="2024" w:type="dxa"/>
          </w:tcPr>
          <w:p w14:paraId="2D870FFB">
            <w:pPr>
              <w:pageBreakBefore w:val="0"/>
              <w:kinsoku/>
              <w:wordWrap w:val="0"/>
              <w:topLinePunct w:val="0"/>
              <w:bidi w:val="0"/>
              <w:spacing w:line="400" w:lineRule="exact"/>
              <w:jc w:val="center"/>
              <w:rPr>
                <w:rFonts w:hint="eastAsia" w:ascii="宋体" w:hAnsi="宋体" w:eastAsia="宋体" w:cs="宋体"/>
                <w:b/>
                <w:bCs/>
                <w:color w:val="auto"/>
                <w:sz w:val="24"/>
                <w:szCs w:val="24"/>
                <w:highlight w:val="none"/>
              </w:rPr>
            </w:pPr>
          </w:p>
        </w:tc>
      </w:tr>
    </w:tbl>
    <w:p w14:paraId="4DCB733D">
      <w:pPr>
        <w:pageBreakBefore w:val="0"/>
        <w:kinsoku/>
        <w:wordWrap w:val="0"/>
        <w:topLinePunct w:val="0"/>
        <w:bidi w:val="0"/>
        <w:spacing w:line="400" w:lineRule="exact"/>
        <w:ind w:left="647" w:hanging="646" w:hangingChars="294"/>
        <w:rPr>
          <w:rFonts w:hint="eastAsia" w:ascii="宋体" w:hAnsi="宋体" w:eastAsia="宋体" w:cs="宋体"/>
          <w:color w:val="auto"/>
          <w:sz w:val="22"/>
          <w:highlight w:val="none"/>
        </w:rPr>
      </w:pPr>
      <w:r>
        <w:rPr>
          <w:rFonts w:hint="eastAsia" w:ascii="宋体" w:hAnsi="宋体" w:eastAsia="宋体" w:cs="宋体"/>
          <w:color w:val="auto"/>
          <w:sz w:val="22"/>
          <w:highlight w:val="none"/>
        </w:rPr>
        <w:t>备注：证明材料附后</w:t>
      </w:r>
    </w:p>
    <w:p w14:paraId="4615DDFB">
      <w:pPr>
        <w:pageBreakBefore w:val="0"/>
        <w:widowControl/>
        <w:kinsoku/>
        <w:wordWrap w:val="0"/>
        <w:topLinePunct w:val="0"/>
        <w:bidi w:val="0"/>
        <w:spacing w:line="400" w:lineRule="exact"/>
        <w:rPr>
          <w:rFonts w:hint="eastAsia" w:ascii="宋体" w:hAnsi="宋体" w:eastAsia="宋体" w:cs="宋体"/>
          <w:color w:val="auto"/>
          <w:kern w:val="0"/>
          <w:sz w:val="22"/>
          <w:highlight w:val="none"/>
        </w:rPr>
      </w:pPr>
    </w:p>
    <w:p w14:paraId="5F883816">
      <w:pPr>
        <w:pageBreakBefore w:val="0"/>
        <w:widowControl/>
        <w:kinsoku/>
        <w:wordWrap w:val="0"/>
        <w:topLinePunct w:val="0"/>
        <w:bidi w:val="0"/>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投标人全称(公章或电子签章)：</w:t>
      </w:r>
    </w:p>
    <w:p w14:paraId="5B48000C">
      <w:pPr>
        <w:pageBreakBefore w:val="0"/>
        <w:widowControl/>
        <w:kinsoku/>
        <w:wordWrap w:val="0"/>
        <w:topLinePunct w:val="0"/>
        <w:bidi w:val="0"/>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14:paraId="2B61D8C0">
      <w:pPr>
        <w:pageBreakBefore w:val="0"/>
        <w:kinsoku/>
        <w:wordWrap w:val="0"/>
        <w:topLinePunct w:val="0"/>
        <w:bidi w:val="0"/>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14:paraId="48F4E33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FCE1DA4">
      <w:pPr>
        <w:pageBreakBefore w:val="0"/>
        <w:kinsoku/>
        <w:wordWrap w:val="0"/>
        <w:topLinePunct w:val="0"/>
        <w:bidi w:val="0"/>
        <w:spacing w:line="400" w:lineRule="exact"/>
        <w:rPr>
          <w:rFonts w:hint="eastAsia" w:ascii="宋体" w:hAnsi="宋体" w:eastAsia="宋体" w:cs="宋体"/>
          <w:b/>
          <w:color w:val="auto"/>
          <w:szCs w:val="24"/>
          <w:highlight w:val="none"/>
          <w:lang w:eastAsia="zh-CN"/>
        </w:rPr>
      </w:pPr>
      <w:r>
        <w:rPr>
          <w:rFonts w:hint="eastAsia" w:ascii="宋体" w:hAnsi="宋体" w:eastAsia="宋体" w:cs="宋体"/>
          <w:b/>
          <w:color w:val="auto"/>
          <w:sz w:val="24"/>
          <w:szCs w:val="24"/>
          <w:highlight w:val="none"/>
          <w:lang w:eastAsia="zh-CN"/>
        </w:rPr>
        <w:t>附件10</w:t>
      </w:r>
    </w:p>
    <w:p w14:paraId="69EAFD17">
      <w:pPr>
        <w:pageBreakBefore w:val="0"/>
        <w:kinsoku/>
        <w:wordWrap w:val="0"/>
        <w:topLinePunct w:val="0"/>
        <w:bidi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采购需求偏离表</w:t>
      </w:r>
    </w:p>
    <w:p w14:paraId="6CFBBF0F">
      <w:pPr>
        <w:pStyle w:val="13"/>
        <w:pageBreakBefore w:val="0"/>
        <w:kinsoku/>
        <w:wordWrap w:val="0"/>
        <w:topLinePunct w:val="0"/>
        <w:bidi w:val="0"/>
        <w:spacing w:after="0" w:line="400" w:lineRule="exact"/>
        <w:ind w:left="0" w:leftChars="0" w:right="1470"/>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标项</w:t>
      </w:r>
      <w:r>
        <w:rPr>
          <w:rFonts w:hint="eastAsia" w:ascii="宋体" w:hAnsi="宋体" w:eastAsia="宋体" w:cs="宋体"/>
          <w:b/>
          <w:color w:val="auto"/>
          <w:sz w:val="22"/>
          <w:highlight w:val="none"/>
        </w:rPr>
        <w:t xml:space="preserve">名称：                                                项目编号：                  </w:t>
      </w:r>
    </w:p>
    <w:tbl>
      <w:tblPr>
        <w:tblStyle w:val="32"/>
        <w:tblW w:w="9285"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56"/>
        <w:gridCol w:w="3219"/>
        <w:gridCol w:w="1822"/>
        <w:gridCol w:w="1898"/>
      </w:tblGrid>
      <w:tr w14:paraId="55F7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D5D8A86">
            <w:pPr>
              <w:pageBreakBefore w:val="0"/>
              <w:kinsoku/>
              <w:wordWrap w:val="0"/>
              <w:topLinePunct w:val="0"/>
              <w:bidi w:val="0"/>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序号</w:t>
            </w:r>
          </w:p>
        </w:tc>
        <w:tc>
          <w:tcPr>
            <w:tcW w:w="1656" w:type="dxa"/>
            <w:vAlign w:val="center"/>
          </w:tcPr>
          <w:p w14:paraId="760B6735">
            <w:pPr>
              <w:pageBreakBefore w:val="0"/>
              <w:kinsoku/>
              <w:wordWrap w:val="0"/>
              <w:topLinePunct w:val="0"/>
              <w:bidi w:val="0"/>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招标文件要求</w:t>
            </w:r>
          </w:p>
        </w:tc>
        <w:tc>
          <w:tcPr>
            <w:tcW w:w="3219" w:type="dxa"/>
            <w:vAlign w:val="center"/>
          </w:tcPr>
          <w:p w14:paraId="7DE8A590">
            <w:pPr>
              <w:pageBreakBefore w:val="0"/>
              <w:kinsoku/>
              <w:wordWrap w:val="0"/>
              <w:topLinePunct w:val="0"/>
              <w:bidi w:val="0"/>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投标文件对应规范</w:t>
            </w:r>
          </w:p>
        </w:tc>
        <w:tc>
          <w:tcPr>
            <w:tcW w:w="1822" w:type="dxa"/>
            <w:vAlign w:val="center"/>
          </w:tcPr>
          <w:p w14:paraId="6468AE10">
            <w:pPr>
              <w:pageBreakBefore w:val="0"/>
              <w:kinsoku/>
              <w:wordWrap w:val="0"/>
              <w:topLinePunct w:val="0"/>
              <w:bidi w:val="0"/>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是否偏离</w:t>
            </w:r>
          </w:p>
          <w:p w14:paraId="4F0BE581">
            <w:pPr>
              <w:pageBreakBefore w:val="0"/>
              <w:kinsoku/>
              <w:wordWrap w:val="0"/>
              <w:topLinePunct w:val="0"/>
              <w:bidi w:val="0"/>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（提供说明）</w:t>
            </w:r>
          </w:p>
        </w:tc>
        <w:tc>
          <w:tcPr>
            <w:tcW w:w="1898" w:type="dxa"/>
            <w:vAlign w:val="center"/>
          </w:tcPr>
          <w:p w14:paraId="36423FB1">
            <w:pPr>
              <w:pageBreakBefore w:val="0"/>
              <w:kinsoku/>
              <w:wordWrap w:val="0"/>
              <w:topLinePunct w:val="0"/>
              <w:bidi w:val="0"/>
              <w:snapToGrid w:val="0"/>
              <w:spacing w:line="400" w:lineRule="exact"/>
              <w:jc w:val="center"/>
              <w:rPr>
                <w:rFonts w:hint="eastAsia" w:ascii="宋体" w:hAnsi="宋体" w:eastAsia="宋体" w:cs="宋体"/>
                <w:b/>
                <w:color w:val="auto"/>
                <w:spacing w:val="-6"/>
                <w:sz w:val="22"/>
                <w:highlight w:val="none"/>
              </w:rPr>
            </w:pPr>
            <w:r>
              <w:rPr>
                <w:rFonts w:hint="eastAsia" w:ascii="宋体" w:hAnsi="宋体" w:eastAsia="宋体" w:cs="宋体"/>
                <w:b/>
                <w:color w:val="auto"/>
                <w:spacing w:val="-6"/>
                <w:sz w:val="22"/>
                <w:highlight w:val="none"/>
              </w:rPr>
              <w:t>要求提供的证明材料页码</w:t>
            </w:r>
          </w:p>
        </w:tc>
      </w:tr>
      <w:tr w14:paraId="13AB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131A9BA2">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0C7EC36D">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4CF9B4C4">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4C3D92C7">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21041E59">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r w14:paraId="0CE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0565D3CC">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5427DC84">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15EF2495">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7FD1C483">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7344BC68">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r w14:paraId="074D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7AE5B964">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55ABF53B">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165BD2A4">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0AF75846">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6A07811D">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r w14:paraId="30A3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24F8CB7E">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1C9C455A">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03C3FC21">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3276740A">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4DB76AFD">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r w14:paraId="2C4D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443E34B9">
            <w:pPr>
              <w:pageBreakBefore w:val="0"/>
              <w:kinsoku/>
              <w:wordWrap w:val="0"/>
              <w:topLinePunct w:val="0"/>
              <w:bidi w:val="0"/>
              <w:snapToGrid w:val="0"/>
              <w:spacing w:line="400" w:lineRule="exact"/>
              <w:rPr>
                <w:rFonts w:hint="eastAsia" w:ascii="宋体" w:hAnsi="宋体" w:eastAsia="宋体" w:cs="宋体"/>
                <w:color w:val="auto"/>
                <w:spacing w:val="-6"/>
                <w:sz w:val="24"/>
                <w:highlight w:val="none"/>
              </w:rPr>
            </w:pPr>
          </w:p>
        </w:tc>
        <w:tc>
          <w:tcPr>
            <w:tcW w:w="1656" w:type="dxa"/>
            <w:vAlign w:val="center"/>
          </w:tcPr>
          <w:p w14:paraId="76467734">
            <w:pPr>
              <w:pageBreakBefore w:val="0"/>
              <w:kinsoku/>
              <w:wordWrap w:val="0"/>
              <w:topLinePunct w:val="0"/>
              <w:bidi w:val="0"/>
              <w:snapToGrid w:val="0"/>
              <w:spacing w:line="400" w:lineRule="exact"/>
              <w:rPr>
                <w:rFonts w:hint="eastAsia" w:ascii="宋体" w:hAnsi="宋体" w:eastAsia="宋体" w:cs="宋体"/>
                <w:color w:val="auto"/>
                <w:spacing w:val="-6"/>
                <w:sz w:val="24"/>
                <w:highlight w:val="none"/>
              </w:rPr>
            </w:pPr>
          </w:p>
        </w:tc>
        <w:tc>
          <w:tcPr>
            <w:tcW w:w="3219" w:type="dxa"/>
            <w:vAlign w:val="center"/>
          </w:tcPr>
          <w:p w14:paraId="6DDDD220">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097D64FA">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6DA1EA2F">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r w14:paraId="4FB8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01AE2ED7">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78FB9ECC">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66E301CF">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65E0DD26">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2131478C">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r w14:paraId="0E93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5A0AD7CB">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1C2AD49B">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1030FD2E">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66169403">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77315F86">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r w14:paraId="4095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0B86D210">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18E3848A">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372C5EDB">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1D8CD6E3">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286BA1A3">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r w14:paraId="3C90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vAlign w:val="center"/>
          </w:tcPr>
          <w:p w14:paraId="34547DC0">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656" w:type="dxa"/>
            <w:vAlign w:val="center"/>
          </w:tcPr>
          <w:p w14:paraId="3309087D">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3219" w:type="dxa"/>
            <w:vAlign w:val="center"/>
          </w:tcPr>
          <w:p w14:paraId="2E39A059">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22" w:type="dxa"/>
            <w:vAlign w:val="center"/>
          </w:tcPr>
          <w:p w14:paraId="44EFFBD0">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c>
          <w:tcPr>
            <w:tcW w:w="1898" w:type="dxa"/>
            <w:vAlign w:val="center"/>
          </w:tcPr>
          <w:p w14:paraId="3786B5CD">
            <w:pPr>
              <w:pageBreakBefore w:val="0"/>
              <w:kinsoku/>
              <w:wordWrap w:val="0"/>
              <w:topLinePunct w:val="0"/>
              <w:bidi w:val="0"/>
              <w:snapToGrid w:val="0"/>
              <w:spacing w:line="400" w:lineRule="exact"/>
              <w:jc w:val="center"/>
              <w:rPr>
                <w:rFonts w:hint="eastAsia" w:ascii="宋体" w:hAnsi="宋体" w:eastAsia="宋体" w:cs="宋体"/>
                <w:color w:val="auto"/>
                <w:spacing w:val="-6"/>
                <w:sz w:val="24"/>
                <w:highlight w:val="none"/>
              </w:rPr>
            </w:pPr>
          </w:p>
        </w:tc>
      </w:tr>
    </w:tbl>
    <w:p w14:paraId="24A14974">
      <w:pPr>
        <w:pageBreakBefore w:val="0"/>
        <w:kinsoku/>
        <w:wordWrap w:val="0"/>
        <w:topLinePunct w:val="0"/>
        <w:bidi w:val="0"/>
        <w:adjustRightInd w:val="0"/>
        <w:snapToGrid w:val="0"/>
        <w:spacing w:line="400" w:lineRule="exact"/>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注意：1.逐项按照招标文件要求填写响应规格，此表留空或不填写，则视为完全响应招标文件的要求，自行承担投标响应风险</w:t>
      </w:r>
      <w:r>
        <w:rPr>
          <w:rFonts w:hint="eastAsia" w:ascii="宋体" w:hAnsi="宋体" w:eastAsia="宋体" w:cs="宋体"/>
          <w:b/>
          <w:color w:val="auto"/>
          <w:spacing w:val="-6"/>
          <w:sz w:val="22"/>
          <w:highlight w:val="none"/>
        </w:rPr>
        <w:t>。</w:t>
      </w:r>
    </w:p>
    <w:p w14:paraId="2C81CC9F">
      <w:pPr>
        <w:pageBreakBefore w:val="0"/>
        <w:numPr>
          <w:ilvl w:val="0"/>
          <w:numId w:val="0"/>
        </w:numPr>
        <w:kinsoku/>
        <w:wordWrap w:val="0"/>
        <w:topLinePunct w:val="0"/>
        <w:bidi w:val="0"/>
        <w:adjustRightInd w:val="0"/>
        <w:snapToGrid w:val="0"/>
        <w:spacing w:line="400" w:lineRule="exact"/>
        <w:ind w:firstLine="418" w:firstLineChars="2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lang w:val="en-US" w:eastAsia="zh-CN"/>
        </w:rPr>
        <w:t>2.</w:t>
      </w:r>
      <w:r>
        <w:rPr>
          <w:rFonts w:hint="eastAsia" w:ascii="宋体" w:hAnsi="宋体" w:eastAsia="宋体" w:cs="宋体"/>
          <w:b/>
          <w:bCs/>
          <w:color w:val="auto"/>
          <w:spacing w:val="-6"/>
          <w:sz w:val="22"/>
          <w:highlight w:val="none"/>
        </w:rPr>
        <w:t>偏离说明是指对招标文件要求存在不同之处的解释说明。偏离系指：正偏离（高于采购需求）、负偏离（低于采购需求或未按采购需求提供相应证明材料的）、无偏离（满足采购需求）；</w:t>
      </w:r>
    </w:p>
    <w:p w14:paraId="211411FA">
      <w:pPr>
        <w:pageBreakBefore w:val="0"/>
        <w:numPr>
          <w:ilvl w:val="0"/>
          <w:numId w:val="0"/>
        </w:numPr>
        <w:kinsoku/>
        <w:wordWrap w:val="0"/>
        <w:topLinePunct w:val="0"/>
        <w:bidi w:val="0"/>
        <w:adjustRightInd w:val="0"/>
        <w:snapToGrid w:val="0"/>
        <w:spacing w:line="400" w:lineRule="exact"/>
        <w:ind w:leftChars="2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3.投标人保证：除采购需求偏离表列出的偏离外，投标人响应采购文件的全部要求</w:t>
      </w:r>
      <w:r>
        <w:rPr>
          <w:rFonts w:hint="eastAsia" w:ascii="宋体" w:hAnsi="宋体" w:eastAsia="宋体" w:cs="宋体"/>
          <w:b/>
          <w:bCs/>
          <w:color w:val="auto"/>
          <w:spacing w:val="-6"/>
          <w:sz w:val="22"/>
          <w:highlight w:val="none"/>
          <w:lang w:eastAsia="zh-CN"/>
        </w:rPr>
        <w:t>。</w:t>
      </w:r>
    </w:p>
    <w:p w14:paraId="41A07C75">
      <w:pPr>
        <w:pageBreakBefore w:val="0"/>
        <w:widowControl/>
        <w:kinsoku/>
        <w:wordWrap w:val="0"/>
        <w:topLinePunct w:val="0"/>
        <w:bidi w:val="0"/>
        <w:spacing w:line="400" w:lineRule="exact"/>
        <w:rPr>
          <w:rFonts w:hint="eastAsia" w:ascii="宋体" w:hAnsi="宋体" w:eastAsia="宋体" w:cs="宋体"/>
          <w:color w:val="auto"/>
          <w:kern w:val="0"/>
          <w:sz w:val="22"/>
          <w:highlight w:val="none"/>
        </w:rPr>
      </w:pPr>
    </w:p>
    <w:p w14:paraId="738739CE">
      <w:pPr>
        <w:pageBreakBefore w:val="0"/>
        <w:widowControl/>
        <w:kinsoku/>
        <w:wordWrap w:val="0"/>
        <w:topLinePunct w:val="0"/>
        <w:bidi w:val="0"/>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投标人全称(公章或电子签章)：</w:t>
      </w:r>
    </w:p>
    <w:p w14:paraId="7B711BD8">
      <w:pPr>
        <w:pageBreakBefore w:val="0"/>
        <w:widowControl/>
        <w:kinsoku/>
        <w:wordWrap w:val="0"/>
        <w:topLinePunct w:val="0"/>
        <w:bidi w:val="0"/>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14:paraId="2DC57B81">
      <w:pPr>
        <w:pageBreakBefore w:val="0"/>
        <w:kinsoku/>
        <w:wordWrap w:val="0"/>
        <w:topLinePunct w:val="0"/>
        <w:bidi w:val="0"/>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14:paraId="0591D36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2DB169F">
      <w:pPr>
        <w:spacing w:line="400" w:lineRule="exac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11</w:t>
      </w:r>
    </w:p>
    <w:p w14:paraId="31A5BC0F">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节能、环保产品证明材料（如有）</w:t>
      </w:r>
    </w:p>
    <w:p w14:paraId="1871655E">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14:paraId="6C6FE12E">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"http://www.ccgp.gov.cn/zcfg/mof/201903/t20190330_11833800.htm" \t "http://www.ccgp.gov.cn/jnhb/jnhbqd/_blank" \o "关于印发环境标志产品政府采购品目清单的通知（财库〔2019〕18号）"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关于印发环境标志产品政府采购品目清单的通知（财库〔2019〕18号）</w:t>
      </w:r>
      <w:r>
        <w:rPr>
          <w:rFonts w:hint="eastAsia" w:ascii="宋体" w:hAnsi="宋体" w:eastAsia="宋体" w:cs="宋体"/>
          <w:b/>
          <w:color w:val="auto"/>
          <w:sz w:val="22"/>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"http://www.ccgp.gov.cn/zcfg/mof/201903/t20190330_11833800.htm"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http://www.ccgp.gov.cn/zcfg/mof/201903/t20190330_11833800.htm</w:t>
      </w:r>
      <w:r>
        <w:rPr>
          <w:rFonts w:hint="eastAsia" w:ascii="宋体" w:hAnsi="宋体" w:eastAsia="宋体" w:cs="宋体"/>
          <w:b/>
          <w:color w:val="auto"/>
          <w:sz w:val="22"/>
          <w:highlight w:val="none"/>
        </w:rPr>
        <w:fldChar w:fldCharType="end"/>
      </w:r>
      <w:r>
        <w:rPr>
          <w:rFonts w:hint="eastAsia" w:ascii="宋体" w:hAnsi="宋体" w:eastAsia="宋体" w:cs="宋体"/>
          <w:b/>
          <w:color w:val="auto"/>
          <w:sz w:val="22"/>
          <w:highlight w:val="none"/>
        </w:rPr>
        <w:t>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"http://www.ccgp.gov.cn/zcfg/mof/201904/t20190403_11849836.htm" \t "http://www.ccgp.gov.cn/jnhb/jnhbqd/_blank" \o "关于印发节能产品政府采购品目清单的通知（财库〔2019〕19号）"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关于印发节能产品政府采购品目清单的通知（财库〔2019〕19号）</w:t>
      </w:r>
      <w:r>
        <w:rPr>
          <w:rFonts w:hint="eastAsia" w:ascii="宋体" w:hAnsi="宋体" w:eastAsia="宋体" w:cs="宋体"/>
          <w:b/>
          <w:color w:val="auto"/>
          <w:sz w:val="22"/>
          <w:highlight w:val="none"/>
        </w:rPr>
        <w:fldChar w:fldCharType="end"/>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"http://www.ccgp.gov.cn/zcfg/mof/201904/t20190403_11849836.htm" </w:instrText>
      </w:r>
      <w:r>
        <w:rPr>
          <w:rFonts w:hint="eastAsia" w:ascii="宋体" w:hAnsi="宋体" w:eastAsia="宋体" w:cs="宋体"/>
          <w:color w:val="auto"/>
          <w:highlight w:val="none"/>
        </w:rPr>
        <w:fldChar w:fldCharType="separate"/>
      </w:r>
      <w:r>
        <w:rPr>
          <w:rFonts w:hint="eastAsia" w:ascii="宋体" w:hAnsi="宋体" w:eastAsia="宋体" w:cs="宋体"/>
          <w:b/>
          <w:color w:val="auto"/>
          <w:sz w:val="22"/>
          <w:highlight w:val="none"/>
        </w:rPr>
        <w:t>http://www.ccgp.gov.cn/zcfg/mof/201904/t20190403_11849836.htm</w:t>
      </w:r>
      <w:r>
        <w:rPr>
          <w:rFonts w:hint="eastAsia" w:ascii="宋体" w:hAnsi="宋体" w:eastAsia="宋体" w:cs="宋体"/>
          <w:b/>
          <w:color w:val="auto"/>
          <w:sz w:val="22"/>
          <w:highlight w:val="none"/>
        </w:rPr>
        <w:fldChar w:fldCharType="end"/>
      </w:r>
      <w:r>
        <w:rPr>
          <w:rFonts w:hint="eastAsia" w:ascii="宋体" w:hAnsi="宋体" w:eastAsia="宋体" w:cs="宋体"/>
          <w:b/>
          <w:color w:val="auto"/>
          <w:sz w:val="22"/>
          <w:highlight w:val="none"/>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14:paraId="5FF7997C">
      <w:pPr>
        <w:spacing w:line="360" w:lineRule="exact"/>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▲注：采购需求中要求提供的产品属于节能产品政府采购品目清单中强制采购的，投标人须提供该清单内产品，并按上款要求提供节能产品认证证书，否则其投标无效。</w:t>
      </w:r>
    </w:p>
    <w:p w14:paraId="6D0C2AB2">
      <w:pPr>
        <w:spacing w:line="360" w:lineRule="exact"/>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2.评审小组成员审查此项只根据投标文件本身的内容，不再寻求其他的外部证据。</w:t>
      </w:r>
    </w:p>
    <w:p w14:paraId="05567302">
      <w:pPr>
        <w:spacing w:line="400" w:lineRule="exact"/>
        <w:jc w:val="center"/>
        <w:rPr>
          <w:rFonts w:hint="eastAsia" w:ascii="宋体" w:hAnsi="宋体" w:eastAsia="宋体" w:cs="宋体"/>
          <w:b/>
          <w:color w:val="auto"/>
          <w:sz w:val="24"/>
          <w:szCs w:val="24"/>
          <w:highlight w:val="none"/>
        </w:rPr>
      </w:pPr>
    </w:p>
    <w:p w14:paraId="18BF4909">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w:t>
      </w:r>
    </w:p>
    <w:p w14:paraId="1E1FC13C">
      <w:pPr>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（1）投标产品中节能产品明细清单</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7"/>
        <w:gridCol w:w="1499"/>
        <w:gridCol w:w="1499"/>
        <w:gridCol w:w="1499"/>
        <w:gridCol w:w="2146"/>
        <w:gridCol w:w="853"/>
        <w:gridCol w:w="853"/>
      </w:tblGrid>
      <w:tr w14:paraId="5BD7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1D9576FF">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38B9D55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4812136B">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产品名称、规格型号</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0F097B56">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节能产品认证证书编号</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1BCFACC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节能产品认证证书有效截止日期</w:t>
            </w:r>
          </w:p>
        </w:tc>
        <w:tc>
          <w:tcPr>
            <w:tcW w:w="1077" w:type="pct"/>
            <w:tcBorders>
              <w:top w:val="single" w:color="auto" w:sz="4" w:space="0"/>
              <w:left w:val="single" w:color="auto" w:sz="4" w:space="0"/>
              <w:bottom w:val="single" w:color="auto" w:sz="4" w:space="0"/>
              <w:right w:val="single" w:color="auto" w:sz="4" w:space="0"/>
            </w:tcBorders>
            <w:noWrap w:val="0"/>
            <w:vAlign w:val="center"/>
          </w:tcPr>
          <w:p w14:paraId="7FF6E61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产品所在节能产品政府采购品目清单品目序号</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5FB6EFF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认证机构</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6088424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r>
      <w:tr w14:paraId="5172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3AFDB2DA">
            <w:pPr>
              <w:rPr>
                <w:rFonts w:hint="eastAsia" w:ascii="宋体" w:hAnsi="宋体" w:eastAsia="宋体" w:cs="宋体"/>
                <w:color w:val="auto"/>
                <w:sz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2FF24325">
            <w:pPr>
              <w:rPr>
                <w:rFonts w:hint="eastAsia" w:ascii="宋体" w:hAnsi="宋体" w:eastAsia="宋体" w:cs="宋体"/>
                <w:color w:val="auto"/>
                <w:sz w:val="22"/>
                <w:highlight w:val="none"/>
              </w:rPr>
            </w:pPr>
          </w:p>
        </w:tc>
        <w:tc>
          <w:tcPr>
            <w:tcW w:w="752" w:type="pct"/>
            <w:tcBorders>
              <w:top w:val="single" w:color="auto" w:sz="4" w:space="0"/>
              <w:left w:val="single" w:color="auto" w:sz="4" w:space="0"/>
              <w:bottom w:val="single" w:color="auto" w:sz="4" w:space="0"/>
              <w:right w:val="single" w:color="auto" w:sz="4" w:space="0"/>
            </w:tcBorders>
            <w:noWrap w:val="0"/>
            <w:vAlign w:val="center"/>
          </w:tcPr>
          <w:p w14:paraId="0D38E0B3">
            <w:pPr>
              <w:rPr>
                <w:rFonts w:hint="eastAsia" w:ascii="宋体" w:hAnsi="宋体" w:eastAsia="宋体" w:cs="宋体"/>
                <w:color w:val="auto"/>
                <w:sz w:val="22"/>
                <w:highlight w:val="none"/>
              </w:rPr>
            </w:pPr>
          </w:p>
        </w:tc>
        <w:tc>
          <w:tcPr>
            <w:tcW w:w="752" w:type="pct"/>
            <w:tcBorders>
              <w:top w:val="single" w:color="auto" w:sz="4" w:space="0"/>
              <w:left w:val="single" w:color="auto" w:sz="4" w:space="0"/>
              <w:bottom w:val="single" w:color="auto" w:sz="4" w:space="0"/>
              <w:right w:val="single" w:color="auto" w:sz="4" w:space="0"/>
            </w:tcBorders>
            <w:noWrap w:val="0"/>
            <w:vAlign w:val="center"/>
          </w:tcPr>
          <w:p w14:paraId="3AD19F3D">
            <w:pPr>
              <w:rPr>
                <w:rFonts w:hint="eastAsia" w:ascii="宋体" w:hAnsi="宋体" w:eastAsia="宋体" w:cs="宋体"/>
                <w:color w:val="auto"/>
                <w:sz w:val="22"/>
                <w:highlight w:val="none"/>
              </w:rPr>
            </w:pPr>
          </w:p>
        </w:tc>
        <w:tc>
          <w:tcPr>
            <w:tcW w:w="752" w:type="pct"/>
            <w:tcBorders>
              <w:top w:val="single" w:color="auto" w:sz="4" w:space="0"/>
              <w:left w:val="single" w:color="auto" w:sz="4" w:space="0"/>
              <w:bottom w:val="single" w:color="auto" w:sz="4" w:space="0"/>
              <w:right w:val="single" w:color="auto" w:sz="4" w:space="0"/>
            </w:tcBorders>
            <w:noWrap w:val="0"/>
            <w:vAlign w:val="center"/>
          </w:tcPr>
          <w:p w14:paraId="6F0DAB30">
            <w:pPr>
              <w:rPr>
                <w:rFonts w:hint="eastAsia" w:ascii="宋体" w:hAnsi="宋体" w:eastAsia="宋体" w:cs="宋体"/>
                <w:color w:val="auto"/>
                <w:sz w:val="22"/>
                <w:highlight w:val="none"/>
              </w:rPr>
            </w:pPr>
          </w:p>
        </w:tc>
        <w:tc>
          <w:tcPr>
            <w:tcW w:w="1077" w:type="pct"/>
            <w:tcBorders>
              <w:top w:val="single" w:color="auto" w:sz="4" w:space="0"/>
              <w:left w:val="single" w:color="auto" w:sz="4" w:space="0"/>
              <w:bottom w:val="single" w:color="auto" w:sz="4" w:space="0"/>
              <w:right w:val="single" w:color="auto" w:sz="4" w:space="0"/>
            </w:tcBorders>
            <w:noWrap w:val="0"/>
            <w:vAlign w:val="center"/>
          </w:tcPr>
          <w:p w14:paraId="567A3194">
            <w:pPr>
              <w:jc w:val="center"/>
              <w:rPr>
                <w:rFonts w:hint="eastAsia" w:ascii="宋体" w:hAnsi="宋体" w:eastAsia="宋体" w:cs="宋体"/>
                <w:color w:val="auto"/>
                <w:sz w:val="22"/>
                <w:highlight w:val="none"/>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5435DA4C">
            <w:pPr>
              <w:rPr>
                <w:rFonts w:hint="eastAsia" w:ascii="宋体" w:hAnsi="宋体" w:eastAsia="宋体" w:cs="宋体"/>
                <w:color w:val="auto"/>
                <w:sz w:val="22"/>
                <w:highlight w:val="none"/>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4FB830F9">
            <w:pPr>
              <w:rPr>
                <w:rFonts w:hint="eastAsia" w:ascii="宋体" w:hAnsi="宋体" w:eastAsia="宋体" w:cs="宋体"/>
                <w:color w:val="auto"/>
                <w:sz w:val="22"/>
                <w:highlight w:val="none"/>
              </w:rPr>
            </w:pPr>
          </w:p>
        </w:tc>
      </w:tr>
      <w:tr w14:paraId="31D3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34AB2FA9">
            <w:pPr>
              <w:rPr>
                <w:rFonts w:hint="eastAsia" w:ascii="宋体" w:hAnsi="宋体" w:eastAsia="宋体" w:cs="宋体"/>
                <w:color w:val="auto"/>
                <w:sz w:val="22"/>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1F64624A">
            <w:pPr>
              <w:rPr>
                <w:rFonts w:hint="eastAsia" w:ascii="宋体" w:hAnsi="宋体" w:eastAsia="宋体" w:cs="宋体"/>
                <w:color w:val="auto"/>
                <w:sz w:val="22"/>
                <w:highlight w:val="none"/>
              </w:rPr>
            </w:pPr>
          </w:p>
        </w:tc>
        <w:tc>
          <w:tcPr>
            <w:tcW w:w="752" w:type="pct"/>
            <w:tcBorders>
              <w:top w:val="single" w:color="auto" w:sz="4" w:space="0"/>
              <w:left w:val="single" w:color="auto" w:sz="4" w:space="0"/>
              <w:bottom w:val="single" w:color="auto" w:sz="4" w:space="0"/>
              <w:right w:val="single" w:color="auto" w:sz="4" w:space="0"/>
            </w:tcBorders>
            <w:noWrap w:val="0"/>
            <w:vAlign w:val="center"/>
          </w:tcPr>
          <w:p w14:paraId="314DA598">
            <w:pPr>
              <w:rPr>
                <w:rFonts w:hint="eastAsia" w:ascii="宋体" w:hAnsi="宋体" w:eastAsia="宋体" w:cs="宋体"/>
                <w:color w:val="auto"/>
                <w:sz w:val="22"/>
                <w:highlight w:val="none"/>
              </w:rPr>
            </w:pPr>
          </w:p>
        </w:tc>
        <w:tc>
          <w:tcPr>
            <w:tcW w:w="752" w:type="pct"/>
            <w:tcBorders>
              <w:top w:val="single" w:color="auto" w:sz="4" w:space="0"/>
              <w:left w:val="single" w:color="auto" w:sz="4" w:space="0"/>
              <w:bottom w:val="single" w:color="auto" w:sz="4" w:space="0"/>
              <w:right w:val="single" w:color="auto" w:sz="4" w:space="0"/>
            </w:tcBorders>
            <w:noWrap w:val="0"/>
            <w:vAlign w:val="center"/>
          </w:tcPr>
          <w:p w14:paraId="0E341812">
            <w:pPr>
              <w:rPr>
                <w:rFonts w:hint="eastAsia" w:ascii="宋体" w:hAnsi="宋体" w:eastAsia="宋体" w:cs="宋体"/>
                <w:color w:val="auto"/>
                <w:sz w:val="22"/>
                <w:highlight w:val="none"/>
              </w:rPr>
            </w:pPr>
          </w:p>
        </w:tc>
        <w:tc>
          <w:tcPr>
            <w:tcW w:w="752" w:type="pct"/>
            <w:tcBorders>
              <w:top w:val="single" w:color="auto" w:sz="4" w:space="0"/>
              <w:left w:val="single" w:color="auto" w:sz="4" w:space="0"/>
              <w:bottom w:val="single" w:color="auto" w:sz="4" w:space="0"/>
              <w:right w:val="single" w:color="auto" w:sz="4" w:space="0"/>
            </w:tcBorders>
            <w:noWrap w:val="0"/>
            <w:vAlign w:val="center"/>
          </w:tcPr>
          <w:p w14:paraId="73448D80">
            <w:pPr>
              <w:rPr>
                <w:rFonts w:hint="eastAsia" w:ascii="宋体" w:hAnsi="宋体" w:eastAsia="宋体" w:cs="宋体"/>
                <w:color w:val="auto"/>
                <w:sz w:val="22"/>
                <w:highlight w:val="none"/>
              </w:rPr>
            </w:pPr>
          </w:p>
        </w:tc>
        <w:tc>
          <w:tcPr>
            <w:tcW w:w="1077" w:type="pct"/>
            <w:tcBorders>
              <w:top w:val="single" w:color="auto" w:sz="4" w:space="0"/>
              <w:left w:val="single" w:color="auto" w:sz="4" w:space="0"/>
              <w:bottom w:val="single" w:color="auto" w:sz="4" w:space="0"/>
              <w:right w:val="single" w:color="auto" w:sz="4" w:space="0"/>
            </w:tcBorders>
            <w:noWrap w:val="0"/>
            <w:vAlign w:val="center"/>
          </w:tcPr>
          <w:p w14:paraId="56F4974D">
            <w:pPr>
              <w:rPr>
                <w:rFonts w:hint="eastAsia" w:ascii="宋体" w:hAnsi="宋体" w:eastAsia="宋体" w:cs="宋体"/>
                <w:color w:val="auto"/>
                <w:sz w:val="22"/>
                <w:highlight w:val="none"/>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7464059C">
            <w:pPr>
              <w:rPr>
                <w:rFonts w:hint="eastAsia" w:ascii="宋体" w:hAnsi="宋体" w:eastAsia="宋体" w:cs="宋体"/>
                <w:color w:val="auto"/>
                <w:sz w:val="22"/>
                <w:highlight w:val="none"/>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474BA816">
            <w:pPr>
              <w:rPr>
                <w:rFonts w:hint="eastAsia" w:ascii="宋体" w:hAnsi="宋体" w:eastAsia="宋体" w:cs="宋体"/>
                <w:color w:val="auto"/>
                <w:sz w:val="22"/>
                <w:highlight w:val="none"/>
              </w:rPr>
            </w:pPr>
          </w:p>
        </w:tc>
      </w:tr>
    </w:tbl>
    <w:p w14:paraId="788CD77F">
      <w:pPr>
        <w:rPr>
          <w:rFonts w:hint="eastAsia" w:ascii="宋体" w:hAnsi="宋体" w:eastAsia="宋体" w:cs="宋体"/>
          <w:color w:val="auto"/>
          <w:sz w:val="22"/>
          <w:highlight w:val="none"/>
        </w:rPr>
      </w:pPr>
    </w:p>
    <w:p w14:paraId="027F6775">
      <w:pPr>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（2）投标产品中环保产品明细清单</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985"/>
        <w:gridCol w:w="1314"/>
        <w:gridCol w:w="1465"/>
        <w:gridCol w:w="1666"/>
        <w:gridCol w:w="2151"/>
        <w:gridCol w:w="751"/>
        <w:gridCol w:w="751"/>
      </w:tblGrid>
      <w:tr w14:paraId="2B90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38" w:type="pct"/>
            <w:tcBorders>
              <w:top w:val="single" w:color="auto" w:sz="4" w:space="0"/>
              <w:left w:val="single" w:color="auto" w:sz="4" w:space="0"/>
              <w:bottom w:val="single" w:color="auto" w:sz="4" w:space="0"/>
              <w:right w:val="single" w:color="auto" w:sz="4" w:space="0"/>
            </w:tcBorders>
            <w:noWrap w:val="0"/>
            <w:vAlign w:val="center"/>
          </w:tcPr>
          <w:p w14:paraId="60AB513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制造商</w:t>
            </w:r>
          </w:p>
        </w:tc>
        <w:tc>
          <w:tcPr>
            <w:tcW w:w="494" w:type="pct"/>
            <w:tcBorders>
              <w:top w:val="single" w:color="auto" w:sz="4" w:space="0"/>
              <w:left w:val="single" w:color="auto" w:sz="4" w:space="0"/>
              <w:bottom w:val="single" w:color="auto" w:sz="4" w:space="0"/>
              <w:right w:val="single" w:color="auto" w:sz="4" w:space="0"/>
            </w:tcBorders>
            <w:noWrap w:val="0"/>
            <w:vAlign w:val="center"/>
          </w:tcPr>
          <w:p w14:paraId="4F00622F">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品牌</w:t>
            </w:r>
          </w:p>
        </w:tc>
        <w:tc>
          <w:tcPr>
            <w:tcW w:w="659" w:type="pct"/>
            <w:tcBorders>
              <w:top w:val="single" w:color="auto" w:sz="4" w:space="0"/>
              <w:left w:val="single" w:color="auto" w:sz="4" w:space="0"/>
              <w:bottom w:val="single" w:color="auto" w:sz="4" w:space="0"/>
              <w:right w:val="single" w:color="auto" w:sz="4" w:space="0"/>
            </w:tcBorders>
            <w:noWrap w:val="0"/>
            <w:vAlign w:val="center"/>
          </w:tcPr>
          <w:p w14:paraId="0273C33D">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产品名称、规格型号</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5495A65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环境标志产品认证证书编号</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772B7299">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环境标志产品认证证书有效截止日期</w:t>
            </w:r>
          </w:p>
        </w:tc>
        <w:tc>
          <w:tcPr>
            <w:tcW w:w="1079" w:type="pct"/>
            <w:tcBorders>
              <w:top w:val="single" w:color="auto" w:sz="4" w:space="0"/>
              <w:left w:val="single" w:color="auto" w:sz="4" w:space="0"/>
              <w:bottom w:val="single" w:color="auto" w:sz="4" w:space="0"/>
              <w:right w:val="single" w:color="auto" w:sz="4" w:space="0"/>
            </w:tcBorders>
            <w:noWrap w:val="0"/>
            <w:vAlign w:val="center"/>
          </w:tcPr>
          <w:p w14:paraId="172DC5BB">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产品所在环境标志产品政府采购品目清单品目序号</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50969701">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认证机构</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60395B30">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r>
      <w:tr w14:paraId="09AE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8" w:type="pct"/>
            <w:tcBorders>
              <w:top w:val="single" w:color="auto" w:sz="4" w:space="0"/>
              <w:left w:val="single" w:color="auto" w:sz="4" w:space="0"/>
              <w:bottom w:val="single" w:color="auto" w:sz="4" w:space="0"/>
              <w:right w:val="single" w:color="auto" w:sz="4" w:space="0"/>
            </w:tcBorders>
            <w:noWrap w:val="0"/>
            <w:vAlign w:val="center"/>
          </w:tcPr>
          <w:p w14:paraId="0B7F1376">
            <w:pPr>
              <w:rPr>
                <w:rFonts w:hint="eastAsia" w:ascii="宋体" w:hAnsi="宋体" w:eastAsia="宋体" w:cs="宋体"/>
                <w:color w:val="auto"/>
                <w:sz w:val="22"/>
                <w:highlight w:val="none"/>
              </w:rPr>
            </w:pPr>
          </w:p>
        </w:tc>
        <w:tc>
          <w:tcPr>
            <w:tcW w:w="494" w:type="pct"/>
            <w:tcBorders>
              <w:top w:val="single" w:color="auto" w:sz="4" w:space="0"/>
              <w:left w:val="single" w:color="auto" w:sz="4" w:space="0"/>
              <w:bottom w:val="single" w:color="auto" w:sz="4" w:space="0"/>
              <w:right w:val="single" w:color="auto" w:sz="4" w:space="0"/>
            </w:tcBorders>
            <w:noWrap w:val="0"/>
            <w:vAlign w:val="center"/>
          </w:tcPr>
          <w:p w14:paraId="56103212">
            <w:pPr>
              <w:rPr>
                <w:rFonts w:hint="eastAsia" w:ascii="宋体" w:hAnsi="宋体" w:eastAsia="宋体" w:cs="宋体"/>
                <w:color w:val="auto"/>
                <w:sz w:val="22"/>
                <w:highlight w:val="none"/>
              </w:rPr>
            </w:pPr>
          </w:p>
        </w:tc>
        <w:tc>
          <w:tcPr>
            <w:tcW w:w="659" w:type="pct"/>
            <w:tcBorders>
              <w:top w:val="single" w:color="auto" w:sz="4" w:space="0"/>
              <w:left w:val="single" w:color="auto" w:sz="4" w:space="0"/>
              <w:bottom w:val="single" w:color="auto" w:sz="4" w:space="0"/>
              <w:right w:val="single" w:color="auto" w:sz="4" w:space="0"/>
            </w:tcBorders>
            <w:noWrap w:val="0"/>
            <w:vAlign w:val="center"/>
          </w:tcPr>
          <w:p w14:paraId="57446D8C">
            <w:pPr>
              <w:rPr>
                <w:rFonts w:hint="eastAsia" w:ascii="宋体" w:hAnsi="宋体" w:eastAsia="宋体" w:cs="宋体"/>
                <w:color w:val="auto"/>
                <w:sz w:val="22"/>
                <w:highlight w:val="none"/>
              </w:rPr>
            </w:pPr>
          </w:p>
        </w:tc>
        <w:tc>
          <w:tcPr>
            <w:tcW w:w="735" w:type="pct"/>
            <w:tcBorders>
              <w:top w:val="single" w:color="auto" w:sz="4" w:space="0"/>
              <w:left w:val="single" w:color="auto" w:sz="4" w:space="0"/>
              <w:bottom w:val="single" w:color="auto" w:sz="4" w:space="0"/>
              <w:right w:val="single" w:color="auto" w:sz="4" w:space="0"/>
            </w:tcBorders>
            <w:noWrap w:val="0"/>
            <w:vAlign w:val="center"/>
          </w:tcPr>
          <w:p w14:paraId="61519AD8">
            <w:pPr>
              <w:rPr>
                <w:rFonts w:hint="eastAsia" w:ascii="宋体" w:hAnsi="宋体" w:eastAsia="宋体" w:cs="宋体"/>
                <w:color w:val="auto"/>
                <w:sz w:val="22"/>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F8C0AFD">
            <w:pPr>
              <w:rPr>
                <w:rFonts w:hint="eastAsia" w:ascii="宋体" w:hAnsi="宋体" w:eastAsia="宋体" w:cs="宋体"/>
                <w:color w:val="auto"/>
                <w:sz w:val="22"/>
                <w:highlight w:val="none"/>
              </w:rPr>
            </w:pPr>
          </w:p>
        </w:tc>
        <w:tc>
          <w:tcPr>
            <w:tcW w:w="1079" w:type="pct"/>
            <w:tcBorders>
              <w:top w:val="single" w:color="auto" w:sz="4" w:space="0"/>
              <w:left w:val="single" w:color="auto" w:sz="4" w:space="0"/>
              <w:bottom w:val="single" w:color="auto" w:sz="4" w:space="0"/>
              <w:right w:val="single" w:color="auto" w:sz="4" w:space="0"/>
            </w:tcBorders>
            <w:noWrap w:val="0"/>
            <w:vAlign w:val="center"/>
          </w:tcPr>
          <w:p w14:paraId="5E4F2EDF">
            <w:pPr>
              <w:jc w:val="center"/>
              <w:rPr>
                <w:rFonts w:hint="eastAsia" w:ascii="宋体" w:hAnsi="宋体" w:eastAsia="宋体" w:cs="宋体"/>
                <w:color w:val="auto"/>
                <w:sz w:val="22"/>
                <w:highlight w:val="none"/>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3D74D340">
            <w:pPr>
              <w:rPr>
                <w:rFonts w:hint="eastAsia" w:ascii="宋体" w:hAnsi="宋体" w:eastAsia="宋体" w:cs="宋体"/>
                <w:color w:val="auto"/>
                <w:sz w:val="22"/>
                <w:highlight w:val="none"/>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258DA53C">
            <w:pPr>
              <w:rPr>
                <w:rFonts w:hint="eastAsia" w:ascii="宋体" w:hAnsi="宋体" w:eastAsia="宋体" w:cs="宋体"/>
                <w:color w:val="auto"/>
                <w:sz w:val="22"/>
                <w:highlight w:val="none"/>
              </w:rPr>
            </w:pPr>
          </w:p>
        </w:tc>
      </w:tr>
      <w:tr w14:paraId="5AD4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8" w:type="pct"/>
            <w:tcBorders>
              <w:top w:val="single" w:color="auto" w:sz="4" w:space="0"/>
              <w:left w:val="single" w:color="auto" w:sz="4" w:space="0"/>
              <w:bottom w:val="single" w:color="auto" w:sz="4" w:space="0"/>
              <w:right w:val="single" w:color="auto" w:sz="4" w:space="0"/>
            </w:tcBorders>
            <w:noWrap w:val="0"/>
            <w:vAlign w:val="center"/>
          </w:tcPr>
          <w:p w14:paraId="240DAB81">
            <w:pPr>
              <w:rPr>
                <w:rFonts w:hint="eastAsia" w:ascii="宋体" w:hAnsi="宋体" w:eastAsia="宋体" w:cs="宋体"/>
                <w:color w:val="auto"/>
                <w:sz w:val="22"/>
                <w:highlight w:val="none"/>
              </w:rPr>
            </w:pPr>
          </w:p>
        </w:tc>
        <w:tc>
          <w:tcPr>
            <w:tcW w:w="494" w:type="pct"/>
            <w:tcBorders>
              <w:top w:val="single" w:color="auto" w:sz="4" w:space="0"/>
              <w:left w:val="single" w:color="auto" w:sz="4" w:space="0"/>
              <w:bottom w:val="single" w:color="auto" w:sz="4" w:space="0"/>
              <w:right w:val="single" w:color="auto" w:sz="4" w:space="0"/>
            </w:tcBorders>
            <w:noWrap w:val="0"/>
            <w:vAlign w:val="center"/>
          </w:tcPr>
          <w:p w14:paraId="7B685CE1">
            <w:pPr>
              <w:rPr>
                <w:rFonts w:hint="eastAsia" w:ascii="宋体" w:hAnsi="宋体" w:eastAsia="宋体" w:cs="宋体"/>
                <w:color w:val="auto"/>
                <w:sz w:val="22"/>
                <w:highlight w:val="none"/>
              </w:rPr>
            </w:pPr>
          </w:p>
        </w:tc>
        <w:tc>
          <w:tcPr>
            <w:tcW w:w="659" w:type="pct"/>
            <w:tcBorders>
              <w:top w:val="single" w:color="auto" w:sz="4" w:space="0"/>
              <w:left w:val="single" w:color="auto" w:sz="4" w:space="0"/>
              <w:bottom w:val="single" w:color="auto" w:sz="4" w:space="0"/>
              <w:right w:val="single" w:color="auto" w:sz="4" w:space="0"/>
            </w:tcBorders>
            <w:noWrap w:val="0"/>
            <w:vAlign w:val="center"/>
          </w:tcPr>
          <w:p w14:paraId="18502C02">
            <w:pPr>
              <w:rPr>
                <w:rFonts w:hint="eastAsia" w:ascii="宋体" w:hAnsi="宋体" w:eastAsia="宋体" w:cs="宋体"/>
                <w:color w:val="auto"/>
                <w:sz w:val="22"/>
                <w:highlight w:val="none"/>
              </w:rPr>
            </w:pPr>
          </w:p>
        </w:tc>
        <w:tc>
          <w:tcPr>
            <w:tcW w:w="735" w:type="pct"/>
            <w:tcBorders>
              <w:top w:val="single" w:color="auto" w:sz="4" w:space="0"/>
              <w:left w:val="single" w:color="auto" w:sz="4" w:space="0"/>
              <w:bottom w:val="single" w:color="auto" w:sz="4" w:space="0"/>
              <w:right w:val="single" w:color="auto" w:sz="4" w:space="0"/>
            </w:tcBorders>
            <w:noWrap w:val="0"/>
            <w:vAlign w:val="center"/>
          </w:tcPr>
          <w:p w14:paraId="02D8134D">
            <w:pPr>
              <w:rPr>
                <w:rFonts w:hint="eastAsia" w:ascii="宋体" w:hAnsi="宋体" w:eastAsia="宋体" w:cs="宋体"/>
                <w:color w:val="auto"/>
                <w:sz w:val="22"/>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73CFE52">
            <w:pPr>
              <w:jc w:val="center"/>
              <w:rPr>
                <w:rFonts w:hint="eastAsia" w:ascii="宋体" w:hAnsi="宋体" w:eastAsia="宋体" w:cs="宋体"/>
                <w:color w:val="auto"/>
                <w:sz w:val="22"/>
                <w:highlight w:val="none"/>
              </w:rPr>
            </w:pPr>
          </w:p>
        </w:tc>
        <w:tc>
          <w:tcPr>
            <w:tcW w:w="1079" w:type="pct"/>
            <w:tcBorders>
              <w:top w:val="single" w:color="auto" w:sz="4" w:space="0"/>
              <w:left w:val="single" w:color="auto" w:sz="4" w:space="0"/>
              <w:bottom w:val="single" w:color="auto" w:sz="4" w:space="0"/>
              <w:right w:val="single" w:color="auto" w:sz="4" w:space="0"/>
            </w:tcBorders>
            <w:noWrap w:val="0"/>
            <w:vAlign w:val="center"/>
          </w:tcPr>
          <w:p w14:paraId="5617FF18">
            <w:pPr>
              <w:rPr>
                <w:rFonts w:hint="eastAsia" w:ascii="宋体" w:hAnsi="宋体" w:eastAsia="宋体" w:cs="宋体"/>
                <w:color w:val="auto"/>
                <w:sz w:val="22"/>
                <w:highlight w:val="none"/>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482119FA">
            <w:pPr>
              <w:rPr>
                <w:rFonts w:hint="eastAsia" w:ascii="宋体" w:hAnsi="宋体" w:eastAsia="宋体" w:cs="宋体"/>
                <w:color w:val="auto"/>
                <w:sz w:val="22"/>
                <w:highlight w:val="none"/>
              </w:rPr>
            </w:pPr>
          </w:p>
        </w:tc>
        <w:tc>
          <w:tcPr>
            <w:tcW w:w="377" w:type="pct"/>
            <w:tcBorders>
              <w:top w:val="single" w:color="auto" w:sz="4" w:space="0"/>
              <w:left w:val="single" w:color="auto" w:sz="4" w:space="0"/>
              <w:bottom w:val="single" w:color="auto" w:sz="4" w:space="0"/>
              <w:right w:val="single" w:color="auto" w:sz="4" w:space="0"/>
            </w:tcBorders>
            <w:noWrap w:val="0"/>
            <w:vAlign w:val="center"/>
          </w:tcPr>
          <w:p w14:paraId="7C3FDA29">
            <w:pPr>
              <w:rPr>
                <w:rFonts w:hint="eastAsia" w:ascii="宋体" w:hAnsi="宋体" w:eastAsia="宋体" w:cs="宋体"/>
                <w:color w:val="auto"/>
                <w:sz w:val="22"/>
                <w:highlight w:val="none"/>
              </w:rPr>
            </w:pPr>
          </w:p>
        </w:tc>
      </w:tr>
    </w:tbl>
    <w:p w14:paraId="2772B3A6">
      <w:pPr>
        <w:rPr>
          <w:rFonts w:hint="eastAsia" w:ascii="宋体" w:hAnsi="宋体" w:eastAsia="宋体" w:cs="宋体"/>
          <w:color w:val="auto"/>
          <w:sz w:val="22"/>
          <w:highlight w:val="none"/>
        </w:rPr>
      </w:pPr>
    </w:p>
    <w:p w14:paraId="6B6E8169">
      <w:pP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备注：节能产品、环境标志产品认证证书附后</w:t>
      </w:r>
    </w:p>
    <w:p w14:paraId="5A291EDA">
      <w:pPr>
        <w:rPr>
          <w:rFonts w:hint="eastAsia" w:ascii="宋体" w:hAnsi="宋体" w:eastAsia="宋体" w:cs="宋体"/>
          <w:b/>
          <w:color w:val="auto"/>
          <w:sz w:val="32"/>
          <w:highlight w:val="none"/>
        </w:rPr>
      </w:pPr>
      <w:r>
        <w:rPr>
          <w:rFonts w:hint="eastAsia" w:ascii="宋体" w:hAnsi="宋体" w:eastAsia="宋体" w:cs="宋体"/>
          <w:b/>
          <w:color w:val="auto"/>
          <w:sz w:val="24"/>
          <w:szCs w:val="24"/>
          <w:highlight w:val="none"/>
        </w:rPr>
        <w:br w:type="page"/>
      </w:r>
    </w:p>
    <w:p w14:paraId="0FCB4F3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附件12</w:t>
      </w:r>
    </w:p>
    <w:p w14:paraId="6D746906">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货物配置清单</w:t>
      </w:r>
    </w:p>
    <w:p w14:paraId="336130AB">
      <w:pPr>
        <w:pStyle w:val="13"/>
        <w:spacing w:after="0" w:line="400" w:lineRule="exact"/>
        <w:ind w:left="0" w:leftChars="0" w:rightChars="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 xml:space="preserve">标项名称：                                      项目编号：                </w:t>
      </w:r>
    </w:p>
    <w:tbl>
      <w:tblPr>
        <w:tblStyle w:val="3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36"/>
        <w:gridCol w:w="881"/>
        <w:gridCol w:w="481"/>
        <w:gridCol w:w="567"/>
        <w:gridCol w:w="881"/>
        <w:gridCol w:w="648"/>
        <w:gridCol w:w="567"/>
        <w:gridCol w:w="997"/>
        <w:gridCol w:w="997"/>
      </w:tblGrid>
      <w:tr w14:paraId="41C6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434A825A">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76" w:type="pct"/>
            <w:noWrap w:val="0"/>
            <w:vAlign w:val="center"/>
          </w:tcPr>
          <w:p w14:paraId="770B7D0B">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442" w:type="pct"/>
            <w:noWrap w:val="0"/>
            <w:vAlign w:val="center"/>
          </w:tcPr>
          <w:p w14:paraId="288A604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241" w:type="pct"/>
            <w:noWrap w:val="0"/>
            <w:vAlign w:val="center"/>
          </w:tcPr>
          <w:p w14:paraId="44EFF0E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285" w:type="pct"/>
            <w:noWrap w:val="0"/>
            <w:vAlign w:val="center"/>
          </w:tcPr>
          <w:p w14:paraId="694DD3BF">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442" w:type="pct"/>
            <w:noWrap w:val="0"/>
            <w:vAlign w:val="center"/>
          </w:tcPr>
          <w:p w14:paraId="625564E9">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325" w:type="pct"/>
            <w:noWrap w:val="0"/>
            <w:vAlign w:val="center"/>
          </w:tcPr>
          <w:p w14:paraId="16EBD938">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85" w:type="pct"/>
            <w:noWrap w:val="0"/>
            <w:vAlign w:val="center"/>
          </w:tcPr>
          <w:p w14:paraId="2930FE72">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01" w:type="pct"/>
            <w:noWrap w:val="0"/>
            <w:vAlign w:val="center"/>
          </w:tcPr>
          <w:p w14:paraId="52184CF1">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性能及指标</w:t>
            </w:r>
          </w:p>
        </w:tc>
        <w:tc>
          <w:tcPr>
            <w:tcW w:w="501" w:type="pct"/>
            <w:noWrap w:val="0"/>
            <w:vAlign w:val="center"/>
          </w:tcPr>
          <w:p w14:paraId="5AA96193">
            <w:pPr>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71D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354867E5">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2F27BC24">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2883E57C">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57D81A96">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4CCF69D7">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5CA58499">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0BDD914B">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07542FDA">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14798E8B">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05848D0E">
            <w:pPr>
              <w:snapToGrid w:val="0"/>
              <w:spacing w:line="400" w:lineRule="exact"/>
              <w:jc w:val="center"/>
              <w:rPr>
                <w:rFonts w:hint="eastAsia" w:ascii="宋体" w:hAnsi="宋体" w:eastAsia="宋体" w:cs="宋体"/>
                <w:color w:val="auto"/>
                <w:sz w:val="24"/>
                <w:szCs w:val="24"/>
                <w:highlight w:val="none"/>
              </w:rPr>
            </w:pPr>
          </w:p>
        </w:tc>
      </w:tr>
      <w:tr w14:paraId="4500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1015258B">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008426E7">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28D7B84F">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4EF06DA9">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700FF154">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7ACA0CE2">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6E24B100">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16D58B5E">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488836B7">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59F70393">
            <w:pPr>
              <w:snapToGrid w:val="0"/>
              <w:spacing w:line="400" w:lineRule="exact"/>
              <w:jc w:val="center"/>
              <w:rPr>
                <w:rFonts w:hint="eastAsia" w:ascii="宋体" w:hAnsi="宋体" w:eastAsia="宋体" w:cs="宋体"/>
                <w:color w:val="auto"/>
                <w:sz w:val="24"/>
                <w:szCs w:val="24"/>
                <w:highlight w:val="none"/>
              </w:rPr>
            </w:pPr>
          </w:p>
        </w:tc>
      </w:tr>
      <w:tr w14:paraId="5126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447945D0">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6986007B">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65879E58">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00607644">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07322950">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5D9BDFB0">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1F611825">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15693CA8">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6DF0796B">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7DD9CAAE">
            <w:pPr>
              <w:snapToGrid w:val="0"/>
              <w:spacing w:line="400" w:lineRule="exact"/>
              <w:jc w:val="center"/>
              <w:rPr>
                <w:rFonts w:hint="eastAsia" w:ascii="宋体" w:hAnsi="宋体" w:eastAsia="宋体" w:cs="宋体"/>
                <w:color w:val="auto"/>
                <w:sz w:val="24"/>
                <w:szCs w:val="24"/>
                <w:highlight w:val="none"/>
              </w:rPr>
            </w:pPr>
          </w:p>
        </w:tc>
      </w:tr>
      <w:tr w14:paraId="0413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610861A2">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7DAFBC2F">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79B0C0D9">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56C27E24">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45B5DBA9">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648E1CCB">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3478B122">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6AF7D76F">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599DBCD5">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25D61D34">
            <w:pPr>
              <w:snapToGrid w:val="0"/>
              <w:spacing w:line="400" w:lineRule="exact"/>
              <w:jc w:val="center"/>
              <w:rPr>
                <w:rFonts w:hint="eastAsia" w:ascii="宋体" w:hAnsi="宋体" w:eastAsia="宋体" w:cs="宋体"/>
                <w:color w:val="auto"/>
                <w:sz w:val="24"/>
                <w:szCs w:val="24"/>
                <w:highlight w:val="none"/>
              </w:rPr>
            </w:pPr>
          </w:p>
        </w:tc>
      </w:tr>
      <w:tr w14:paraId="3170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01C4586D">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160CFB30">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2CD70FAD">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07BE5DCF">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1596F36C">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138753C8">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65A4A054">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60D137A9">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45A9A51C">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center"/>
          </w:tcPr>
          <w:p w14:paraId="519FFFBD">
            <w:pPr>
              <w:snapToGrid w:val="0"/>
              <w:spacing w:line="400" w:lineRule="exact"/>
              <w:jc w:val="center"/>
              <w:rPr>
                <w:rFonts w:hint="eastAsia" w:ascii="宋体" w:hAnsi="宋体" w:eastAsia="宋体" w:cs="宋体"/>
                <w:color w:val="auto"/>
                <w:sz w:val="24"/>
                <w:szCs w:val="24"/>
                <w:highlight w:val="none"/>
              </w:rPr>
            </w:pPr>
          </w:p>
        </w:tc>
      </w:tr>
      <w:tr w14:paraId="6764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0A7DD9F1">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03C974D2">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2356CDBD">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5E1A7A84">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top"/>
          </w:tcPr>
          <w:p w14:paraId="7390C6FC">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top"/>
          </w:tcPr>
          <w:p w14:paraId="785D6831">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024294FC">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27BBF8D2">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2150B25F">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5006A0D9">
            <w:pPr>
              <w:snapToGrid w:val="0"/>
              <w:spacing w:line="400" w:lineRule="exact"/>
              <w:jc w:val="center"/>
              <w:rPr>
                <w:rFonts w:hint="eastAsia" w:ascii="宋体" w:hAnsi="宋体" w:eastAsia="宋体" w:cs="宋体"/>
                <w:color w:val="auto"/>
                <w:sz w:val="24"/>
                <w:szCs w:val="24"/>
                <w:highlight w:val="none"/>
              </w:rPr>
            </w:pPr>
          </w:p>
        </w:tc>
      </w:tr>
      <w:tr w14:paraId="0E94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67BEA443">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5A51E822">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753502B0">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340C53F7">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top"/>
          </w:tcPr>
          <w:p w14:paraId="2873EFB7">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top"/>
          </w:tcPr>
          <w:p w14:paraId="1B002751">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74F7C328">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24D23AFE">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6098C3EE">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559071F1">
            <w:pPr>
              <w:snapToGrid w:val="0"/>
              <w:spacing w:line="400" w:lineRule="exact"/>
              <w:jc w:val="center"/>
              <w:rPr>
                <w:rFonts w:hint="eastAsia" w:ascii="宋体" w:hAnsi="宋体" w:eastAsia="宋体" w:cs="宋体"/>
                <w:color w:val="auto"/>
                <w:sz w:val="24"/>
                <w:szCs w:val="24"/>
                <w:highlight w:val="none"/>
              </w:rPr>
            </w:pPr>
          </w:p>
        </w:tc>
      </w:tr>
      <w:tr w14:paraId="0C08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7DBB4190">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3B014DEF">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452167E9">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5D379989">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top"/>
          </w:tcPr>
          <w:p w14:paraId="24E92DCF">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top"/>
          </w:tcPr>
          <w:p w14:paraId="1BB09A3D">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5D23D29B">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1977A9F8">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5B1CEB94">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0E8E79CC">
            <w:pPr>
              <w:snapToGrid w:val="0"/>
              <w:spacing w:line="400" w:lineRule="exact"/>
              <w:jc w:val="center"/>
              <w:rPr>
                <w:rFonts w:hint="eastAsia" w:ascii="宋体" w:hAnsi="宋体" w:eastAsia="宋体" w:cs="宋体"/>
                <w:color w:val="auto"/>
                <w:sz w:val="24"/>
                <w:szCs w:val="24"/>
                <w:highlight w:val="none"/>
              </w:rPr>
            </w:pPr>
          </w:p>
        </w:tc>
      </w:tr>
      <w:tr w14:paraId="70C4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7642B0C9">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5C6FA07E">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602348C9">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68C7D77F">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top"/>
          </w:tcPr>
          <w:p w14:paraId="51592FD2">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top"/>
          </w:tcPr>
          <w:p w14:paraId="52C74E54">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30BF2821">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0289046D">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1481D2EA">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17810584">
            <w:pPr>
              <w:snapToGrid w:val="0"/>
              <w:spacing w:line="400" w:lineRule="exact"/>
              <w:jc w:val="center"/>
              <w:rPr>
                <w:rFonts w:hint="eastAsia" w:ascii="宋体" w:hAnsi="宋体" w:eastAsia="宋体" w:cs="宋体"/>
                <w:color w:val="auto"/>
                <w:sz w:val="24"/>
                <w:szCs w:val="24"/>
                <w:highlight w:val="none"/>
              </w:rPr>
            </w:pPr>
          </w:p>
        </w:tc>
      </w:tr>
      <w:tr w14:paraId="3BB2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69573407">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42EDEA77">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2D7FEBBC">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5AB3B360">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top"/>
          </w:tcPr>
          <w:p w14:paraId="16F24871">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top"/>
          </w:tcPr>
          <w:p w14:paraId="400FE9CF">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77EBF129">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0E7EFB65">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4933C106">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2B72C647">
            <w:pPr>
              <w:snapToGrid w:val="0"/>
              <w:spacing w:line="400" w:lineRule="exact"/>
              <w:jc w:val="center"/>
              <w:rPr>
                <w:rFonts w:hint="eastAsia" w:ascii="宋体" w:hAnsi="宋体" w:eastAsia="宋体" w:cs="宋体"/>
                <w:color w:val="auto"/>
                <w:sz w:val="24"/>
                <w:szCs w:val="24"/>
                <w:highlight w:val="none"/>
              </w:rPr>
            </w:pPr>
          </w:p>
        </w:tc>
      </w:tr>
      <w:tr w14:paraId="0398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7" w:type="pct"/>
            <w:noWrap w:val="0"/>
            <w:vAlign w:val="center"/>
          </w:tcPr>
          <w:p w14:paraId="4E1FE6E0">
            <w:pPr>
              <w:snapToGrid w:val="0"/>
              <w:spacing w:line="400" w:lineRule="exact"/>
              <w:jc w:val="center"/>
              <w:rPr>
                <w:rFonts w:hint="eastAsia" w:ascii="宋体" w:hAnsi="宋体" w:eastAsia="宋体" w:cs="宋体"/>
                <w:color w:val="auto"/>
                <w:sz w:val="24"/>
                <w:szCs w:val="24"/>
                <w:highlight w:val="none"/>
              </w:rPr>
            </w:pPr>
          </w:p>
        </w:tc>
        <w:tc>
          <w:tcPr>
            <w:tcW w:w="1576" w:type="pct"/>
            <w:noWrap w:val="0"/>
            <w:vAlign w:val="center"/>
          </w:tcPr>
          <w:p w14:paraId="62D79872">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center"/>
          </w:tcPr>
          <w:p w14:paraId="7359FD31">
            <w:pPr>
              <w:snapToGrid w:val="0"/>
              <w:spacing w:line="400" w:lineRule="exact"/>
              <w:jc w:val="center"/>
              <w:rPr>
                <w:rFonts w:hint="eastAsia" w:ascii="宋体" w:hAnsi="宋体" w:eastAsia="宋体" w:cs="宋体"/>
                <w:color w:val="auto"/>
                <w:sz w:val="24"/>
                <w:szCs w:val="24"/>
                <w:highlight w:val="none"/>
              </w:rPr>
            </w:pPr>
          </w:p>
        </w:tc>
        <w:tc>
          <w:tcPr>
            <w:tcW w:w="241" w:type="pct"/>
            <w:noWrap w:val="0"/>
            <w:vAlign w:val="center"/>
          </w:tcPr>
          <w:p w14:paraId="5BAA9456">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top"/>
          </w:tcPr>
          <w:p w14:paraId="5B409BEF">
            <w:pPr>
              <w:snapToGrid w:val="0"/>
              <w:spacing w:line="400" w:lineRule="exact"/>
              <w:jc w:val="center"/>
              <w:rPr>
                <w:rFonts w:hint="eastAsia" w:ascii="宋体" w:hAnsi="宋体" w:eastAsia="宋体" w:cs="宋体"/>
                <w:color w:val="auto"/>
                <w:sz w:val="24"/>
                <w:szCs w:val="24"/>
                <w:highlight w:val="none"/>
              </w:rPr>
            </w:pPr>
          </w:p>
        </w:tc>
        <w:tc>
          <w:tcPr>
            <w:tcW w:w="442" w:type="pct"/>
            <w:noWrap w:val="0"/>
            <w:vAlign w:val="top"/>
          </w:tcPr>
          <w:p w14:paraId="5BD8E4DF">
            <w:pPr>
              <w:snapToGrid w:val="0"/>
              <w:spacing w:line="400" w:lineRule="exact"/>
              <w:jc w:val="center"/>
              <w:rPr>
                <w:rFonts w:hint="eastAsia" w:ascii="宋体" w:hAnsi="宋体" w:eastAsia="宋体" w:cs="宋体"/>
                <w:color w:val="auto"/>
                <w:sz w:val="24"/>
                <w:szCs w:val="24"/>
                <w:highlight w:val="none"/>
              </w:rPr>
            </w:pPr>
          </w:p>
        </w:tc>
        <w:tc>
          <w:tcPr>
            <w:tcW w:w="325" w:type="pct"/>
            <w:noWrap w:val="0"/>
            <w:vAlign w:val="center"/>
          </w:tcPr>
          <w:p w14:paraId="53FCFD97">
            <w:pPr>
              <w:snapToGrid w:val="0"/>
              <w:spacing w:line="400" w:lineRule="exact"/>
              <w:jc w:val="center"/>
              <w:rPr>
                <w:rFonts w:hint="eastAsia" w:ascii="宋体" w:hAnsi="宋体" w:eastAsia="宋体" w:cs="宋体"/>
                <w:color w:val="auto"/>
                <w:sz w:val="24"/>
                <w:szCs w:val="24"/>
                <w:highlight w:val="none"/>
              </w:rPr>
            </w:pPr>
          </w:p>
        </w:tc>
        <w:tc>
          <w:tcPr>
            <w:tcW w:w="285" w:type="pct"/>
            <w:noWrap w:val="0"/>
            <w:vAlign w:val="center"/>
          </w:tcPr>
          <w:p w14:paraId="68791275">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6C8AC31C">
            <w:pPr>
              <w:snapToGrid w:val="0"/>
              <w:spacing w:line="400" w:lineRule="exact"/>
              <w:jc w:val="center"/>
              <w:rPr>
                <w:rFonts w:hint="eastAsia" w:ascii="宋体" w:hAnsi="宋体" w:eastAsia="宋体" w:cs="宋体"/>
                <w:color w:val="auto"/>
                <w:sz w:val="24"/>
                <w:szCs w:val="24"/>
                <w:highlight w:val="none"/>
              </w:rPr>
            </w:pPr>
          </w:p>
        </w:tc>
        <w:tc>
          <w:tcPr>
            <w:tcW w:w="501" w:type="pct"/>
            <w:noWrap w:val="0"/>
            <w:vAlign w:val="top"/>
          </w:tcPr>
          <w:p w14:paraId="24618B5E">
            <w:pPr>
              <w:snapToGrid w:val="0"/>
              <w:spacing w:line="400" w:lineRule="exact"/>
              <w:jc w:val="center"/>
              <w:rPr>
                <w:rFonts w:hint="eastAsia" w:ascii="宋体" w:hAnsi="宋体" w:eastAsia="宋体" w:cs="宋体"/>
                <w:color w:val="auto"/>
                <w:sz w:val="24"/>
                <w:szCs w:val="24"/>
                <w:highlight w:val="none"/>
              </w:rPr>
            </w:pPr>
          </w:p>
        </w:tc>
      </w:tr>
    </w:tbl>
    <w:p w14:paraId="770D9045">
      <w:pPr>
        <w:adjustRightInd w:val="0"/>
        <w:spacing w:line="360" w:lineRule="auto"/>
        <w:jc w:val="left"/>
        <w:rPr>
          <w:rFonts w:hint="eastAsia" w:ascii="宋体" w:hAnsi="宋体" w:eastAsia="宋体" w:cs="宋体"/>
          <w:color w:val="auto"/>
          <w:sz w:val="22"/>
          <w:highlight w:val="none"/>
        </w:rPr>
      </w:pPr>
    </w:p>
    <w:p w14:paraId="2DEB64F0">
      <w:pPr>
        <w:adjustRightInd w:val="0"/>
        <w:spacing w:line="360" w:lineRule="auto"/>
        <w:jc w:val="left"/>
        <w:rPr>
          <w:rFonts w:hint="eastAsia" w:ascii="宋体" w:hAnsi="宋体" w:eastAsia="宋体" w:cs="宋体"/>
          <w:color w:val="auto"/>
          <w:sz w:val="22"/>
          <w:highlight w:val="none"/>
        </w:rPr>
      </w:pPr>
    </w:p>
    <w:p w14:paraId="0DD1772B">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w:t>
      </w:r>
      <w:r>
        <w:rPr>
          <w:rFonts w:hint="eastAsia" w:ascii="宋体" w:hAnsi="宋体" w:eastAsia="宋体" w:cs="宋体"/>
          <w:color w:val="auto"/>
          <w:kern w:val="0"/>
          <w:sz w:val="24"/>
          <w:szCs w:val="24"/>
          <w:highlight w:val="none"/>
          <w:lang w:eastAsia="zh-CN"/>
        </w:rPr>
        <w:t>公章或电子签章</w:t>
      </w:r>
      <w:r>
        <w:rPr>
          <w:rFonts w:hint="eastAsia" w:ascii="宋体" w:hAnsi="宋体" w:eastAsia="宋体" w:cs="宋体"/>
          <w:color w:val="auto"/>
          <w:kern w:val="0"/>
          <w:sz w:val="24"/>
          <w:szCs w:val="24"/>
          <w:highlight w:val="none"/>
        </w:rPr>
        <w:t>)：</w:t>
      </w:r>
    </w:p>
    <w:p w14:paraId="2F10C341">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14:paraId="5DA27359">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3DE74588">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6B43700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附件13</w:t>
      </w:r>
    </w:p>
    <w:p w14:paraId="3553D7AE">
      <w:pPr>
        <w:adjustRightInd w:val="0"/>
        <w:snapToGrid w:val="0"/>
        <w:spacing w:line="360" w:lineRule="auto"/>
        <w:jc w:val="center"/>
        <w:rPr>
          <w:rFonts w:hint="eastAsia" w:ascii="宋体" w:hAnsi="宋体" w:eastAsia="宋体" w:cs="宋体"/>
          <w:b/>
          <w:snapToGrid w:val="0"/>
          <w:color w:val="auto"/>
          <w:sz w:val="24"/>
          <w:szCs w:val="24"/>
          <w:highlight w:val="none"/>
        </w:rPr>
      </w:pPr>
      <w:r>
        <w:rPr>
          <w:rFonts w:hint="eastAsia" w:ascii="宋体" w:hAnsi="宋体" w:eastAsia="宋体" w:cs="宋体"/>
          <w:b/>
          <w:color w:val="auto"/>
          <w:sz w:val="24"/>
          <w:szCs w:val="24"/>
          <w:highlight w:val="none"/>
        </w:rPr>
        <w:t>常用材料、零配件及备品备件报价清单</w:t>
      </w:r>
    </w:p>
    <w:p w14:paraId="38BE087B">
      <w:pPr>
        <w:pStyle w:val="14"/>
        <w:snapToGrid w:val="0"/>
        <w:spacing w:line="288"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标项名称：                           项目编号：                  </w:t>
      </w:r>
      <w:r>
        <w:rPr>
          <w:rFonts w:hint="eastAsia" w:ascii="宋体" w:hAnsi="宋体" w:eastAsia="宋体" w:cs="宋体"/>
          <w:color w:val="auto"/>
          <w:spacing w:val="-6"/>
          <w:sz w:val="22"/>
          <w:highlight w:val="none"/>
        </w:rPr>
        <w:t>金额单位：人民币（元）</w:t>
      </w:r>
    </w:p>
    <w:tbl>
      <w:tblPr>
        <w:tblStyle w:val="3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14:paraId="1C17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15D8A0CA">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序号</w:t>
            </w:r>
          </w:p>
        </w:tc>
        <w:tc>
          <w:tcPr>
            <w:tcW w:w="712" w:type="dxa"/>
            <w:noWrap w:val="0"/>
            <w:vAlign w:val="center"/>
          </w:tcPr>
          <w:p w14:paraId="1137987F">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名称</w:t>
            </w:r>
          </w:p>
        </w:tc>
        <w:tc>
          <w:tcPr>
            <w:tcW w:w="992" w:type="dxa"/>
            <w:noWrap w:val="0"/>
            <w:vAlign w:val="center"/>
          </w:tcPr>
          <w:p w14:paraId="5056F30D">
            <w:pPr>
              <w:pStyle w:val="7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制造商</w:t>
            </w:r>
          </w:p>
        </w:tc>
        <w:tc>
          <w:tcPr>
            <w:tcW w:w="808" w:type="dxa"/>
            <w:noWrap w:val="0"/>
            <w:vAlign w:val="center"/>
          </w:tcPr>
          <w:p w14:paraId="6B7306F4">
            <w:pPr>
              <w:pStyle w:val="7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产地</w:t>
            </w:r>
          </w:p>
        </w:tc>
        <w:tc>
          <w:tcPr>
            <w:tcW w:w="656" w:type="dxa"/>
            <w:noWrap w:val="0"/>
            <w:vAlign w:val="center"/>
          </w:tcPr>
          <w:p w14:paraId="77DA9243">
            <w:pPr>
              <w:pStyle w:val="7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品牌</w:t>
            </w:r>
          </w:p>
        </w:tc>
        <w:tc>
          <w:tcPr>
            <w:tcW w:w="1238" w:type="dxa"/>
            <w:noWrap w:val="0"/>
            <w:vAlign w:val="center"/>
          </w:tcPr>
          <w:p w14:paraId="4F73FB4A">
            <w:pPr>
              <w:pStyle w:val="7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型号规格</w:t>
            </w:r>
          </w:p>
        </w:tc>
        <w:tc>
          <w:tcPr>
            <w:tcW w:w="675" w:type="dxa"/>
            <w:noWrap w:val="0"/>
            <w:vAlign w:val="center"/>
          </w:tcPr>
          <w:p w14:paraId="6BDF828B">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单位</w:t>
            </w:r>
          </w:p>
        </w:tc>
        <w:tc>
          <w:tcPr>
            <w:tcW w:w="675" w:type="dxa"/>
            <w:noWrap w:val="0"/>
            <w:vAlign w:val="center"/>
          </w:tcPr>
          <w:p w14:paraId="56393D2F">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数量</w:t>
            </w:r>
          </w:p>
        </w:tc>
        <w:tc>
          <w:tcPr>
            <w:tcW w:w="1237" w:type="dxa"/>
            <w:noWrap w:val="0"/>
            <w:vAlign w:val="center"/>
          </w:tcPr>
          <w:p w14:paraId="62FA6AF3">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单价（元）</w:t>
            </w:r>
          </w:p>
        </w:tc>
        <w:tc>
          <w:tcPr>
            <w:tcW w:w="1350" w:type="dxa"/>
            <w:noWrap w:val="0"/>
            <w:vAlign w:val="center"/>
          </w:tcPr>
          <w:p w14:paraId="55C7F6CB">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总价（元）</w:t>
            </w:r>
          </w:p>
        </w:tc>
        <w:tc>
          <w:tcPr>
            <w:tcW w:w="656" w:type="dxa"/>
            <w:noWrap w:val="0"/>
            <w:vAlign w:val="center"/>
          </w:tcPr>
          <w:p w14:paraId="1A00465F">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备注</w:t>
            </w:r>
          </w:p>
        </w:tc>
      </w:tr>
      <w:tr w14:paraId="5585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2B5C7B01">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noWrap w:val="0"/>
            <w:vAlign w:val="center"/>
          </w:tcPr>
          <w:p w14:paraId="2FE01FF6">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noWrap w:val="0"/>
            <w:vAlign w:val="center"/>
          </w:tcPr>
          <w:p w14:paraId="4163CED1">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noWrap w:val="0"/>
            <w:vAlign w:val="center"/>
          </w:tcPr>
          <w:p w14:paraId="119985A3">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77D4DBC1">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noWrap w:val="0"/>
            <w:vAlign w:val="center"/>
          </w:tcPr>
          <w:p w14:paraId="785F0AB8">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5DCCF69A">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3C4D1AE3">
            <w:pPr>
              <w:pStyle w:val="19"/>
              <w:pBdr>
                <w:bottom w:val="none" w:color="auto" w:sz="0" w:space="0"/>
              </w:pBdr>
              <w:tabs>
                <w:tab w:val="left" w:pos="420"/>
              </w:tabs>
              <w:spacing w:line="360" w:lineRule="auto"/>
              <w:rPr>
                <w:rFonts w:hint="eastAsia" w:ascii="宋体" w:hAnsi="宋体" w:eastAsia="宋体" w:cs="宋体"/>
                <w:snapToGrid w:val="0"/>
                <w:color w:val="auto"/>
                <w:kern w:val="0"/>
                <w:sz w:val="22"/>
                <w:highlight w:val="none"/>
              </w:rPr>
            </w:pPr>
          </w:p>
        </w:tc>
        <w:tc>
          <w:tcPr>
            <w:tcW w:w="1237" w:type="dxa"/>
            <w:noWrap w:val="0"/>
            <w:vAlign w:val="center"/>
          </w:tcPr>
          <w:p w14:paraId="4FED51B2">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noWrap w:val="0"/>
            <w:vAlign w:val="center"/>
          </w:tcPr>
          <w:p w14:paraId="236A7E63">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5B82B7BF">
            <w:pPr>
              <w:adjustRightInd w:val="0"/>
              <w:snapToGrid w:val="0"/>
              <w:spacing w:line="360" w:lineRule="auto"/>
              <w:rPr>
                <w:rFonts w:hint="eastAsia" w:ascii="宋体" w:hAnsi="宋体" w:eastAsia="宋体" w:cs="宋体"/>
                <w:snapToGrid w:val="0"/>
                <w:color w:val="auto"/>
                <w:kern w:val="0"/>
                <w:sz w:val="22"/>
                <w:highlight w:val="none"/>
              </w:rPr>
            </w:pPr>
          </w:p>
        </w:tc>
      </w:tr>
      <w:tr w14:paraId="2435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216FBC07">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noWrap w:val="0"/>
            <w:vAlign w:val="center"/>
          </w:tcPr>
          <w:p w14:paraId="37AAE850">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noWrap w:val="0"/>
            <w:vAlign w:val="center"/>
          </w:tcPr>
          <w:p w14:paraId="0E19F601">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noWrap w:val="0"/>
            <w:vAlign w:val="center"/>
          </w:tcPr>
          <w:p w14:paraId="2D4432B5">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42E31201">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noWrap w:val="0"/>
            <w:vAlign w:val="center"/>
          </w:tcPr>
          <w:p w14:paraId="28090460">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3301C6B7">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2159BAAB">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noWrap w:val="0"/>
            <w:vAlign w:val="center"/>
          </w:tcPr>
          <w:p w14:paraId="59944D29">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noWrap w:val="0"/>
            <w:vAlign w:val="center"/>
          </w:tcPr>
          <w:p w14:paraId="50CBD2D1">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08FEA7F7">
            <w:pPr>
              <w:adjustRightInd w:val="0"/>
              <w:snapToGrid w:val="0"/>
              <w:spacing w:line="360" w:lineRule="auto"/>
              <w:rPr>
                <w:rFonts w:hint="eastAsia" w:ascii="宋体" w:hAnsi="宋体" w:eastAsia="宋体" w:cs="宋体"/>
                <w:snapToGrid w:val="0"/>
                <w:color w:val="auto"/>
                <w:kern w:val="0"/>
                <w:sz w:val="22"/>
                <w:highlight w:val="none"/>
              </w:rPr>
            </w:pPr>
          </w:p>
        </w:tc>
      </w:tr>
      <w:tr w14:paraId="1D98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25241884">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noWrap w:val="0"/>
            <w:vAlign w:val="center"/>
          </w:tcPr>
          <w:p w14:paraId="14D834B6">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noWrap w:val="0"/>
            <w:vAlign w:val="center"/>
          </w:tcPr>
          <w:p w14:paraId="4EC8E922">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noWrap w:val="0"/>
            <w:vAlign w:val="center"/>
          </w:tcPr>
          <w:p w14:paraId="25CB431E">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4E98FAEE">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noWrap w:val="0"/>
            <w:vAlign w:val="center"/>
          </w:tcPr>
          <w:p w14:paraId="0872642A">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061FC995">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3834C4B0">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noWrap w:val="0"/>
            <w:vAlign w:val="center"/>
          </w:tcPr>
          <w:p w14:paraId="356BF9D9">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noWrap w:val="0"/>
            <w:vAlign w:val="center"/>
          </w:tcPr>
          <w:p w14:paraId="60187C7A">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5D018B25">
            <w:pPr>
              <w:adjustRightInd w:val="0"/>
              <w:snapToGrid w:val="0"/>
              <w:spacing w:line="360" w:lineRule="auto"/>
              <w:rPr>
                <w:rFonts w:hint="eastAsia" w:ascii="宋体" w:hAnsi="宋体" w:eastAsia="宋体" w:cs="宋体"/>
                <w:snapToGrid w:val="0"/>
                <w:color w:val="auto"/>
                <w:kern w:val="0"/>
                <w:sz w:val="22"/>
                <w:highlight w:val="none"/>
              </w:rPr>
            </w:pPr>
          </w:p>
        </w:tc>
      </w:tr>
      <w:tr w14:paraId="06AF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4A1C53C3">
            <w:pPr>
              <w:pStyle w:val="15"/>
              <w:adjustRightInd w:val="0"/>
              <w:snapToGrid w:val="0"/>
              <w:spacing w:line="360" w:lineRule="auto"/>
              <w:ind w:left="5250" w:leftChars="0"/>
              <w:rPr>
                <w:rFonts w:hint="eastAsia" w:ascii="宋体" w:hAnsi="宋体" w:eastAsia="宋体" w:cs="宋体"/>
                <w:snapToGrid w:val="0"/>
                <w:color w:val="auto"/>
                <w:kern w:val="0"/>
                <w:sz w:val="22"/>
                <w:szCs w:val="22"/>
                <w:highlight w:val="none"/>
              </w:rPr>
            </w:pPr>
          </w:p>
        </w:tc>
        <w:tc>
          <w:tcPr>
            <w:tcW w:w="712" w:type="dxa"/>
            <w:noWrap w:val="0"/>
            <w:vAlign w:val="center"/>
          </w:tcPr>
          <w:p w14:paraId="5E5A616B">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noWrap w:val="0"/>
            <w:vAlign w:val="center"/>
          </w:tcPr>
          <w:p w14:paraId="23B70201">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noWrap w:val="0"/>
            <w:vAlign w:val="center"/>
          </w:tcPr>
          <w:p w14:paraId="53138446">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766F6F75">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noWrap w:val="0"/>
            <w:vAlign w:val="center"/>
          </w:tcPr>
          <w:p w14:paraId="0C057A4C">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430F4850">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2253BC40">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noWrap w:val="0"/>
            <w:vAlign w:val="center"/>
          </w:tcPr>
          <w:p w14:paraId="0EA1EE4B">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noWrap w:val="0"/>
            <w:vAlign w:val="center"/>
          </w:tcPr>
          <w:p w14:paraId="5E15EEB3">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0AF24AEA">
            <w:pPr>
              <w:adjustRightInd w:val="0"/>
              <w:snapToGrid w:val="0"/>
              <w:spacing w:line="360" w:lineRule="auto"/>
              <w:rPr>
                <w:rFonts w:hint="eastAsia" w:ascii="宋体" w:hAnsi="宋体" w:eastAsia="宋体" w:cs="宋体"/>
                <w:snapToGrid w:val="0"/>
                <w:color w:val="auto"/>
                <w:kern w:val="0"/>
                <w:sz w:val="22"/>
                <w:highlight w:val="none"/>
              </w:rPr>
            </w:pPr>
          </w:p>
        </w:tc>
      </w:tr>
      <w:tr w14:paraId="578F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57902E6E">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noWrap w:val="0"/>
            <w:vAlign w:val="center"/>
          </w:tcPr>
          <w:p w14:paraId="4869C423">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noWrap w:val="0"/>
            <w:vAlign w:val="center"/>
          </w:tcPr>
          <w:p w14:paraId="714BA047">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noWrap w:val="0"/>
            <w:vAlign w:val="center"/>
          </w:tcPr>
          <w:p w14:paraId="4A6249A9">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3487F9F7">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noWrap w:val="0"/>
            <w:vAlign w:val="center"/>
          </w:tcPr>
          <w:p w14:paraId="77825553">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1B884ECF">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0619BF18">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noWrap w:val="0"/>
            <w:vAlign w:val="center"/>
          </w:tcPr>
          <w:p w14:paraId="272D9593">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noWrap w:val="0"/>
            <w:vAlign w:val="center"/>
          </w:tcPr>
          <w:p w14:paraId="003E1523">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1C90ECDB">
            <w:pPr>
              <w:adjustRightInd w:val="0"/>
              <w:snapToGrid w:val="0"/>
              <w:spacing w:line="360" w:lineRule="auto"/>
              <w:rPr>
                <w:rFonts w:hint="eastAsia" w:ascii="宋体" w:hAnsi="宋体" w:eastAsia="宋体" w:cs="宋体"/>
                <w:snapToGrid w:val="0"/>
                <w:color w:val="auto"/>
                <w:kern w:val="0"/>
                <w:sz w:val="22"/>
                <w:highlight w:val="none"/>
              </w:rPr>
            </w:pPr>
          </w:p>
        </w:tc>
      </w:tr>
      <w:tr w14:paraId="6482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617C4FC7">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noWrap w:val="0"/>
            <w:vAlign w:val="center"/>
          </w:tcPr>
          <w:p w14:paraId="6C85A228">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noWrap w:val="0"/>
            <w:vAlign w:val="center"/>
          </w:tcPr>
          <w:p w14:paraId="2596E01B">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noWrap w:val="0"/>
            <w:vAlign w:val="center"/>
          </w:tcPr>
          <w:p w14:paraId="7369165D">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30832F76">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noWrap w:val="0"/>
            <w:vAlign w:val="center"/>
          </w:tcPr>
          <w:p w14:paraId="0DF21763">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75B8A3F8">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17393A73">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noWrap w:val="0"/>
            <w:vAlign w:val="center"/>
          </w:tcPr>
          <w:p w14:paraId="7F32622B">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noWrap w:val="0"/>
            <w:vAlign w:val="center"/>
          </w:tcPr>
          <w:p w14:paraId="3AD2C266">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3189C997">
            <w:pPr>
              <w:adjustRightInd w:val="0"/>
              <w:snapToGrid w:val="0"/>
              <w:spacing w:line="360" w:lineRule="auto"/>
              <w:rPr>
                <w:rFonts w:hint="eastAsia" w:ascii="宋体" w:hAnsi="宋体" w:eastAsia="宋体" w:cs="宋体"/>
                <w:snapToGrid w:val="0"/>
                <w:color w:val="auto"/>
                <w:kern w:val="0"/>
                <w:sz w:val="22"/>
                <w:highlight w:val="none"/>
              </w:rPr>
            </w:pPr>
          </w:p>
        </w:tc>
      </w:tr>
      <w:tr w14:paraId="11D5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4C7DA9EC">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noWrap w:val="0"/>
            <w:vAlign w:val="center"/>
          </w:tcPr>
          <w:p w14:paraId="3B22057B">
            <w:pPr>
              <w:adjustRightInd w:val="0"/>
              <w:snapToGrid w:val="0"/>
              <w:spacing w:line="360" w:lineRule="auto"/>
              <w:rPr>
                <w:rFonts w:hint="eastAsia" w:ascii="宋体" w:hAnsi="宋体" w:eastAsia="宋体" w:cs="宋体"/>
                <w:snapToGrid w:val="0"/>
                <w:color w:val="auto"/>
                <w:kern w:val="0"/>
                <w:sz w:val="22"/>
                <w:highlight w:val="none"/>
              </w:rPr>
            </w:pPr>
          </w:p>
        </w:tc>
        <w:tc>
          <w:tcPr>
            <w:tcW w:w="992" w:type="dxa"/>
            <w:noWrap w:val="0"/>
            <w:vAlign w:val="center"/>
          </w:tcPr>
          <w:p w14:paraId="075956A6">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noWrap w:val="0"/>
            <w:vAlign w:val="center"/>
          </w:tcPr>
          <w:p w14:paraId="1D8B9938">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30E6697A">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noWrap w:val="0"/>
            <w:vAlign w:val="center"/>
          </w:tcPr>
          <w:p w14:paraId="764D7A43">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3484E6B1">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5162700E">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noWrap w:val="0"/>
            <w:vAlign w:val="center"/>
          </w:tcPr>
          <w:p w14:paraId="3E2C0EC5">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noWrap w:val="0"/>
            <w:vAlign w:val="center"/>
          </w:tcPr>
          <w:p w14:paraId="641E2973">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70614D4C">
            <w:pPr>
              <w:adjustRightInd w:val="0"/>
              <w:snapToGrid w:val="0"/>
              <w:spacing w:line="360" w:lineRule="auto"/>
              <w:rPr>
                <w:rFonts w:hint="eastAsia" w:ascii="宋体" w:hAnsi="宋体" w:eastAsia="宋体" w:cs="宋体"/>
                <w:snapToGrid w:val="0"/>
                <w:color w:val="auto"/>
                <w:kern w:val="0"/>
                <w:sz w:val="22"/>
                <w:highlight w:val="none"/>
              </w:rPr>
            </w:pPr>
          </w:p>
        </w:tc>
      </w:tr>
      <w:tr w14:paraId="797A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noWrap w:val="0"/>
            <w:vAlign w:val="center"/>
          </w:tcPr>
          <w:p w14:paraId="5E037104">
            <w:pPr>
              <w:adjustRightInd w:val="0"/>
              <w:snapToGrid w:val="0"/>
              <w:spacing w:line="360" w:lineRule="auto"/>
              <w:rPr>
                <w:rFonts w:hint="eastAsia" w:ascii="宋体" w:hAnsi="宋体" w:eastAsia="宋体" w:cs="宋体"/>
                <w:snapToGrid w:val="0"/>
                <w:color w:val="auto"/>
                <w:kern w:val="0"/>
                <w:sz w:val="22"/>
                <w:highlight w:val="none"/>
              </w:rPr>
            </w:pPr>
          </w:p>
        </w:tc>
        <w:tc>
          <w:tcPr>
            <w:tcW w:w="712" w:type="dxa"/>
            <w:noWrap w:val="0"/>
            <w:vAlign w:val="center"/>
          </w:tcPr>
          <w:p w14:paraId="1E65B952">
            <w:pPr>
              <w:adjustRightInd w:val="0"/>
              <w:snapToGrid w:val="0"/>
              <w:spacing w:line="360" w:lineRule="auto"/>
              <w:jc w:val="center"/>
              <w:rPr>
                <w:rFonts w:hint="eastAsia" w:ascii="宋体" w:hAnsi="宋体" w:eastAsia="宋体" w:cs="宋体"/>
                <w:b/>
                <w:bCs/>
                <w:snapToGrid w:val="0"/>
                <w:color w:val="auto"/>
                <w:kern w:val="0"/>
                <w:sz w:val="22"/>
                <w:highlight w:val="none"/>
              </w:rPr>
            </w:pPr>
          </w:p>
        </w:tc>
        <w:tc>
          <w:tcPr>
            <w:tcW w:w="992" w:type="dxa"/>
            <w:noWrap w:val="0"/>
            <w:vAlign w:val="center"/>
          </w:tcPr>
          <w:p w14:paraId="69B48918">
            <w:pPr>
              <w:adjustRightInd w:val="0"/>
              <w:snapToGrid w:val="0"/>
              <w:spacing w:line="360" w:lineRule="auto"/>
              <w:rPr>
                <w:rFonts w:hint="eastAsia" w:ascii="宋体" w:hAnsi="宋体" w:eastAsia="宋体" w:cs="宋体"/>
                <w:snapToGrid w:val="0"/>
                <w:color w:val="auto"/>
                <w:kern w:val="0"/>
                <w:sz w:val="22"/>
                <w:highlight w:val="none"/>
              </w:rPr>
            </w:pPr>
          </w:p>
        </w:tc>
        <w:tc>
          <w:tcPr>
            <w:tcW w:w="808" w:type="dxa"/>
            <w:noWrap w:val="0"/>
            <w:vAlign w:val="center"/>
          </w:tcPr>
          <w:p w14:paraId="3DB705A1">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06584E93">
            <w:pPr>
              <w:adjustRightInd w:val="0"/>
              <w:snapToGrid w:val="0"/>
              <w:spacing w:line="360" w:lineRule="auto"/>
              <w:rPr>
                <w:rFonts w:hint="eastAsia" w:ascii="宋体" w:hAnsi="宋体" w:eastAsia="宋体" w:cs="宋体"/>
                <w:snapToGrid w:val="0"/>
                <w:color w:val="auto"/>
                <w:kern w:val="0"/>
                <w:sz w:val="22"/>
                <w:highlight w:val="none"/>
              </w:rPr>
            </w:pPr>
          </w:p>
        </w:tc>
        <w:tc>
          <w:tcPr>
            <w:tcW w:w="1238" w:type="dxa"/>
            <w:noWrap w:val="0"/>
            <w:vAlign w:val="center"/>
          </w:tcPr>
          <w:p w14:paraId="62CF3388">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41527158">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675" w:type="dxa"/>
            <w:noWrap w:val="0"/>
            <w:vAlign w:val="center"/>
          </w:tcPr>
          <w:p w14:paraId="1E6CE313">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1237" w:type="dxa"/>
            <w:noWrap w:val="0"/>
            <w:vAlign w:val="center"/>
          </w:tcPr>
          <w:p w14:paraId="2F78BDAC">
            <w:pPr>
              <w:adjustRightInd w:val="0"/>
              <w:snapToGrid w:val="0"/>
              <w:spacing w:line="360" w:lineRule="auto"/>
              <w:rPr>
                <w:rFonts w:hint="eastAsia" w:ascii="宋体" w:hAnsi="宋体" w:eastAsia="宋体" w:cs="宋体"/>
                <w:snapToGrid w:val="0"/>
                <w:color w:val="auto"/>
                <w:kern w:val="0"/>
                <w:sz w:val="22"/>
                <w:highlight w:val="none"/>
              </w:rPr>
            </w:pPr>
          </w:p>
        </w:tc>
        <w:tc>
          <w:tcPr>
            <w:tcW w:w="1350" w:type="dxa"/>
            <w:noWrap w:val="0"/>
            <w:vAlign w:val="center"/>
          </w:tcPr>
          <w:p w14:paraId="6FEE198C">
            <w:pPr>
              <w:adjustRightInd w:val="0"/>
              <w:snapToGrid w:val="0"/>
              <w:spacing w:line="360" w:lineRule="auto"/>
              <w:rPr>
                <w:rFonts w:hint="eastAsia" w:ascii="宋体" w:hAnsi="宋体" w:eastAsia="宋体" w:cs="宋体"/>
                <w:snapToGrid w:val="0"/>
                <w:color w:val="auto"/>
                <w:kern w:val="0"/>
                <w:sz w:val="22"/>
                <w:highlight w:val="none"/>
              </w:rPr>
            </w:pPr>
          </w:p>
        </w:tc>
        <w:tc>
          <w:tcPr>
            <w:tcW w:w="656" w:type="dxa"/>
            <w:noWrap w:val="0"/>
            <w:vAlign w:val="center"/>
          </w:tcPr>
          <w:p w14:paraId="58A09D99">
            <w:pPr>
              <w:adjustRightInd w:val="0"/>
              <w:snapToGrid w:val="0"/>
              <w:spacing w:line="360" w:lineRule="auto"/>
              <w:rPr>
                <w:rFonts w:hint="eastAsia" w:ascii="宋体" w:hAnsi="宋体" w:eastAsia="宋体" w:cs="宋体"/>
                <w:snapToGrid w:val="0"/>
                <w:color w:val="auto"/>
                <w:kern w:val="0"/>
                <w:sz w:val="22"/>
                <w:highlight w:val="none"/>
              </w:rPr>
            </w:pPr>
          </w:p>
        </w:tc>
      </w:tr>
    </w:tbl>
    <w:p w14:paraId="702A0065">
      <w:pPr>
        <w:pStyle w:val="14"/>
        <w:snapToGrid w:val="0"/>
        <w:spacing w:line="360" w:lineRule="auto"/>
        <w:rPr>
          <w:rFonts w:hint="eastAsia" w:ascii="宋体" w:hAnsi="宋体" w:eastAsia="宋体" w:cs="宋体"/>
          <w:color w:val="auto"/>
          <w:kern w:val="0"/>
          <w:sz w:val="22"/>
          <w:highlight w:val="none"/>
        </w:rPr>
      </w:pPr>
    </w:p>
    <w:p w14:paraId="0033B7D6">
      <w:pPr>
        <w:adjustRightInd w:val="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注：投标人根据实际情况填写</w:t>
      </w:r>
    </w:p>
    <w:p w14:paraId="2F29A814">
      <w:pPr>
        <w:widowControl/>
        <w:spacing w:line="400" w:lineRule="exact"/>
        <w:rPr>
          <w:rFonts w:hint="eastAsia" w:ascii="宋体" w:hAnsi="宋体" w:eastAsia="宋体" w:cs="宋体"/>
          <w:color w:val="auto"/>
          <w:kern w:val="0"/>
          <w:sz w:val="24"/>
          <w:szCs w:val="24"/>
          <w:highlight w:val="none"/>
        </w:rPr>
      </w:pPr>
    </w:p>
    <w:p w14:paraId="2003CCC7">
      <w:pPr>
        <w:widowControl/>
        <w:spacing w:line="40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w:t>
      </w:r>
      <w:r>
        <w:rPr>
          <w:rFonts w:hint="eastAsia" w:ascii="宋体" w:hAnsi="宋体" w:eastAsia="宋体" w:cs="宋体"/>
          <w:color w:val="auto"/>
          <w:kern w:val="0"/>
          <w:sz w:val="24"/>
          <w:szCs w:val="24"/>
          <w:highlight w:val="none"/>
          <w:lang w:eastAsia="zh-CN"/>
        </w:rPr>
        <w:t>公章或电子签章</w:t>
      </w:r>
      <w:r>
        <w:rPr>
          <w:rFonts w:hint="eastAsia" w:ascii="宋体" w:hAnsi="宋体" w:eastAsia="宋体" w:cs="宋体"/>
          <w:color w:val="auto"/>
          <w:kern w:val="0"/>
          <w:sz w:val="24"/>
          <w:szCs w:val="24"/>
          <w:highlight w:val="none"/>
        </w:rPr>
        <w:t>)：</w:t>
      </w:r>
    </w:p>
    <w:p w14:paraId="29116BE2">
      <w:pPr>
        <w:widowControl/>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法定代表人或授权代表(签字或盖章)：</w:t>
      </w:r>
    </w:p>
    <w:p w14:paraId="6D5ADF48">
      <w:pPr>
        <w:snapToGrid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553B8CFE">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293DF6A1">
      <w:pPr>
        <w:rPr>
          <w:rFonts w:hint="eastAsia" w:ascii="宋体" w:hAnsi="宋体" w:eastAsia="宋体" w:cs="宋体"/>
          <w:b/>
          <w:color w:val="auto"/>
          <w:spacing w:val="-6"/>
          <w:sz w:val="24"/>
          <w:highlight w:val="none"/>
          <w:lang w:val="en-US" w:eastAsia="zh-CN"/>
        </w:rPr>
      </w:pPr>
      <w:r>
        <w:rPr>
          <w:rFonts w:hint="eastAsia" w:ascii="宋体" w:hAnsi="宋体" w:eastAsia="宋体" w:cs="宋体"/>
          <w:b/>
          <w:color w:val="auto"/>
          <w:sz w:val="24"/>
          <w:szCs w:val="24"/>
          <w:highlight w:val="none"/>
        </w:rPr>
        <w:t>附件1</w:t>
      </w:r>
      <w:r>
        <w:rPr>
          <w:rFonts w:hint="eastAsia" w:ascii="宋体" w:hAnsi="宋体" w:eastAsia="宋体" w:cs="宋体"/>
          <w:b/>
          <w:color w:val="auto"/>
          <w:sz w:val="24"/>
          <w:szCs w:val="24"/>
          <w:highlight w:val="none"/>
          <w:lang w:val="en-US" w:eastAsia="zh-CN"/>
        </w:rPr>
        <w:t>4</w:t>
      </w:r>
    </w:p>
    <w:p w14:paraId="3548612C">
      <w:pPr>
        <w:widowControl/>
        <w:spacing w:line="315" w:lineRule="atLeast"/>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质保期外年维保报价</w:t>
      </w:r>
    </w:p>
    <w:p w14:paraId="4965938D">
      <w:pPr>
        <w:pStyle w:val="14"/>
        <w:snapToGrid w:val="0"/>
        <w:spacing w:line="288" w:lineRule="auto"/>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标项名称：                                            项目编号：                  </w:t>
      </w:r>
    </w:p>
    <w:p w14:paraId="0C292E26">
      <w:pPr>
        <w:pStyle w:val="14"/>
        <w:snapToGrid w:val="0"/>
        <w:spacing w:line="288" w:lineRule="auto"/>
        <w:jc w:val="right"/>
        <w:rPr>
          <w:rFonts w:hint="eastAsia" w:ascii="宋体" w:hAnsi="宋体" w:eastAsia="宋体" w:cs="宋体"/>
          <w:color w:val="auto"/>
          <w:kern w:val="0"/>
          <w:sz w:val="22"/>
          <w:highlight w:val="none"/>
        </w:rPr>
      </w:pPr>
      <w:r>
        <w:rPr>
          <w:rFonts w:hint="eastAsia" w:ascii="宋体" w:hAnsi="宋体" w:eastAsia="宋体" w:cs="宋体"/>
          <w:color w:val="auto"/>
          <w:spacing w:val="-6"/>
          <w:sz w:val="22"/>
          <w:highlight w:val="none"/>
        </w:rPr>
        <w:t>金额单位：人民币（元）</w:t>
      </w:r>
    </w:p>
    <w:tbl>
      <w:tblPr>
        <w:tblStyle w:val="32"/>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056"/>
        <w:gridCol w:w="2635"/>
        <w:gridCol w:w="1416"/>
      </w:tblGrid>
      <w:tr w14:paraId="0C4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14:paraId="35263798">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序号</w:t>
            </w:r>
          </w:p>
        </w:tc>
        <w:tc>
          <w:tcPr>
            <w:tcW w:w="3056" w:type="dxa"/>
            <w:noWrap w:val="0"/>
            <w:vAlign w:val="center"/>
          </w:tcPr>
          <w:p w14:paraId="59CAE68E">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内容</w:t>
            </w:r>
          </w:p>
        </w:tc>
        <w:tc>
          <w:tcPr>
            <w:tcW w:w="2635" w:type="dxa"/>
            <w:noWrap w:val="0"/>
            <w:vAlign w:val="center"/>
          </w:tcPr>
          <w:p w14:paraId="41A149E2">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报价（元）</w:t>
            </w:r>
          </w:p>
        </w:tc>
        <w:tc>
          <w:tcPr>
            <w:tcW w:w="1416" w:type="dxa"/>
            <w:noWrap w:val="0"/>
            <w:vAlign w:val="center"/>
          </w:tcPr>
          <w:p w14:paraId="1F217942">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备注</w:t>
            </w:r>
          </w:p>
        </w:tc>
      </w:tr>
      <w:tr w14:paraId="2D6A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14:paraId="1222ADA6">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noWrap w:val="0"/>
            <w:vAlign w:val="center"/>
          </w:tcPr>
          <w:p w14:paraId="15B77DCB">
            <w:pPr>
              <w:adjustRightInd w:val="0"/>
              <w:snapToGrid w:val="0"/>
              <w:spacing w:line="360" w:lineRule="auto"/>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质保期外1年维保服务</w:t>
            </w:r>
          </w:p>
        </w:tc>
        <w:tc>
          <w:tcPr>
            <w:tcW w:w="2635" w:type="dxa"/>
            <w:noWrap w:val="0"/>
            <w:vAlign w:val="center"/>
          </w:tcPr>
          <w:p w14:paraId="3D57D1E3">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noWrap w:val="0"/>
            <w:vAlign w:val="center"/>
          </w:tcPr>
          <w:p w14:paraId="571C6985">
            <w:pPr>
              <w:adjustRightInd w:val="0"/>
              <w:snapToGrid w:val="0"/>
              <w:spacing w:line="360" w:lineRule="auto"/>
              <w:rPr>
                <w:rFonts w:hint="eastAsia" w:ascii="宋体" w:hAnsi="宋体" w:eastAsia="宋体" w:cs="宋体"/>
                <w:snapToGrid w:val="0"/>
                <w:color w:val="auto"/>
                <w:kern w:val="0"/>
                <w:sz w:val="22"/>
                <w:highlight w:val="none"/>
              </w:rPr>
            </w:pPr>
          </w:p>
        </w:tc>
      </w:tr>
      <w:tr w14:paraId="4790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14:paraId="4123ED92">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noWrap w:val="0"/>
            <w:vAlign w:val="center"/>
          </w:tcPr>
          <w:p w14:paraId="66712BAC">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noWrap w:val="0"/>
            <w:vAlign w:val="center"/>
          </w:tcPr>
          <w:p w14:paraId="63FA7B95">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noWrap w:val="0"/>
            <w:vAlign w:val="center"/>
          </w:tcPr>
          <w:p w14:paraId="3104952E">
            <w:pPr>
              <w:adjustRightInd w:val="0"/>
              <w:snapToGrid w:val="0"/>
              <w:spacing w:line="360" w:lineRule="auto"/>
              <w:rPr>
                <w:rFonts w:hint="eastAsia" w:ascii="宋体" w:hAnsi="宋体" w:eastAsia="宋体" w:cs="宋体"/>
                <w:snapToGrid w:val="0"/>
                <w:color w:val="auto"/>
                <w:kern w:val="0"/>
                <w:sz w:val="22"/>
                <w:highlight w:val="none"/>
              </w:rPr>
            </w:pPr>
          </w:p>
        </w:tc>
      </w:tr>
      <w:tr w14:paraId="1FE1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14:paraId="38361CB9">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noWrap w:val="0"/>
            <w:vAlign w:val="center"/>
          </w:tcPr>
          <w:p w14:paraId="52BF82D1">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noWrap w:val="0"/>
            <w:vAlign w:val="center"/>
          </w:tcPr>
          <w:p w14:paraId="25C446F3">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noWrap w:val="0"/>
            <w:vAlign w:val="center"/>
          </w:tcPr>
          <w:p w14:paraId="2F1F558D">
            <w:pPr>
              <w:adjustRightInd w:val="0"/>
              <w:snapToGrid w:val="0"/>
              <w:spacing w:line="360" w:lineRule="auto"/>
              <w:rPr>
                <w:rFonts w:hint="eastAsia" w:ascii="宋体" w:hAnsi="宋体" w:eastAsia="宋体" w:cs="宋体"/>
                <w:snapToGrid w:val="0"/>
                <w:color w:val="auto"/>
                <w:kern w:val="0"/>
                <w:sz w:val="22"/>
                <w:highlight w:val="none"/>
              </w:rPr>
            </w:pPr>
          </w:p>
        </w:tc>
      </w:tr>
      <w:tr w14:paraId="0014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14:paraId="034E1C9D">
            <w:pPr>
              <w:pStyle w:val="15"/>
              <w:adjustRightInd w:val="0"/>
              <w:snapToGrid w:val="0"/>
              <w:spacing w:line="360" w:lineRule="auto"/>
              <w:ind w:left="5250" w:leftChars="0"/>
              <w:jc w:val="center"/>
              <w:rPr>
                <w:rFonts w:hint="eastAsia" w:ascii="宋体" w:hAnsi="宋体" w:eastAsia="宋体" w:cs="宋体"/>
                <w:snapToGrid w:val="0"/>
                <w:color w:val="auto"/>
                <w:kern w:val="0"/>
                <w:sz w:val="22"/>
                <w:szCs w:val="22"/>
                <w:highlight w:val="none"/>
              </w:rPr>
            </w:pPr>
          </w:p>
        </w:tc>
        <w:tc>
          <w:tcPr>
            <w:tcW w:w="3056" w:type="dxa"/>
            <w:noWrap w:val="0"/>
            <w:vAlign w:val="center"/>
          </w:tcPr>
          <w:p w14:paraId="1A1A8647">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noWrap w:val="0"/>
            <w:vAlign w:val="center"/>
          </w:tcPr>
          <w:p w14:paraId="1844DE1E">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noWrap w:val="0"/>
            <w:vAlign w:val="center"/>
          </w:tcPr>
          <w:p w14:paraId="58D49418">
            <w:pPr>
              <w:adjustRightInd w:val="0"/>
              <w:snapToGrid w:val="0"/>
              <w:spacing w:line="360" w:lineRule="auto"/>
              <w:rPr>
                <w:rFonts w:hint="eastAsia" w:ascii="宋体" w:hAnsi="宋体" w:eastAsia="宋体" w:cs="宋体"/>
                <w:snapToGrid w:val="0"/>
                <w:color w:val="auto"/>
                <w:kern w:val="0"/>
                <w:sz w:val="22"/>
                <w:highlight w:val="none"/>
              </w:rPr>
            </w:pPr>
          </w:p>
        </w:tc>
      </w:tr>
      <w:tr w14:paraId="6369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624" w:type="dxa"/>
            <w:noWrap w:val="0"/>
            <w:vAlign w:val="center"/>
          </w:tcPr>
          <w:p w14:paraId="7639BD4E">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noWrap w:val="0"/>
            <w:vAlign w:val="center"/>
          </w:tcPr>
          <w:p w14:paraId="62E4AEF2">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noWrap w:val="0"/>
            <w:vAlign w:val="center"/>
          </w:tcPr>
          <w:p w14:paraId="744027DF">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noWrap w:val="0"/>
            <w:vAlign w:val="center"/>
          </w:tcPr>
          <w:p w14:paraId="777909C0">
            <w:pPr>
              <w:adjustRightInd w:val="0"/>
              <w:snapToGrid w:val="0"/>
              <w:spacing w:line="360" w:lineRule="auto"/>
              <w:rPr>
                <w:rFonts w:hint="eastAsia" w:ascii="宋体" w:hAnsi="宋体" w:eastAsia="宋体" w:cs="宋体"/>
                <w:snapToGrid w:val="0"/>
                <w:color w:val="auto"/>
                <w:kern w:val="0"/>
                <w:sz w:val="22"/>
                <w:highlight w:val="none"/>
              </w:rPr>
            </w:pPr>
          </w:p>
        </w:tc>
      </w:tr>
      <w:tr w14:paraId="2C43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14:paraId="02880C68">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noWrap w:val="0"/>
            <w:vAlign w:val="center"/>
          </w:tcPr>
          <w:p w14:paraId="42FF46B1">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noWrap w:val="0"/>
            <w:vAlign w:val="center"/>
          </w:tcPr>
          <w:p w14:paraId="38E5CD8F">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noWrap w:val="0"/>
            <w:vAlign w:val="center"/>
          </w:tcPr>
          <w:p w14:paraId="50DAA693">
            <w:pPr>
              <w:adjustRightInd w:val="0"/>
              <w:snapToGrid w:val="0"/>
              <w:spacing w:line="360" w:lineRule="auto"/>
              <w:rPr>
                <w:rFonts w:hint="eastAsia" w:ascii="宋体" w:hAnsi="宋体" w:eastAsia="宋体" w:cs="宋体"/>
                <w:snapToGrid w:val="0"/>
                <w:color w:val="auto"/>
                <w:kern w:val="0"/>
                <w:sz w:val="22"/>
                <w:highlight w:val="none"/>
              </w:rPr>
            </w:pPr>
          </w:p>
        </w:tc>
      </w:tr>
      <w:tr w14:paraId="487A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14:paraId="0E90BD47">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noWrap w:val="0"/>
            <w:vAlign w:val="center"/>
          </w:tcPr>
          <w:p w14:paraId="3C6C78B4">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noWrap w:val="0"/>
            <w:vAlign w:val="center"/>
          </w:tcPr>
          <w:p w14:paraId="3AF6EA05">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noWrap w:val="0"/>
            <w:vAlign w:val="center"/>
          </w:tcPr>
          <w:p w14:paraId="27AE53A4">
            <w:pPr>
              <w:adjustRightInd w:val="0"/>
              <w:snapToGrid w:val="0"/>
              <w:spacing w:line="360" w:lineRule="auto"/>
              <w:rPr>
                <w:rFonts w:hint="eastAsia" w:ascii="宋体" w:hAnsi="宋体" w:eastAsia="宋体" w:cs="宋体"/>
                <w:snapToGrid w:val="0"/>
                <w:color w:val="auto"/>
                <w:kern w:val="0"/>
                <w:sz w:val="22"/>
                <w:highlight w:val="none"/>
              </w:rPr>
            </w:pPr>
          </w:p>
        </w:tc>
      </w:tr>
      <w:tr w14:paraId="07BE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14:paraId="6877026A">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3056" w:type="dxa"/>
            <w:noWrap w:val="0"/>
            <w:vAlign w:val="center"/>
          </w:tcPr>
          <w:p w14:paraId="4F33ED6C">
            <w:pPr>
              <w:adjustRightInd w:val="0"/>
              <w:snapToGrid w:val="0"/>
              <w:spacing w:line="360" w:lineRule="auto"/>
              <w:jc w:val="center"/>
              <w:rPr>
                <w:rFonts w:hint="eastAsia" w:ascii="宋体" w:hAnsi="宋体" w:eastAsia="宋体" w:cs="宋体"/>
                <w:snapToGrid w:val="0"/>
                <w:color w:val="auto"/>
                <w:kern w:val="0"/>
                <w:sz w:val="22"/>
                <w:highlight w:val="none"/>
              </w:rPr>
            </w:pPr>
          </w:p>
        </w:tc>
        <w:tc>
          <w:tcPr>
            <w:tcW w:w="2635" w:type="dxa"/>
            <w:noWrap w:val="0"/>
            <w:vAlign w:val="center"/>
          </w:tcPr>
          <w:p w14:paraId="2D882FD9">
            <w:pPr>
              <w:adjustRightInd w:val="0"/>
              <w:snapToGrid w:val="0"/>
              <w:spacing w:line="360" w:lineRule="auto"/>
              <w:rPr>
                <w:rFonts w:hint="eastAsia" w:ascii="宋体" w:hAnsi="宋体" w:eastAsia="宋体" w:cs="宋体"/>
                <w:snapToGrid w:val="0"/>
                <w:color w:val="auto"/>
                <w:kern w:val="0"/>
                <w:sz w:val="22"/>
                <w:highlight w:val="none"/>
              </w:rPr>
            </w:pPr>
          </w:p>
        </w:tc>
        <w:tc>
          <w:tcPr>
            <w:tcW w:w="1416" w:type="dxa"/>
            <w:noWrap w:val="0"/>
            <w:vAlign w:val="center"/>
          </w:tcPr>
          <w:p w14:paraId="427AD6CC">
            <w:pPr>
              <w:adjustRightInd w:val="0"/>
              <w:snapToGrid w:val="0"/>
              <w:spacing w:line="360" w:lineRule="auto"/>
              <w:rPr>
                <w:rFonts w:hint="eastAsia" w:ascii="宋体" w:hAnsi="宋体" w:eastAsia="宋体" w:cs="宋体"/>
                <w:snapToGrid w:val="0"/>
                <w:color w:val="auto"/>
                <w:kern w:val="0"/>
                <w:sz w:val="22"/>
                <w:highlight w:val="none"/>
              </w:rPr>
            </w:pPr>
          </w:p>
        </w:tc>
      </w:tr>
    </w:tbl>
    <w:p w14:paraId="409C550B">
      <w:pPr>
        <w:pStyle w:val="14"/>
        <w:snapToGrid w:val="0"/>
        <w:spacing w:line="360" w:lineRule="auto"/>
        <w:rPr>
          <w:rFonts w:hint="eastAsia" w:ascii="宋体" w:hAnsi="宋体" w:eastAsia="宋体" w:cs="宋体"/>
          <w:color w:val="auto"/>
          <w:kern w:val="0"/>
          <w:sz w:val="22"/>
          <w:highlight w:val="none"/>
        </w:rPr>
      </w:pPr>
    </w:p>
    <w:p w14:paraId="2CAD1BCD">
      <w:pPr>
        <w:adjustRightInd w:val="0"/>
        <w:snapToGrid w:val="0"/>
        <w:spacing w:line="360" w:lineRule="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注：供应商根据实际情况填写</w:t>
      </w:r>
    </w:p>
    <w:p w14:paraId="4FA79317">
      <w:pPr>
        <w:widowControl/>
        <w:spacing w:line="400" w:lineRule="exact"/>
        <w:rPr>
          <w:rFonts w:hint="eastAsia" w:ascii="宋体" w:hAnsi="宋体" w:eastAsia="宋体" w:cs="宋体"/>
          <w:color w:val="auto"/>
          <w:kern w:val="0"/>
          <w:sz w:val="24"/>
          <w:szCs w:val="24"/>
          <w:highlight w:val="none"/>
        </w:rPr>
      </w:pPr>
    </w:p>
    <w:p w14:paraId="44529779">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w:t>
      </w:r>
      <w:r>
        <w:rPr>
          <w:rFonts w:hint="eastAsia" w:ascii="宋体" w:hAnsi="宋体" w:eastAsia="宋体" w:cs="宋体"/>
          <w:color w:val="auto"/>
          <w:kern w:val="0"/>
          <w:sz w:val="22"/>
          <w:highlight w:val="none"/>
          <w:lang w:eastAsia="zh-CN"/>
        </w:rPr>
        <w:t>公章或电子签章</w:t>
      </w:r>
      <w:r>
        <w:rPr>
          <w:rFonts w:hint="eastAsia" w:ascii="宋体" w:hAnsi="宋体" w:eastAsia="宋体" w:cs="宋体"/>
          <w:color w:val="auto"/>
          <w:kern w:val="0"/>
          <w:sz w:val="22"/>
          <w:highlight w:val="none"/>
        </w:rPr>
        <w:t>)：</w:t>
      </w:r>
    </w:p>
    <w:p w14:paraId="653E6678">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14:paraId="3F03F9B0">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14:paraId="6A3B778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AE8D63C">
      <w:pPr>
        <w:spacing w:line="400" w:lineRule="exact"/>
        <w:rPr>
          <w:rFonts w:hint="eastAsia" w:ascii="宋体" w:hAnsi="宋体" w:eastAsia="宋体" w:cs="宋体"/>
          <w:b/>
          <w:color w:val="auto"/>
          <w:spacing w:val="-6"/>
          <w:sz w:val="24"/>
          <w:highlight w:val="none"/>
          <w:lang w:val="en-US" w:eastAsia="zh-CN"/>
        </w:rPr>
      </w:pPr>
      <w:r>
        <w:rPr>
          <w:rFonts w:hint="eastAsia" w:ascii="宋体" w:hAnsi="宋体" w:eastAsia="宋体" w:cs="宋体"/>
          <w:b/>
          <w:color w:val="auto"/>
          <w:sz w:val="24"/>
          <w:szCs w:val="24"/>
          <w:highlight w:val="none"/>
        </w:rPr>
        <w:t>附件1</w:t>
      </w:r>
      <w:r>
        <w:rPr>
          <w:rFonts w:hint="eastAsia" w:ascii="宋体" w:hAnsi="宋体" w:eastAsia="宋体" w:cs="宋体"/>
          <w:b/>
          <w:color w:val="auto"/>
          <w:sz w:val="24"/>
          <w:szCs w:val="24"/>
          <w:highlight w:val="none"/>
          <w:lang w:val="en-US" w:eastAsia="zh-CN"/>
        </w:rPr>
        <w:t>5</w:t>
      </w:r>
    </w:p>
    <w:p w14:paraId="14E17346">
      <w:pPr>
        <w:spacing w:line="400" w:lineRule="exact"/>
        <w:jc w:val="center"/>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投标</w:t>
      </w:r>
      <w:r>
        <w:rPr>
          <w:rFonts w:hint="eastAsia" w:ascii="宋体" w:hAnsi="宋体" w:eastAsia="宋体" w:cs="宋体"/>
          <w:b/>
          <w:bCs/>
          <w:color w:val="auto"/>
          <w:sz w:val="24"/>
          <w:szCs w:val="24"/>
          <w:highlight w:val="none"/>
        </w:rPr>
        <w:t>产品</w:t>
      </w:r>
      <w:r>
        <w:rPr>
          <w:rFonts w:hint="eastAsia" w:ascii="宋体" w:hAnsi="宋体" w:eastAsia="宋体" w:cs="宋体"/>
          <w:b/>
          <w:color w:val="auto"/>
          <w:spacing w:val="-6"/>
          <w:sz w:val="24"/>
          <w:highlight w:val="none"/>
        </w:rPr>
        <w:t>技术支持材料</w:t>
      </w:r>
    </w:p>
    <w:p w14:paraId="57D31C3C">
      <w:pPr>
        <w:spacing w:line="400" w:lineRule="exact"/>
        <w:rPr>
          <w:rFonts w:hint="eastAsia" w:ascii="宋体" w:hAnsi="宋体" w:eastAsia="宋体" w:cs="宋体"/>
          <w:b/>
          <w:color w:val="auto"/>
          <w:spacing w:val="-6"/>
          <w:sz w:val="24"/>
          <w:highlight w:val="none"/>
        </w:rPr>
      </w:pPr>
    </w:p>
    <w:p w14:paraId="4F3DFBA3">
      <w:pPr>
        <w:spacing w:line="400" w:lineRule="exact"/>
        <w:rPr>
          <w:rFonts w:hint="eastAsia" w:ascii="宋体" w:hAnsi="宋体" w:eastAsia="宋体" w:cs="宋体"/>
          <w:b/>
          <w:color w:val="auto"/>
          <w:spacing w:val="-6"/>
          <w:sz w:val="24"/>
          <w:highlight w:val="none"/>
        </w:rPr>
      </w:pPr>
    </w:p>
    <w:p w14:paraId="28F9514A">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说明：</w:t>
      </w:r>
    </w:p>
    <w:p w14:paraId="4A6A6F92">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1.投标人提供技术支持资料以证明其对技术指标的应答；</w:t>
      </w:r>
    </w:p>
    <w:p w14:paraId="02D78041">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2.技术支持资料应是制造商公开发布的印刷资料（彩页、Datasheet）或由有关政府部门或检测机构合法出具的文件或报告；</w:t>
      </w:r>
    </w:p>
    <w:p w14:paraId="463F0AE9">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3.不符合上述要求的资料，可被视为是无效的技术支持资料；</w:t>
      </w:r>
    </w:p>
    <w:p w14:paraId="2F63CAC4">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4.如上述资料之间存在不一致的，以有关政府部门或检测机构合法出具的文件或报告为准；</w:t>
      </w:r>
    </w:p>
    <w:p w14:paraId="73752466">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5.若对技术指标的应答无技术支持资料证明，评审小组可不予承认，并可认为该应答不符合招标文件要求，将作出不利于投标人的技术评审，其后果将由投标人自行承担；</w:t>
      </w:r>
    </w:p>
    <w:p w14:paraId="20D5AAD7">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6.投标人可提供同等于或优于招标文件要求的产品和服务。</w:t>
      </w:r>
    </w:p>
    <w:p w14:paraId="703F40DE">
      <w:pPr>
        <w:spacing w:line="400" w:lineRule="exac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7.投标人不得提供虚假材料（包括伪造、变造证书、合同等）谋取中标、成交。投标人投标（响应）产品规格型号与官网公布的产品规格型号一致，但技术参数不一致的，应当在投标（响应）文件中阐述技术参数不一致的原因，以及通过何种技术路线来实现投标（响应）产品技术参数。</w:t>
      </w:r>
    </w:p>
    <w:p w14:paraId="1F462467">
      <w:pPr>
        <w:spacing w:line="400" w:lineRule="exact"/>
        <w:rPr>
          <w:rFonts w:hint="eastAsia" w:ascii="宋体" w:hAnsi="宋体" w:eastAsia="宋体" w:cs="宋体"/>
          <w:b/>
          <w:color w:val="auto"/>
          <w:sz w:val="24"/>
          <w:szCs w:val="24"/>
          <w:highlight w:val="none"/>
        </w:rPr>
      </w:pPr>
    </w:p>
    <w:p w14:paraId="56FA9883">
      <w:pPr>
        <w:rPr>
          <w:rFonts w:hint="eastAsia" w:ascii="宋体" w:hAnsi="宋体" w:eastAsia="宋体" w:cs="宋体"/>
          <w:b/>
          <w:color w:val="auto"/>
          <w:sz w:val="24"/>
          <w:szCs w:val="24"/>
          <w:highlight w:val="none"/>
        </w:rPr>
      </w:pPr>
    </w:p>
    <w:p w14:paraId="11A6BA0B">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附件1</w:t>
      </w:r>
      <w:r>
        <w:rPr>
          <w:rFonts w:hint="eastAsia" w:ascii="宋体" w:hAnsi="宋体" w:eastAsia="宋体" w:cs="宋体"/>
          <w:b/>
          <w:color w:val="auto"/>
          <w:sz w:val="24"/>
          <w:szCs w:val="24"/>
          <w:highlight w:val="none"/>
          <w:lang w:val="en-US" w:eastAsia="zh-CN"/>
        </w:rPr>
        <w:t>6</w:t>
      </w:r>
    </w:p>
    <w:p w14:paraId="7B2FF0CA">
      <w:pPr>
        <w:spacing w:line="400" w:lineRule="exact"/>
        <w:jc w:val="center"/>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廉政承诺书</w:t>
      </w:r>
    </w:p>
    <w:p w14:paraId="3363802D">
      <w:pPr>
        <w:tabs>
          <w:tab w:val="left" w:pos="360"/>
        </w:tabs>
        <w:spacing w:line="4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温州市第七人民医院</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浙江乐诚工程咨询有限公司</w:t>
      </w:r>
      <w:r>
        <w:rPr>
          <w:rFonts w:hint="eastAsia" w:ascii="宋体" w:hAnsi="宋体" w:eastAsia="宋体" w:cs="宋体"/>
          <w:color w:val="auto"/>
          <w:sz w:val="22"/>
          <w:highlight w:val="none"/>
        </w:rPr>
        <w:t>：</w:t>
      </w:r>
    </w:p>
    <w:p w14:paraId="00802351">
      <w:pPr>
        <w:tabs>
          <w:tab w:val="left" w:pos="360"/>
        </w:tabs>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为加强采购活动中的廉政建设，防止发生违法违纪行为，体现公开、公平、公正的原则，根据国家有关法律、法规和廉政建设责任制的规定，本投标人特作如下承诺：</w:t>
      </w:r>
    </w:p>
    <w:p w14:paraId="2E2C8E55">
      <w:pPr>
        <w:tabs>
          <w:tab w:val="left" w:pos="360"/>
        </w:tabs>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一、不与</w:t>
      </w:r>
      <w:r>
        <w:rPr>
          <w:rFonts w:hint="eastAsia" w:ascii="宋体" w:hAnsi="宋体" w:eastAsia="宋体" w:cs="宋体"/>
          <w:color w:val="auto"/>
          <w:sz w:val="22"/>
          <w:highlight w:val="none"/>
          <w:lang w:eastAsia="zh-CN"/>
        </w:rPr>
        <w:t>采购人</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采购代理机构</w:t>
      </w:r>
      <w:r>
        <w:rPr>
          <w:rFonts w:hint="eastAsia" w:ascii="宋体" w:hAnsi="宋体" w:eastAsia="宋体" w:cs="宋体"/>
          <w:color w:val="auto"/>
          <w:sz w:val="22"/>
          <w:highlight w:val="none"/>
        </w:rPr>
        <w:t>及其他投标人私下串通协商，进行围标、串标、抬标、控制投标价格。</w:t>
      </w:r>
    </w:p>
    <w:p w14:paraId="39EFEA71">
      <w:pPr>
        <w:tabs>
          <w:tab w:val="left" w:pos="360"/>
        </w:tabs>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二、不向</w:t>
      </w:r>
      <w:r>
        <w:rPr>
          <w:rFonts w:hint="eastAsia" w:ascii="宋体" w:hAnsi="宋体" w:eastAsia="宋体" w:cs="宋体"/>
          <w:color w:val="auto"/>
          <w:sz w:val="22"/>
          <w:highlight w:val="none"/>
          <w:lang w:eastAsia="zh-CN"/>
        </w:rPr>
        <w:t>采购人</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采购代理机构</w:t>
      </w:r>
      <w:r>
        <w:rPr>
          <w:rFonts w:hint="eastAsia" w:ascii="宋体" w:hAnsi="宋体" w:eastAsia="宋体" w:cs="宋体"/>
          <w:color w:val="auto"/>
          <w:sz w:val="22"/>
          <w:highlight w:val="none"/>
        </w:rPr>
        <w:t>、评标专家行贿，以不正当手段谋取中标。</w:t>
      </w:r>
    </w:p>
    <w:p w14:paraId="071B87D8">
      <w:pPr>
        <w:tabs>
          <w:tab w:val="left" w:pos="360"/>
        </w:tabs>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三、不向监管人员请客、送礼及组织其他有可能影响客观公正监管的活动。</w:t>
      </w:r>
    </w:p>
    <w:p w14:paraId="1026CEDD">
      <w:pPr>
        <w:tabs>
          <w:tab w:val="left" w:pos="360"/>
        </w:tabs>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四、自觉遵守开标、评标现场工作纪律，不私下接触评标专家，不干扰正常的开标评标秩序。</w:t>
      </w:r>
    </w:p>
    <w:p w14:paraId="0C4D41A5">
      <w:pPr>
        <w:tabs>
          <w:tab w:val="left" w:pos="360"/>
        </w:tabs>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五、不给责任人的违法违规行为说情、解脱。</w:t>
      </w:r>
    </w:p>
    <w:p w14:paraId="3060B75D">
      <w:pPr>
        <w:tabs>
          <w:tab w:val="left" w:pos="360"/>
        </w:tabs>
        <w:spacing w:line="4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如违反上述承诺，你方有权立即取消我单位投标、中标或在建项目的履约资格，有权拒绝我单位在一定时期内进入你方进行政府采购或其他经营活动，并通报监督管理部门、纪检监察部门或司法机关调查处理。由此引起的相应损失均由我单位承担。</w:t>
      </w:r>
    </w:p>
    <w:p w14:paraId="7A004FB3">
      <w:pPr>
        <w:tabs>
          <w:tab w:val="left" w:pos="360"/>
        </w:tabs>
        <w:spacing w:line="460" w:lineRule="exact"/>
        <w:ind w:firstLine="550" w:firstLineChars="250"/>
        <w:rPr>
          <w:rFonts w:hint="eastAsia" w:ascii="宋体" w:hAnsi="宋体" w:eastAsia="宋体" w:cs="宋体"/>
          <w:color w:val="auto"/>
          <w:sz w:val="22"/>
          <w:highlight w:val="none"/>
        </w:rPr>
      </w:pPr>
    </w:p>
    <w:p w14:paraId="2521BB02">
      <w:pPr>
        <w:widowControl/>
        <w:snapToGrid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1CA8B328">
      <w:pPr>
        <w:widowControl/>
        <w:spacing w:line="400" w:lineRule="exact"/>
        <w:rPr>
          <w:rFonts w:hint="eastAsia" w:ascii="宋体" w:hAnsi="宋体" w:eastAsia="宋体" w:cs="宋体"/>
          <w:color w:val="auto"/>
          <w:kern w:val="0"/>
          <w:sz w:val="24"/>
          <w:szCs w:val="24"/>
          <w:highlight w:val="none"/>
        </w:rPr>
      </w:pPr>
    </w:p>
    <w:p w14:paraId="22ABDA55">
      <w:pPr>
        <w:widowControl/>
        <w:spacing w:line="400" w:lineRule="exact"/>
        <w:rPr>
          <w:rFonts w:hint="eastAsia" w:ascii="宋体" w:hAnsi="宋体" w:eastAsia="宋体" w:cs="宋体"/>
          <w:color w:val="auto"/>
          <w:kern w:val="0"/>
          <w:sz w:val="22"/>
          <w:highlight w:val="none"/>
          <w:u w:val="single"/>
        </w:rPr>
      </w:pPr>
      <w:r>
        <w:rPr>
          <w:rFonts w:hint="eastAsia" w:ascii="宋体" w:hAnsi="宋体" w:eastAsia="宋体" w:cs="宋体"/>
          <w:color w:val="auto"/>
          <w:kern w:val="0"/>
          <w:sz w:val="22"/>
          <w:highlight w:val="none"/>
        </w:rPr>
        <w:t>投标人全称(</w:t>
      </w:r>
      <w:r>
        <w:rPr>
          <w:rFonts w:hint="eastAsia" w:ascii="宋体" w:hAnsi="宋体" w:eastAsia="宋体" w:cs="宋体"/>
          <w:color w:val="auto"/>
          <w:kern w:val="0"/>
          <w:sz w:val="22"/>
          <w:highlight w:val="none"/>
          <w:lang w:eastAsia="zh-CN"/>
        </w:rPr>
        <w:t>公章或电子签章</w:t>
      </w:r>
      <w:r>
        <w:rPr>
          <w:rFonts w:hint="eastAsia" w:ascii="宋体" w:hAnsi="宋体" w:eastAsia="宋体" w:cs="宋体"/>
          <w:color w:val="auto"/>
          <w:kern w:val="0"/>
          <w:sz w:val="22"/>
          <w:highlight w:val="none"/>
        </w:rPr>
        <w:t>)：</w:t>
      </w:r>
    </w:p>
    <w:p w14:paraId="4D8EB067">
      <w:pPr>
        <w:widowControl/>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法定代表人或授权代表(签字或盖章)：</w:t>
      </w:r>
    </w:p>
    <w:p w14:paraId="44A31FC4">
      <w:pPr>
        <w:snapToGrid w:val="0"/>
        <w:spacing w:line="4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日期：    年  月  日</w:t>
      </w:r>
    </w:p>
    <w:p w14:paraId="6CB6D0CB">
      <w:pPr>
        <w:pStyle w:val="7"/>
        <w:ind w:firstLine="440"/>
        <w:rPr>
          <w:rFonts w:hint="eastAsia" w:ascii="宋体" w:hAnsi="宋体" w:eastAsia="宋体" w:cs="宋体"/>
          <w:color w:val="auto"/>
          <w:sz w:val="22"/>
          <w:szCs w:val="22"/>
          <w:highlight w:val="none"/>
        </w:rPr>
      </w:pPr>
    </w:p>
    <w:p w14:paraId="515C48E2">
      <w:pPr>
        <w:rPr>
          <w:rFonts w:hint="eastAsia" w:ascii="宋体" w:hAnsi="宋体" w:eastAsia="宋体" w:cs="宋体"/>
          <w:b/>
          <w:color w:val="auto"/>
          <w:sz w:val="32"/>
          <w:highlight w:val="none"/>
          <w:lang w:val="en-US" w:eastAsia="zh-CN"/>
        </w:rPr>
      </w:pPr>
    </w:p>
    <w:p w14:paraId="7335A93D">
      <w:pPr>
        <w:pageBreakBefore w:val="0"/>
        <w:numPr>
          <w:ilvl w:val="0"/>
          <w:numId w:val="0"/>
        </w:numPr>
        <w:kinsoku/>
        <w:wordWrap w:val="0"/>
        <w:topLinePunct w:val="0"/>
        <w:bidi w:val="0"/>
        <w:spacing w:line="400" w:lineRule="exact"/>
        <w:jc w:val="center"/>
        <w:outlineLvl w:val="0"/>
        <w:rPr>
          <w:rFonts w:hint="eastAsia" w:ascii="宋体" w:hAnsi="宋体" w:eastAsia="宋体" w:cs="宋体"/>
          <w:b/>
          <w:color w:val="auto"/>
          <w:sz w:val="32"/>
          <w:highlight w:val="none"/>
          <w:lang w:val="en-US" w:eastAsia="zh-CN"/>
        </w:rPr>
      </w:pPr>
      <w:bookmarkStart w:id="52" w:name="_Toc12070"/>
    </w:p>
    <w:p w14:paraId="75358A19">
      <w:pPr>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br w:type="page"/>
      </w:r>
    </w:p>
    <w:p w14:paraId="4668E81F">
      <w:pPr>
        <w:pageBreakBefore w:val="0"/>
        <w:numPr>
          <w:ilvl w:val="0"/>
          <w:numId w:val="0"/>
        </w:numPr>
        <w:kinsoku/>
        <w:wordWrap w:val="0"/>
        <w:topLinePunct w:val="0"/>
        <w:bidi w:val="0"/>
        <w:spacing w:line="400" w:lineRule="exact"/>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 xml:space="preserve">第五部分 </w:t>
      </w:r>
      <w:r>
        <w:rPr>
          <w:rFonts w:hint="eastAsia" w:ascii="宋体" w:hAnsi="宋体" w:eastAsia="宋体" w:cs="宋体"/>
          <w:b/>
          <w:color w:val="auto"/>
          <w:sz w:val="32"/>
          <w:highlight w:val="none"/>
        </w:rPr>
        <w:t>采购需求</w:t>
      </w:r>
      <w:bookmarkEnd w:id="52"/>
    </w:p>
    <w:p w14:paraId="289097C5">
      <w:pPr>
        <w:pageBreakBefore w:val="0"/>
        <w:numPr>
          <w:ilvl w:val="-1"/>
          <w:numId w:val="0"/>
        </w:numPr>
        <w:kinsoku/>
        <w:wordWrap w:val="0"/>
        <w:topLinePunct w:val="0"/>
        <w:bidi w:val="0"/>
        <w:spacing w:line="400" w:lineRule="exact"/>
        <w:jc w:val="center"/>
        <w:outlineLvl w:val="0"/>
        <w:rPr>
          <w:rFonts w:hint="eastAsia" w:ascii="宋体" w:hAnsi="宋体" w:eastAsia="宋体" w:cs="宋体"/>
          <w:b/>
          <w:bCs/>
          <w:color w:val="auto"/>
          <w:sz w:val="22"/>
          <w:szCs w:val="22"/>
          <w:highlight w:val="none"/>
          <w:lang w:eastAsia="zh-CN"/>
        </w:rPr>
      </w:pPr>
      <w:bookmarkStart w:id="53" w:name="_Toc18332"/>
      <w:r>
        <w:rPr>
          <w:rFonts w:hint="eastAsia" w:ascii="宋体" w:hAnsi="宋体" w:eastAsia="宋体" w:cs="宋体"/>
          <w:b/>
          <w:color w:val="auto"/>
          <w:sz w:val="22"/>
          <w:szCs w:val="22"/>
          <w:highlight w:val="none"/>
          <w:lang w:val="en-US" w:eastAsia="zh-CN"/>
        </w:rPr>
        <w:t>标项1：手写信息数字签名终端（无线）</w:t>
      </w:r>
      <w:bookmarkEnd w:id="53"/>
    </w:p>
    <w:p w14:paraId="6DD0734B">
      <w:pPr>
        <w:keepNext w:val="0"/>
        <w:keepLines w:val="0"/>
        <w:pageBreakBefore w:val="0"/>
        <w:tabs>
          <w:tab w:val="left" w:pos="432"/>
        </w:tabs>
        <w:kinsoku/>
        <w:wordWrap w:val="0"/>
        <w:topLinePunct w:val="0"/>
        <w:bidi w:val="0"/>
        <w:adjustRightInd/>
        <w:snapToGrid w:val="0"/>
        <w:spacing w:line="360" w:lineRule="auto"/>
        <w:ind w:left="0"/>
        <w:jc w:val="left"/>
        <w:rPr>
          <w:rFonts w:hint="eastAsia" w:ascii="宋体" w:hAnsi="宋体" w:eastAsia="宋体" w:cs="宋体"/>
          <w:b/>
          <w:bCs/>
          <w:color w:val="auto"/>
          <w:spacing w:val="-6"/>
          <w:sz w:val="22"/>
          <w:szCs w:val="22"/>
          <w:highlight w:val="none"/>
        </w:rPr>
      </w:pPr>
      <w:r>
        <w:rPr>
          <w:rFonts w:hint="eastAsia" w:ascii="宋体" w:hAnsi="宋体" w:eastAsia="宋体" w:cs="宋体"/>
          <w:b/>
          <w:color w:val="auto"/>
          <w:sz w:val="22"/>
          <w:szCs w:val="22"/>
          <w:highlight w:val="none"/>
        </w:rPr>
        <w:t>一、</w:t>
      </w:r>
      <w:r>
        <w:rPr>
          <w:rFonts w:hint="eastAsia" w:ascii="宋体" w:hAnsi="宋体" w:eastAsia="宋体" w:cs="宋体"/>
          <w:b/>
          <w:bCs/>
          <w:color w:val="auto"/>
          <w:spacing w:val="-6"/>
          <w:sz w:val="22"/>
          <w:szCs w:val="22"/>
          <w:highlight w:val="none"/>
        </w:rPr>
        <w:t>采购清单（标的物清单）</w:t>
      </w:r>
    </w:p>
    <w:tbl>
      <w:tblPr>
        <w:tblStyle w:val="32"/>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058"/>
        <w:gridCol w:w="960"/>
        <w:gridCol w:w="1067"/>
        <w:gridCol w:w="2746"/>
        <w:gridCol w:w="2321"/>
      </w:tblGrid>
      <w:tr w14:paraId="5C61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4B3973A9">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序号</w:t>
            </w:r>
          </w:p>
        </w:tc>
        <w:tc>
          <w:tcPr>
            <w:tcW w:w="1036" w:type="pct"/>
            <w:noWrap w:val="0"/>
            <w:vAlign w:val="center"/>
          </w:tcPr>
          <w:p w14:paraId="28F462D2">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标的名称</w:t>
            </w:r>
          </w:p>
        </w:tc>
        <w:tc>
          <w:tcPr>
            <w:tcW w:w="483" w:type="pct"/>
            <w:noWrap w:val="0"/>
            <w:vAlign w:val="center"/>
          </w:tcPr>
          <w:p w14:paraId="126B546A">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数量</w:t>
            </w:r>
          </w:p>
        </w:tc>
        <w:tc>
          <w:tcPr>
            <w:tcW w:w="537" w:type="pct"/>
            <w:noWrap w:val="0"/>
            <w:vAlign w:val="center"/>
          </w:tcPr>
          <w:p w14:paraId="77D50D31">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单位</w:t>
            </w:r>
          </w:p>
        </w:tc>
        <w:tc>
          <w:tcPr>
            <w:tcW w:w="1382" w:type="pct"/>
            <w:noWrap w:val="0"/>
            <w:vAlign w:val="center"/>
          </w:tcPr>
          <w:p w14:paraId="4C40FD98">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是否允许采购进口产品</w:t>
            </w:r>
          </w:p>
        </w:tc>
        <w:tc>
          <w:tcPr>
            <w:tcW w:w="1168" w:type="pct"/>
            <w:noWrap w:val="0"/>
            <w:vAlign w:val="center"/>
          </w:tcPr>
          <w:p w14:paraId="01C27916">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备注</w:t>
            </w:r>
          </w:p>
        </w:tc>
      </w:tr>
      <w:tr w14:paraId="7DD3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593806DD">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1036" w:type="pct"/>
            <w:shd w:val="clear" w:color="auto" w:fill="auto"/>
            <w:noWrap w:val="0"/>
            <w:vAlign w:val="center"/>
          </w:tcPr>
          <w:p w14:paraId="5FB5708C">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bidi="ar"/>
              </w:rPr>
              <w:t>手写信息数字签名终端（</w:t>
            </w:r>
            <w:r>
              <w:rPr>
                <w:rFonts w:hint="eastAsia" w:ascii="宋体" w:hAnsi="宋体" w:eastAsia="宋体" w:cs="宋体"/>
                <w:color w:val="auto"/>
                <w:kern w:val="0"/>
                <w:sz w:val="22"/>
                <w:szCs w:val="22"/>
                <w:highlight w:val="none"/>
                <w:lang w:val="en-US" w:eastAsia="zh-CN" w:bidi="ar"/>
              </w:rPr>
              <w:t>无线</w:t>
            </w:r>
            <w:r>
              <w:rPr>
                <w:rFonts w:hint="eastAsia" w:ascii="宋体" w:hAnsi="宋体" w:eastAsia="宋体" w:cs="宋体"/>
                <w:color w:val="auto"/>
                <w:kern w:val="0"/>
                <w:sz w:val="22"/>
                <w:szCs w:val="22"/>
                <w:highlight w:val="none"/>
                <w:lang w:bidi="ar"/>
              </w:rPr>
              <w:t>）</w:t>
            </w:r>
          </w:p>
        </w:tc>
        <w:tc>
          <w:tcPr>
            <w:tcW w:w="483" w:type="pct"/>
            <w:noWrap w:val="0"/>
            <w:vAlign w:val="center"/>
          </w:tcPr>
          <w:p w14:paraId="4FAFE3BC">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60</w:t>
            </w:r>
          </w:p>
        </w:tc>
        <w:tc>
          <w:tcPr>
            <w:tcW w:w="537" w:type="pct"/>
            <w:noWrap w:val="0"/>
            <w:vAlign w:val="center"/>
          </w:tcPr>
          <w:p w14:paraId="0F24FEBD">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台</w:t>
            </w:r>
          </w:p>
        </w:tc>
        <w:tc>
          <w:tcPr>
            <w:tcW w:w="1382" w:type="pct"/>
            <w:noWrap w:val="0"/>
            <w:vAlign w:val="center"/>
          </w:tcPr>
          <w:p w14:paraId="28CAF50D">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否</w:t>
            </w:r>
          </w:p>
        </w:tc>
        <w:tc>
          <w:tcPr>
            <w:tcW w:w="1168" w:type="pct"/>
            <w:noWrap w:val="0"/>
            <w:vAlign w:val="center"/>
          </w:tcPr>
          <w:p w14:paraId="0CF0806B">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无线签署，</w:t>
            </w:r>
            <w:r>
              <w:rPr>
                <w:rFonts w:hint="eastAsia" w:ascii="宋体" w:hAnsi="宋体" w:eastAsia="宋体" w:cs="宋体"/>
                <w:color w:val="auto"/>
                <w:kern w:val="0"/>
                <w:sz w:val="22"/>
                <w:szCs w:val="22"/>
                <w:highlight w:val="none"/>
                <w:lang w:bidi="ar"/>
              </w:rPr>
              <w:t>对患者手写签名和指纹进行采集</w:t>
            </w:r>
          </w:p>
        </w:tc>
      </w:tr>
    </w:tbl>
    <w:p w14:paraId="3A518A68">
      <w:pPr>
        <w:pStyle w:val="14"/>
        <w:keepNext w:val="0"/>
        <w:keepLines w:val="0"/>
        <w:pageBreakBefore w:val="0"/>
        <w:kinsoku/>
        <w:wordWrap w:val="0"/>
        <w:topLinePunct w:val="0"/>
        <w:bidi w:val="0"/>
        <w:adjustRightInd/>
        <w:snapToGrid w:val="0"/>
        <w:spacing w:line="360" w:lineRule="auto"/>
        <w:ind w:left="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pacing w:val="-6"/>
          <w:sz w:val="22"/>
          <w:szCs w:val="22"/>
          <w:highlight w:val="none"/>
        </w:rPr>
        <w:t>二、</w:t>
      </w:r>
      <w:r>
        <w:rPr>
          <w:rFonts w:hint="eastAsia" w:ascii="宋体" w:hAnsi="宋体" w:eastAsia="宋体" w:cs="宋体"/>
          <w:b/>
          <w:bCs/>
          <w:color w:val="auto"/>
          <w:sz w:val="22"/>
          <w:szCs w:val="22"/>
          <w:highlight w:val="none"/>
        </w:rPr>
        <w:t>项目背景</w:t>
      </w:r>
    </w:p>
    <w:p w14:paraId="084FBEB3">
      <w:pPr>
        <w:pStyle w:val="14"/>
        <w:keepNext w:val="0"/>
        <w:keepLines w:val="0"/>
        <w:pageBreakBefore w:val="0"/>
        <w:widowControl/>
        <w:kinsoku/>
        <w:wordWrap w:val="0"/>
        <w:overflowPunct w:val="0"/>
        <w:topLinePunct w:val="0"/>
        <w:autoSpaceDE w:val="0"/>
        <w:autoSpaceDN w:val="0"/>
        <w:bidi w:val="0"/>
        <w:adjustRightInd/>
        <w:snapToGrid w:val="0"/>
        <w:spacing w:line="360" w:lineRule="auto"/>
        <w:ind w:left="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近年来我院持续推进数字化转型，已全面部署卫宁云HIS、电子病历系统、移动护理、康复系统等信息化平台。医院一期已采购北京数字认证股份有限公司的认证系统，用于门诊及住院部患者电子签名场景。为提升移动医疗服务的灵活性，医院新增采购手写板设备，覆盖重点科室（如门诊诊间、康复科、住院病房）。</w:t>
      </w:r>
    </w:p>
    <w:p w14:paraId="13005856">
      <w:pPr>
        <w:pStyle w:val="14"/>
        <w:keepNext w:val="0"/>
        <w:keepLines w:val="0"/>
        <w:pageBreakBefore w:val="0"/>
        <w:kinsoku/>
        <w:wordWrap w:val="0"/>
        <w:topLinePunct w:val="0"/>
        <w:bidi w:val="0"/>
        <w:adjustRightInd/>
        <w:snapToGrid w:val="0"/>
        <w:spacing w:line="360" w:lineRule="auto"/>
        <w:ind w:left="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项目建设内容和要求</w:t>
      </w:r>
    </w:p>
    <w:p w14:paraId="6652F87A">
      <w:pPr>
        <w:pStyle w:val="14"/>
        <w:keepNext w:val="0"/>
        <w:keepLines w:val="0"/>
        <w:pageBreakBefore w:val="0"/>
        <w:widowControl/>
        <w:kinsoku/>
        <w:wordWrap w:val="0"/>
        <w:overflowPunct w:val="0"/>
        <w:topLinePunct w:val="0"/>
        <w:autoSpaceDE w:val="0"/>
        <w:autoSpaceDN w:val="0"/>
        <w:bidi w:val="0"/>
        <w:adjustRightInd/>
        <w:snapToGrid w:val="0"/>
        <w:spacing w:line="360" w:lineRule="auto"/>
        <w:ind w:left="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根据医院对知情同意书电子化的需求，设计行之有效的解决方案，保障知情同意书在实现电子化后的合法可信。</w:t>
      </w:r>
    </w:p>
    <w:p w14:paraId="77837262">
      <w:pPr>
        <w:pStyle w:val="14"/>
        <w:keepNext w:val="0"/>
        <w:keepLines w:val="0"/>
        <w:pageBreakBefore w:val="0"/>
        <w:widowControl/>
        <w:kinsoku/>
        <w:wordWrap w:val="0"/>
        <w:overflowPunct w:val="0"/>
        <w:topLinePunct w:val="0"/>
        <w:autoSpaceDE w:val="0"/>
        <w:autoSpaceDN w:val="0"/>
        <w:bidi w:val="0"/>
        <w:adjustRightInd/>
        <w:snapToGrid w:val="0"/>
        <w:spacing w:line="360" w:lineRule="auto"/>
        <w:ind w:left="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1.具体满足以下要求：</w:t>
      </w:r>
    </w:p>
    <w:p w14:paraId="0126B7A7">
      <w:pPr>
        <w:pStyle w:val="14"/>
        <w:keepNext w:val="0"/>
        <w:keepLines w:val="0"/>
        <w:pageBreakBefore w:val="0"/>
        <w:widowControl/>
        <w:kinsoku/>
        <w:wordWrap w:val="0"/>
        <w:overflowPunct w:val="0"/>
        <w:topLinePunct w:val="0"/>
        <w:autoSpaceDE w:val="0"/>
        <w:autoSpaceDN w:val="0"/>
        <w:bidi w:val="0"/>
        <w:adjustRightInd/>
        <w:snapToGrid w:val="0"/>
        <w:spacing w:line="360" w:lineRule="auto"/>
        <w:ind w:left="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1)所提供的产品或解决方案能够从技术、法规、政策上保障电子化知情同意书的可信性与合法性。</w:t>
      </w:r>
    </w:p>
    <w:p w14:paraId="36F3AB4F">
      <w:pPr>
        <w:pStyle w:val="14"/>
        <w:keepNext w:val="0"/>
        <w:keepLines w:val="0"/>
        <w:pageBreakBefore w:val="0"/>
        <w:widowControl/>
        <w:kinsoku/>
        <w:wordWrap w:val="0"/>
        <w:overflowPunct w:val="0"/>
        <w:topLinePunct w:val="0"/>
        <w:autoSpaceDE w:val="0"/>
        <w:autoSpaceDN w:val="0"/>
        <w:bidi w:val="0"/>
        <w:adjustRightInd/>
        <w:snapToGrid w:val="0"/>
        <w:spacing w:line="360" w:lineRule="auto"/>
        <w:ind w:left="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2)提出的产品或解决方案不能过多的改变现有的业务流程，实现方式容易使医院和患者接受；</w:t>
      </w:r>
    </w:p>
    <w:p w14:paraId="1DDCF233">
      <w:pPr>
        <w:pStyle w:val="14"/>
        <w:keepNext w:val="0"/>
        <w:keepLines w:val="0"/>
        <w:pageBreakBefore w:val="0"/>
        <w:widowControl/>
        <w:kinsoku/>
        <w:wordWrap w:val="0"/>
        <w:overflowPunct w:val="0"/>
        <w:topLinePunct w:val="0"/>
        <w:autoSpaceDE w:val="0"/>
        <w:autoSpaceDN w:val="0"/>
        <w:bidi w:val="0"/>
        <w:adjustRightInd/>
        <w:snapToGrid w:val="0"/>
        <w:spacing w:line="360" w:lineRule="auto"/>
        <w:ind w:left="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3)能够直观的展现签字的过程与结果；</w:t>
      </w:r>
    </w:p>
    <w:p w14:paraId="1484B7DD">
      <w:pPr>
        <w:pStyle w:val="14"/>
        <w:keepNext w:val="0"/>
        <w:keepLines w:val="0"/>
        <w:pageBreakBefore w:val="0"/>
        <w:widowControl/>
        <w:kinsoku/>
        <w:wordWrap w:val="0"/>
        <w:overflowPunct w:val="0"/>
        <w:topLinePunct w:val="0"/>
        <w:autoSpaceDE w:val="0"/>
        <w:autoSpaceDN w:val="0"/>
        <w:bidi w:val="0"/>
        <w:adjustRightInd/>
        <w:snapToGrid w:val="0"/>
        <w:spacing w:line="360" w:lineRule="auto"/>
        <w:ind w:left="0" w:firstLine="442" w:firstLineChars="20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4)所提供的解决方案能够考虑医院整理信息化规划，产生的数据或文档能够实现与现有业务系统对接。</w:t>
      </w:r>
    </w:p>
    <w:p w14:paraId="32F1ABF1">
      <w:pPr>
        <w:pStyle w:val="14"/>
        <w:keepNext w:val="0"/>
        <w:keepLines w:val="0"/>
        <w:pageBreakBefore w:val="0"/>
        <w:kinsoku/>
        <w:wordWrap w:val="0"/>
        <w:topLinePunct w:val="0"/>
        <w:bidi w:val="0"/>
        <w:adjustRightInd/>
        <w:snapToGrid w:val="0"/>
        <w:spacing w:line="360" w:lineRule="auto"/>
        <w:ind w:left="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pacing w:val="-6"/>
          <w:sz w:val="22"/>
          <w:szCs w:val="22"/>
          <w:highlight w:val="none"/>
        </w:rPr>
        <w:t>技术参数</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668"/>
        <w:gridCol w:w="7296"/>
      </w:tblGrid>
      <w:tr w14:paraId="1B89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13A3253B">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837" w:type="pct"/>
            <w:vAlign w:val="center"/>
          </w:tcPr>
          <w:p w14:paraId="110D1CD2">
            <w:pPr>
              <w:spacing w:line="36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参数类型</w:t>
            </w:r>
          </w:p>
        </w:tc>
        <w:tc>
          <w:tcPr>
            <w:tcW w:w="3662" w:type="pct"/>
            <w:vAlign w:val="center"/>
          </w:tcPr>
          <w:p w14:paraId="74D7F2C4">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功能/参数要求</w:t>
            </w:r>
          </w:p>
        </w:tc>
      </w:tr>
      <w:tr w14:paraId="0BFD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9" w:type="pct"/>
            <w:vAlign w:val="center"/>
          </w:tcPr>
          <w:p w14:paraId="7AACE52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37" w:type="pct"/>
            <w:vAlign w:val="center"/>
          </w:tcPr>
          <w:p w14:paraId="6935FC8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操作系统</w:t>
            </w:r>
          </w:p>
        </w:tc>
        <w:tc>
          <w:tcPr>
            <w:tcW w:w="3662" w:type="pct"/>
          </w:tcPr>
          <w:p w14:paraId="55DFF66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内置Android12+操作系统</w:t>
            </w:r>
            <w:r>
              <w:rPr>
                <w:rFonts w:hint="eastAsia" w:ascii="宋体" w:hAnsi="宋体" w:eastAsia="宋体" w:cs="宋体"/>
                <w:color w:val="auto"/>
                <w:sz w:val="22"/>
                <w:szCs w:val="22"/>
                <w:highlight w:val="none"/>
                <w:lang w:eastAsia="zh-CN"/>
              </w:rPr>
              <w:t>；</w:t>
            </w:r>
          </w:p>
        </w:tc>
      </w:tr>
      <w:tr w14:paraId="2F17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3FE290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837" w:type="pct"/>
            <w:vAlign w:val="center"/>
          </w:tcPr>
          <w:p w14:paraId="598A2A6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CPU与内存</w:t>
            </w:r>
          </w:p>
        </w:tc>
        <w:tc>
          <w:tcPr>
            <w:tcW w:w="3662" w:type="pct"/>
          </w:tcPr>
          <w:p w14:paraId="1CE2D0E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CPU不低于8核@2.0GHz，内存≥4G，存储≥64G，支持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128G扩展</w:t>
            </w:r>
            <w:r>
              <w:rPr>
                <w:rFonts w:hint="eastAsia" w:ascii="宋体" w:hAnsi="宋体" w:eastAsia="宋体" w:cs="宋体"/>
                <w:color w:val="auto"/>
                <w:sz w:val="22"/>
                <w:szCs w:val="22"/>
                <w:highlight w:val="none"/>
                <w:lang w:eastAsia="zh-CN"/>
              </w:rPr>
              <w:t>；</w:t>
            </w:r>
          </w:p>
        </w:tc>
      </w:tr>
      <w:tr w14:paraId="3778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9" w:type="pct"/>
            <w:vAlign w:val="center"/>
          </w:tcPr>
          <w:p w14:paraId="746C12F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837" w:type="pct"/>
            <w:vAlign w:val="center"/>
          </w:tcPr>
          <w:p w14:paraId="20C98AC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定位</w:t>
            </w:r>
          </w:p>
        </w:tc>
        <w:tc>
          <w:tcPr>
            <w:tcW w:w="3662" w:type="pct"/>
          </w:tcPr>
          <w:p w14:paraId="231D4BC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支持GPS、BDS、Glonass、Galilei定位系统；</w:t>
            </w:r>
          </w:p>
        </w:tc>
      </w:tr>
      <w:tr w14:paraId="1798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1CC7C10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837" w:type="pct"/>
            <w:vAlign w:val="center"/>
          </w:tcPr>
          <w:p w14:paraId="7F2A286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传感器</w:t>
            </w:r>
          </w:p>
        </w:tc>
        <w:tc>
          <w:tcPr>
            <w:tcW w:w="3662" w:type="pct"/>
          </w:tcPr>
          <w:p w14:paraId="0437224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支持重力感应</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陀螺仪；</w:t>
            </w:r>
          </w:p>
        </w:tc>
      </w:tr>
      <w:tr w14:paraId="4BB9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A5D295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837" w:type="pct"/>
            <w:vAlign w:val="center"/>
          </w:tcPr>
          <w:p w14:paraId="1C5C032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显示屏幕</w:t>
            </w:r>
          </w:p>
        </w:tc>
        <w:tc>
          <w:tcPr>
            <w:tcW w:w="3662" w:type="pct"/>
          </w:tcPr>
          <w:p w14:paraId="2424542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屏幕尺寸≥10.1英寸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显示分辨率≥1280 x 800 (16:10)，液晶模式：IPS LCD高清液晶屏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对比度800：1，亮度≥250 cd/㎡；响应时间≤14ms；</w:t>
            </w:r>
          </w:p>
        </w:tc>
      </w:tr>
      <w:tr w14:paraId="3BF5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D44493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837" w:type="pct"/>
            <w:vAlign w:val="center"/>
          </w:tcPr>
          <w:p w14:paraId="176D17D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电容触控</w:t>
            </w:r>
          </w:p>
        </w:tc>
        <w:tc>
          <w:tcPr>
            <w:tcW w:w="3662" w:type="pct"/>
          </w:tcPr>
          <w:p w14:paraId="35350F5F">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 点触控；G+G 工艺；表面硬度≥7H</w:t>
            </w:r>
          </w:p>
        </w:tc>
      </w:tr>
      <w:tr w14:paraId="1D04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06F724D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837" w:type="pct"/>
            <w:vAlign w:val="center"/>
          </w:tcPr>
          <w:p w14:paraId="26F9805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电磁屏</w:t>
            </w:r>
          </w:p>
        </w:tc>
        <w:tc>
          <w:tcPr>
            <w:tcW w:w="3662" w:type="pct"/>
          </w:tcPr>
          <w:p w14:paraId="524E32F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电磁屏支持被动式无源电磁感应模式，分辨率≥5080LPI，压感≥2048 Levels，感应高度≥10mm，读取速度≥233PPS/点每秒，最大允许±45°握笔角度；</w:t>
            </w:r>
          </w:p>
        </w:tc>
      </w:tr>
      <w:tr w14:paraId="3660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6269F55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837" w:type="pct"/>
            <w:shd w:val="clear" w:color="auto" w:fill="auto"/>
            <w:vAlign w:val="center"/>
          </w:tcPr>
          <w:p w14:paraId="25C2E16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生物识别</w:t>
            </w:r>
          </w:p>
        </w:tc>
        <w:tc>
          <w:tcPr>
            <w:tcW w:w="3662" w:type="pct"/>
            <w:shd w:val="clear" w:color="auto" w:fill="auto"/>
            <w:vAlign w:val="top"/>
          </w:tcPr>
          <w:p w14:paraId="15F6C143">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电容型指纹，感应阵列≥256*288，分辨率≥500DPI，表面硬度≥7H；前置500万像素、后置800万像素摄像头；</w:t>
            </w:r>
          </w:p>
        </w:tc>
      </w:tr>
      <w:tr w14:paraId="336D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6180E11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lang w:val="en-US" w:eastAsia="zh-CN"/>
              </w:rPr>
              <w:t>9</w:t>
            </w:r>
          </w:p>
        </w:tc>
        <w:tc>
          <w:tcPr>
            <w:tcW w:w="837" w:type="pct"/>
            <w:shd w:val="clear" w:color="auto" w:fill="auto"/>
            <w:vAlign w:val="center"/>
          </w:tcPr>
          <w:p w14:paraId="0FCAAB3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系统适配</w:t>
            </w:r>
          </w:p>
        </w:tc>
        <w:tc>
          <w:tcPr>
            <w:tcW w:w="3662" w:type="pct"/>
            <w:shd w:val="clear" w:color="auto" w:fill="auto"/>
            <w:vAlign w:val="top"/>
          </w:tcPr>
          <w:p w14:paraId="5C54951D">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支持适配医院现有部署的CA系统；</w:t>
            </w:r>
          </w:p>
        </w:tc>
      </w:tr>
      <w:tr w14:paraId="36BA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0971A60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837" w:type="pct"/>
            <w:shd w:val="clear" w:color="auto" w:fill="auto"/>
            <w:vAlign w:val="center"/>
          </w:tcPr>
          <w:p w14:paraId="633327C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I/O端口</w:t>
            </w:r>
          </w:p>
        </w:tc>
        <w:tc>
          <w:tcPr>
            <w:tcW w:w="3662" w:type="pct"/>
            <w:shd w:val="clear" w:color="auto" w:fill="auto"/>
            <w:vAlign w:val="top"/>
          </w:tcPr>
          <w:p w14:paraId="30D09CBF">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具备麦克风、喇叭、Pogo PIN磁吸口、TF卡插槽、SIM 卡槽</w:t>
            </w:r>
            <w:r>
              <w:rPr>
                <w:rFonts w:hint="eastAsia" w:ascii="宋体" w:hAnsi="宋体" w:eastAsia="宋体" w:cs="宋体"/>
                <w:color w:val="auto"/>
                <w:sz w:val="22"/>
                <w:szCs w:val="22"/>
                <w:highlight w:val="none"/>
                <w:lang w:eastAsia="zh-CN"/>
              </w:rPr>
              <w:t>等</w:t>
            </w:r>
            <w:r>
              <w:rPr>
                <w:rFonts w:hint="eastAsia" w:ascii="宋体" w:hAnsi="宋体" w:eastAsia="宋体" w:cs="宋体"/>
                <w:color w:val="auto"/>
                <w:sz w:val="22"/>
                <w:szCs w:val="22"/>
                <w:highlight w:val="none"/>
              </w:rPr>
              <w:t>；</w:t>
            </w:r>
          </w:p>
        </w:tc>
      </w:tr>
      <w:tr w14:paraId="41CC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3D30102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837" w:type="pct"/>
            <w:shd w:val="clear" w:color="auto" w:fill="auto"/>
            <w:vAlign w:val="center"/>
          </w:tcPr>
          <w:p w14:paraId="16C8FD8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电池</w:t>
            </w:r>
          </w:p>
        </w:tc>
        <w:tc>
          <w:tcPr>
            <w:tcW w:w="3662" w:type="pct"/>
            <w:shd w:val="clear" w:color="auto" w:fill="auto"/>
            <w:vAlign w:val="top"/>
          </w:tcPr>
          <w:p w14:paraId="77E90760">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标配≥8000mAH电池，待机时长≥100h，工作时长≥8h；</w:t>
            </w:r>
          </w:p>
        </w:tc>
      </w:tr>
      <w:tr w14:paraId="1BE8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5A09F35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837" w:type="pct"/>
            <w:vAlign w:val="center"/>
          </w:tcPr>
          <w:p w14:paraId="6833CB8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通信</w:t>
            </w:r>
          </w:p>
        </w:tc>
        <w:tc>
          <w:tcPr>
            <w:tcW w:w="3662" w:type="pct"/>
          </w:tcPr>
          <w:p w14:paraId="0AA676C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支持2.4G、5G双频WiFi、BT5.0、4G全网通；</w:t>
            </w:r>
          </w:p>
        </w:tc>
      </w:tr>
      <w:tr w14:paraId="23DA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08051FF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rPr>
              <w:t>13</w:t>
            </w:r>
          </w:p>
        </w:tc>
        <w:tc>
          <w:tcPr>
            <w:tcW w:w="837" w:type="pct"/>
            <w:vAlign w:val="center"/>
          </w:tcPr>
          <w:p w14:paraId="730F6CB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国密安全</w:t>
            </w:r>
          </w:p>
        </w:tc>
        <w:tc>
          <w:tcPr>
            <w:tcW w:w="3662" w:type="pct"/>
          </w:tcPr>
          <w:p w14:paraId="47A86FE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产品符合电子认证业务的合规性和安全性要求，内含国密芯片，支持SM2、SM3、SM4等国密算法。</w:t>
            </w:r>
          </w:p>
        </w:tc>
      </w:tr>
      <w:tr w14:paraId="0748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25D3A43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rPr>
              <w:t>14</w:t>
            </w:r>
          </w:p>
        </w:tc>
        <w:tc>
          <w:tcPr>
            <w:tcW w:w="837" w:type="pct"/>
            <w:vAlign w:val="center"/>
          </w:tcPr>
          <w:p w14:paraId="5D4C71D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商密认证</w:t>
            </w:r>
          </w:p>
        </w:tc>
        <w:tc>
          <w:tcPr>
            <w:tcW w:w="3662" w:type="pct"/>
          </w:tcPr>
          <w:p w14:paraId="4350A149">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符合《商用密码产品认证证书》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《密码模块安全技术要求》符合 GM/T 0028 第二级要求</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提供</w:t>
            </w:r>
            <w:r>
              <w:rPr>
                <w:rFonts w:hint="eastAsia" w:ascii="宋体" w:hAnsi="宋体" w:eastAsia="宋体" w:cs="宋体"/>
                <w:b/>
                <w:bCs/>
                <w:color w:val="auto"/>
                <w:sz w:val="22"/>
                <w:szCs w:val="22"/>
                <w:highlight w:val="none"/>
              </w:rPr>
              <w:t>证书扫描件</w:t>
            </w:r>
          </w:p>
        </w:tc>
      </w:tr>
      <w:tr w14:paraId="3D01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6413AB3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15</w:t>
            </w:r>
          </w:p>
        </w:tc>
        <w:tc>
          <w:tcPr>
            <w:tcW w:w="837" w:type="pct"/>
            <w:vAlign w:val="center"/>
          </w:tcPr>
          <w:p w14:paraId="41C6681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APP管理</w:t>
            </w:r>
          </w:p>
        </w:tc>
        <w:tc>
          <w:tcPr>
            <w:tcW w:w="3662" w:type="pct"/>
          </w:tcPr>
          <w:p w14:paraId="619C1C9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支持通过可视化界面控制是否允许安装APP，可便捷管理APP程序安装，提供产品功能截图。</w:t>
            </w:r>
          </w:p>
        </w:tc>
      </w:tr>
      <w:tr w14:paraId="7DFD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1450992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16</w:t>
            </w:r>
          </w:p>
        </w:tc>
        <w:tc>
          <w:tcPr>
            <w:tcW w:w="837" w:type="pct"/>
            <w:vAlign w:val="center"/>
          </w:tcPr>
          <w:p w14:paraId="3E1A011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WiFi 管理</w:t>
            </w:r>
          </w:p>
        </w:tc>
        <w:tc>
          <w:tcPr>
            <w:tcW w:w="3662" w:type="pct"/>
          </w:tcPr>
          <w:p w14:paraId="7311693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支持通过可视化界面对WiFi白名单进行安全管控，可根据口令管理WiFi，支持固定显示单个或多个指定WiFi，便于安全管控网络连接，</w:t>
            </w:r>
            <w:r>
              <w:rPr>
                <w:rFonts w:hint="eastAsia" w:ascii="宋体" w:hAnsi="宋体" w:eastAsia="宋体" w:cs="宋体"/>
                <w:b/>
                <w:bCs/>
                <w:color w:val="auto"/>
                <w:sz w:val="22"/>
                <w:szCs w:val="22"/>
                <w:highlight w:val="none"/>
              </w:rPr>
              <w:t>提供产品功能截图。</w:t>
            </w:r>
          </w:p>
        </w:tc>
      </w:tr>
      <w:tr w14:paraId="6B1F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194D62C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17</w:t>
            </w:r>
          </w:p>
        </w:tc>
        <w:tc>
          <w:tcPr>
            <w:tcW w:w="837" w:type="pct"/>
            <w:vAlign w:val="center"/>
          </w:tcPr>
          <w:p w14:paraId="2F8A9A4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身份核验</w:t>
            </w:r>
          </w:p>
        </w:tc>
        <w:tc>
          <w:tcPr>
            <w:tcW w:w="3662" w:type="pct"/>
          </w:tcPr>
          <w:p w14:paraId="48D33ED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支持通过手机号三要素、扫描二维码实名刷脸、身份证读卡器三种方式进行身份核验，身份核验方式可通过可视化管理界面进行配置。</w:t>
            </w:r>
          </w:p>
        </w:tc>
      </w:tr>
      <w:tr w14:paraId="37A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B57B1E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18</w:t>
            </w:r>
          </w:p>
        </w:tc>
        <w:tc>
          <w:tcPr>
            <w:tcW w:w="837" w:type="pct"/>
            <w:shd w:val="clear" w:color="auto" w:fill="auto"/>
            <w:vAlign w:val="center"/>
          </w:tcPr>
          <w:p w14:paraId="7C1F185D">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环境可靠性</w:t>
            </w:r>
          </w:p>
        </w:tc>
        <w:tc>
          <w:tcPr>
            <w:tcW w:w="3662" w:type="pct"/>
            <w:shd w:val="clear" w:color="auto" w:fill="auto"/>
            <w:vAlign w:val="top"/>
          </w:tcPr>
          <w:p w14:paraId="6E511561">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产品应具备高低温运行测试、低温存贮测试、恒定湿热测试相关的第三方检测报告。</w:t>
            </w:r>
            <w:r>
              <w:rPr>
                <w:rFonts w:hint="eastAsia" w:ascii="宋体" w:hAnsi="宋体" w:eastAsia="宋体" w:cs="宋体"/>
                <w:b/>
                <w:bCs/>
                <w:color w:val="auto"/>
                <w:sz w:val="22"/>
                <w:szCs w:val="22"/>
                <w:highlight w:val="none"/>
                <w:lang w:eastAsia="zh-CN"/>
              </w:rPr>
              <w:t>（提供第三方检测报告）</w:t>
            </w:r>
          </w:p>
        </w:tc>
      </w:tr>
      <w:tr w14:paraId="5D20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0E72CF6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rPr>
              <w:t>19</w:t>
            </w:r>
          </w:p>
        </w:tc>
        <w:tc>
          <w:tcPr>
            <w:tcW w:w="837" w:type="pct"/>
            <w:shd w:val="clear" w:color="auto" w:fill="auto"/>
            <w:vAlign w:val="center"/>
          </w:tcPr>
          <w:p w14:paraId="4C2F80F1">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电磁兼容</w:t>
            </w:r>
          </w:p>
        </w:tc>
        <w:tc>
          <w:tcPr>
            <w:tcW w:w="3662" w:type="pct"/>
            <w:shd w:val="clear" w:color="auto" w:fill="auto"/>
            <w:vAlign w:val="top"/>
          </w:tcPr>
          <w:p w14:paraId="658C9443">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产品应具备关于电磁兼容试验验相关的检测报告，符合GB/T 17626.2-2018《电磁兼容试验和测量技术静电放电抗扰度试验》</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rPr>
              <w:t>提供</w:t>
            </w:r>
            <w:r>
              <w:rPr>
                <w:rFonts w:hint="eastAsia" w:ascii="宋体" w:hAnsi="宋体" w:eastAsia="宋体" w:cs="宋体"/>
                <w:b/>
                <w:bCs/>
                <w:color w:val="auto"/>
                <w:sz w:val="22"/>
                <w:szCs w:val="22"/>
                <w:highlight w:val="none"/>
                <w:lang w:eastAsia="zh-CN"/>
              </w:rPr>
              <w:t>第三方</w:t>
            </w:r>
            <w:r>
              <w:rPr>
                <w:rFonts w:hint="eastAsia" w:ascii="宋体" w:hAnsi="宋体" w:eastAsia="宋体" w:cs="宋体"/>
                <w:b/>
                <w:bCs/>
                <w:color w:val="auto"/>
                <w:sz w:val="22"/>
                <w:szCs w:val="22"/>
                <w:highlight w:val="none"/>
              </w:rPr>
              <w:t>检测报告</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w:t>
            </w:r>
          </w:p>
        </w:tc>
      </w:tr>
      <w:tr w14:paraId="16A9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0F0FE35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20</w:t>
            </w:r>
          </w:p>
        </w:tc>
        <w:tc>
          <w:tcPr>
            <w:tcW w:w="837" w:type="pct"/>
            <w:shd w:val="clear" w:color="auto" w:fill="auto"/>
            <w:vAlign w:val="center"/>
          </w:tcPr>
          <w:p w14:paraId="701C6C87">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安全保护</w:t>
            </w:r>
          </w:p>
        </w:tc>
        <w:tc>
          <w:tcPr>
            <w:tcW w:w="3662" w:type="pct"/>
            <w:shd w:val="clear" w:color="auto" w:fill="auto"/>
            <w:vAlign w:val="top"/>
          </w:tcPr>
          <w:p w14:paraId="6F908772">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设备采用全包式</w:t>
            </w:r>
            <w:r>
              <w:rPr>
                <w:rFonts w:hint="eastAsia" w:ascii="宋体" w:hAnsi="宋体" w:eastAsia="宋体" w:cs="宋体"/>
                <w:color w:val="auto"/>
                <w:sz w:val="22"/>
                <w:szCs w:val="22"/>
                <w:highlight w:val="none"/>
                <w:lang w:val="en-US" w:eastAsia="zh-CN"/>
              </w:rPr>
              <w:t>黑色</w:t>
            </w:r>
            <w:r>
              <w:rPr>
                <w:rFonts w:hint="eastAsia" w:ascii="宋体" w:hAnsi="宋体" w:eastAsia="宋体" w:cs="宋体"/>
                <w:color w:val="auto"/>
                <w:sz w:val="22"/>
                <w:szCs w:val="22"/>
                <w:highlight w:val="none"/>
              </w:rPr>
              <w:t>橡胶外套设计</w:t>
            </w:r>
            <w:r>
              <w:rPr>
                <w:rFonts w:hint="eastAsia" w:ascii="宋体" w:hAnsi="宋体" w:eastAsia="宋体" w:cs="宋体"/>
                <w:color w:val="auto"/>
                <w:sz w:val="22"/>
                <w:szCs w:val="22"/>
                <w:highlight w:val="none"/>
                <w:lang w:val="en-US" w:eastAsia="zh-CN"/>
              </w:rPr>
              <w:t>或配备黑灰色耐脏防滑橡胶保护套</w:t>
            </w:r>
            <w:r>
              <w:rPr>
                <w:rFonts w:hint="eastAsia" w:ascii="宋体" w:hAnsi="宋体" w:eastAsia="宋体" w:cs="宋体"/>
                <w:color w:val="auto"/>
                <w:sz w:val="22"/>
                <w:szCs w:val="22"/>
                <w:highlight w:val="none"/>
              </w:rPr>
              <w:t>，有效缓冲撞击，满足日常移动使用的抗摔安全要求。</w:t>
            </w:r>
          </w:p>
        </w:tc>
      </w:tr>
      <w:tr w14:paraId="67C9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35B2A30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21</w:t>
            </w:r>
          </w:p>
        </w:tc>
        <w:tc>
          <w:tcPr>
            <w:tcW w:w="837" w:type="pct"/>
            <w:shd w:val="clear" w:color="auto" w:fill="auto"/>
            <w:vAlign w:val="center"/>
          </w:tcPr>
          <w:p w14:paraId="7E5BAD49">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防水性</w:t>
            </w:r>
          </w:p>
        </w:tc>
        <w:tc>
          <w:tcPr>
            <w:tcW w:w="3662" w:type="pct"/>
            <w:shd w:val="clear" w:color="auto" w:fill="auto"/>
            <w:vAlign w:val="top"/>
          </w:tcPr>
          <w:p w14:paraId="62D50C24">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达到≥</w:t>
            </w:r>
            <w:r>
              <w:rPr>
                <w:rFonts w:hint="eastAsia" w:ascii="宋体" w:hAnsi="宋体" w:eastAsia="宋体" w:cs="宋体"/>
                <w:color w:val="auto"/>
                <w:sz w:val="22"/>
                <w:szCs w:val="22"/>
                <w:highlight w:val="none"/>
              </w:rPr>
              <w:t>IP65 防水防尘</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提供测试相关第三方检测报告，</w:t>
            </w:r>
            <w:r>
              <w:rPr>
                <w:rFonts w:hint="eastAsia" w:ascii="宋体" w:hAnsi="宋体" w:eastAsia="宋体" w:cs="宋体"/>
                <w:color w:val="auto"/>
                <w:sz w:val="22"/>
                <w:szCs w:val="22"/>
                <w:highlight w:val="none"/>
              </w:rPr>
              <w:t>具备完全防尘、防低压喷射水能力</w:t>
            </w:r>
            <w:r>
              <w:rPr>
                <w:rFonts w:hint="eastAsia" w:ascii="宋体" w:hAnsi="宋体" w:eastAsia="宋体" w:cs="宋体"/>
                <w:color w:val="auto"/>
                <w:sz w:val="22"/>
                <w:szCs w:val="22"/>
                <w:highlight w:val="none"/>
                <w:lang w:eastAsia="zh-CN"/>
              </w:rPr>
              <w:t>。</w:t>
            </w:r>
          </w:p>
        </w:tc>
      </w:tr>
      <w:tr w14:paraId="21CC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45459BC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w:t>
            </w:r>
          </w:p>
        </w:tc>
        <w:tc>
          <w:tcPr>
            <w:tcW w:w="837" w:type="pct"/>
            <w:shd w:val="clear" w:color="auto" w:fill="auto"/>
            <w:vAlign w:val="center"/>
          </w:tcPr>
          <w:p w14:paraId="62F7E9D8">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便捷清洁</w:t>
            </w:r>
          </w:p>
        </w:tc>
        <w:tc>
          <w:tcPr>
            <w:tcW w:w="3662" w:type="pct"/>
            <w:shd w:val="clear" w:color="auto" w:fill="auto"/>
            <w:vAlign w:val="top"/>
          </w:tcPr>
          <w:p w14:paraId="78732584">
            <w:p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可耐受日常酒精</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消毒液擦拭，满足医院卫生安全要求</w:t>
            </w:r>
            <w:r>
              <w:rPr>
                <w:rFonts w:hint="eastAsia" w:ascii="宋体" w:hAnsi="宋体" w:eastAsia="宋体" w:cs="宋体"/>
                <w:color w:val="auto"/>
                <w:sz w:val="22"/>
                <w:szCs w:val="22"/>
                <w:highlight w:val="none"/>
                <w:lang w:eastAsia="zh-CN"/>
              </w:rPr>
              <w:t>。</w:t>
            </w:r>
          </w:p>
        </w:tc>
      </w:tr>
      <w:tr w14:paraId="0C2A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6626F9AE">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w:t>
            </w:r>
          </w:p>
        </w:tc>
        <w:tc>
          <w:tcPr>
            <w:tcW w:w="837" w:type="pct"/>
            <w:shd w:val="clear" w:color="auto" w:fill="auto"/>
            <w:vAlign w:val="center"/>
          </w:tcPr>
          <w:p w14:paraId="700F02CB">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配置清单</w:t>
            </w:r>
          </w:p>
        </w:tc>
        <w:tc>
          <w:tcPr>
            <w:tcW w:w="3662" w:type="pct"/>
            <w:shd w:val="clear" w:color="auto" w:fill="auto"/>
            <w:vAlign w:val="top"/>
          </w:tcPr>
          <w:p w14:paraId="040C152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每台设备配置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1个充电器、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1支签字笔</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每5台设备配备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一条数据线。</w:t>
            </w:r>
          </w:p>
        </w:tc>
      </w:tr>
    </w:tbl>
    <w:p w14:paraId="67F3C67C">
      <w:pPr>
        <w:pStyle w:val="14"/>
        <w:keepNext w:val="0"/>
        <w:keepLines w:val="0"/>
        <w:pageBreakBefore w:val="0"/>
        <w:kinsoku/>
        <w:wordWrap w:val="0"/>
        <w:topLinePunct w:val="0"/>
        <w:bidi w:val="0"/>
        <w:adjustRightInd/>
        <w:snapToGrid w:val="0"/>
        <w:spacing w:line="360" w:lineRule="auto"/>
        <w:ind w:left="0"/>
        <w:textAlignment w:val="auto"/>
        <w:outlineLvl w:val="9"/>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lang w:eastAsia="zh-CN"/>
        </w:rPr>
        <w:t>商务要求：</w:t>
      </w:r>
    </w:p>
    <w:p w14:paraId="00470698">
      <w:pPr>
        <w:pStyle w:val="8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售后服务：整体项目质保期≥</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年；质保期内，每年至少2次免费维护保养；质保期外，每年至少1次免费维护保养；报修后2小时内响应，48小时内到达维修地点。</w:t>
      </w:r>
    </w:p>
    <w:p w14:paraId="69E3F7D5">
      <w:pPr>
        <w:pStyle w:val="8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到货安装时间：合同签订后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15</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天内完成设备的供货、</w:t>
      </w:r>
      <w:r>
        <w:rPr>
          <w:rFonts w:hint="eastAsia" w:ascii="宋体" w:hAnsi="宋体" w:eastAsia="宋体" w:cs="宋体"/>
          <w:bCs/>
          <w:color w:val="auto"/>
          <w:kern w:val="0"/>
          <w:sz w:val="22"/>
          <w:szCs w:val="22"/>
          <w:highlight w:val="none"/>
        </w:rPr>
        <w:t>安装、调试、现场培训及验收工作</w:t>
      </w:r>
      <w:r>
        <w:rPr>
          <w:rFonts w:hint="eastAsia" w:ascii="宋体" w:hAnsi="宋体" w:eastAsia="宋体" w:cs="宋体"/>
          <w:color w:val="auto"/>
          <w:sz w:val="22"/>
          <w:szCs w:val="22"/>
          <w:highlight w:val="none"/>
        </w:rPr>
        <w:t>。</w:t>
      </w:r>
    </w:p>
    <w:p w14:paraId="756034F6">
      <w:pPr>
        <w:pStyle w:val="8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付款方式：签订合同</w:t>
      </w:r>
      <w:r>
        <w:rPr>
          <w:rFonts w:hint="eastAsia" w:ascii="宋体" w:hAnsi="宋体" w:eastAsia="宋体" w:cs="宋体"/>
          <w:color w:val="auto"/>
          <w:sz w:val="22"/>
          <w:szCs w:val="22"/>
          <w:highlight w:val="none"/>
          <w:lang w:eastAsia="zh-CN"/>
        </w:rPr>
        <w:t>后，</w:t>
      </w:r>
      <w:r>
        <w:rPr>
          <w:rFonts w:hint="eastAsia" w:ascii="宋体" w:hAnsi="宋体" w:eastAsia="宋体" w:cs="宋体"/>
          <w:color w:val="auto"/>
          <w:sz w:val="22"/>
          <w:szCs w:val="22"/>
          <w:highlight w:val="none"/>
        </w:rPr>
        <w:t>向中标人支付合同金额的</w:t>
      </w:r>
      <w:r>
        <w:rPr>
          <w:rFonts w:hint="eastAsia" w:ascii="宋体" w:hAnsi="宋体" w:eastAsia="宋体" w:cs="宋体"/>
          <w:color w:val="auto"/>
          <w:sz w:val="22"/>
          <w:szCs w:val="22"/>
          <w:highlight w:val="none"/>
          <w:lang w:val="en-US" w:eastAsia="zh-CN"/>
        </w:rPr>
        <w:t>40</w:t>
      </w:r>
      <w:r>
        <w:rPr>
          <w:rFonts w:hint="eastAsia" w:ascii="宋体" w:hAnsi="宋体" w:eastAsia="宋体" w:cs="宋体"/>
          <w:color w:val="auto"/>
          <w:sz w:val="22"/>
          <w:szCs w:val="22"/>
          <w:highlight w:val="none"/>
        </w:rPr>
        <w:t>%作为预付款，预付款在后续货款中作相应抵扣。其余合同款项在安装验收合格后支付，采购人自收到发票后</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个工作日内将货款支付给中标人。在签订合同时，中标人明确表示无需预付款的，合同款项在安装验收合格后支付，采购人自收到发票后</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个工作日内将货款支付给中标人。</w:t>
      </w:r>
    </w:p>
    <w:p w14:paraId="24AF287B">
      <w:pPr>
        <w:pStyle w:val="8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验收时需提供响应技术参数的全套清晰的证明文件。</w:t>
      </w:r>
    </w:p>
    <w:p w14:paraId="6D276516">
      <w:pPr>
        <w:pStyle w:val="8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列明耗材和配件报价清单及设备过保后年保修费用。</w:t>
      </w:r>
    </w:p>
    <w:p w14:paraId="393D2A05">
      <w:pPr>
        <w:rPr>
          <w:rFonts w:hint="eastAsia" w:ascii="宋体" w:hAnsi="宋体" w:eastAsia="宋体" w:cs="宋体"/>
          <w:b/>
          <w:bCs/>
          <w:color w:val="auto"/>
          <w:kern w:val="2"/>
          <w:sz w:val="22"/>
          <w:szCs w:val="22"/>
          <w:highlight w:val="none"/>
          <w:lang w:val="en-US" w:eastAsia="zh-CN" w:bidi="ar-SA"/>
        </w:rPr>
      </w:pPr>
      <w:bookmarkStart w:id="54" w:name="_Toc155"/>
      <w:r>
        <w:rPr>
          <w:rFonts w:hint="eastAsia" w:ascii="宋体" w:hAnsi="宋体" w:eastAsia="宋体" w:cs="宋体"/>
          <w:b/>
          <w:bCs/>
          <w:color w:val="auto"/>
          <w:kern w:val="2"/>
          <w:sz w:val="22"/>
          <w:szCs w:val="22"/>
          <w:highlight w:val="none"/>
          <w:lang w:val="en-US" w:eastAsia="zh-CN" w:bidi="ar-SA"/>
        </w:rPr>
        <w:br w:type="page"/>
      </w:r>
    </w:p>
    <w:p w14:paraId="5EB9B1DB">
      <w:pPr>
        <w:pageBreakBefore w:val="0"/>
        <w:numPr>
          <w:ilvl w:val="-1"/>
          <w:numId w:val="0"/>
        </w:numPr>
        <w:kinsoku/>
        <w:wordWrap w:val="0"/>
        <w:topLinePunct w:val="0"/>
        <w:bidi w:val="0"/>
        <w:spacing w:line="400" w:lineRule="exact"/>
        <w:jc w:val="center"/>
        <w:outlineLvl w:val="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标项2：PDA</w:t>
      </w:r>
      <w:bookmarkEnd w:id="54"/>
    </w:p>
    <w:p w14:paraId="6A337072">
      <w:pPr>
        <w:keepNext w:val="0"/>
        <w:keepLines w:val="0"/>
        <w:pageBreakBefore w:val="0"/>
        <w:tabs>
          <w:tab w:val="left" w:pos="432"/>
        </w:tabs>
        <w:kinsoku/>
        <w:wordWrap w:val="0"/>
        <w:topLinePunct w:val="0"/>
        <w:bidi w:val="0"/>
        <w:adjustRightInd/>
        <w:snapToGrid w:val="0"/>
        <w:spacing w:line="360" w:lineRule="auto"/>
        <w:ind w:left="0"/>
        <w:jc w:val="left"/>
        <w:rPr>
          <w:rFonts w:hint="eastAsia" w:ascii="宋体" w:hAnsi="宋体" w:eastAsia="宋体" w:cs="宋体"/>
          <w:b/>
          <w:bCs/>
          <w:color w:val="auto"/>
          <w:spacing w:val="-6"/>
          <w:sz w:val="22"/>
          <w:szCs w:val="22"/>
          <w:highlight w:val="none"/>
        </w:rPr>
      </w:pPr>
      <w:r>
        <w:rPr>
          <w:rFonts w:hint="eastAsia" w:ascii="宋体" w:hAnsi="宋体" w:eastAsia="宋体" w:cs="宋体"/>
          <w:b/>
          <w:color w:val="auto"/>
          <w:sz w:val="22"/>
          <w:szCs w:val="22"/>
          <w:highlight w:val="none"/>
        </w:rPr>
        <w:t>一、</w:t>
      </w:r>
      <w:r>
        <w:rPr>
          <w:rFonts w:hint="eastAsia" w:ascii="宋体" w:hAnsi="宋体" w:eastAsia="宋体" w:cs="宋体"/>
          <w:b/>
          <w:bCs/>
          <w:color w:val="auto"/>
          <w:spacing w:val="-6"/>
          <w:sz w:val="22"/>
          <w:szCs w:val="22"/>
          <w:highlight w:val="none"/>
        </w:rPr>
        <w:t>采购清单（标的物清单）</w:t>
      </w:r>
    </w:p>
    <w:tbl>
      <w:tblPr>
        <w:tblStyle w:val="32"/>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058"/>
        <w:gridCol w:w="960"/>
        <w:gridCol w:w="1067"/>
        <w:gridCol w:w="2746"/>
        <w:gridCol w:w="2321"/>
      </w:tblGrid>
      <w:tr w14:paraId="5F4E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7F931ACE">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序号</w:t>
            </w:r>
          </w:p>
        </w:tc>
        <w:tc>
          <w:tcPr>
            <w:tcW w:w="1036" w:type="pct"/>
            <w:noWrap w:val="0"/>
            <w:vAlign w:val="center"/>
          </w:tcPr>
          <w:p w14:paraId="14811270">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标的名称</w:t>
            </w:r>
          </w:p>
        </w:tc>
        <w:tc>
          <w:tcPr>
            <w:tcW w:w="483" w:type="pct"/>
            <w:noWrap w:val="0"/>
            <w:vAlign w:val="center"/>
          </w:tcPr>
          <w:p w14:paraId="680340F1">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数量</w:t>
            </w:r>
          </w:p>
        </w:tc>
        <w:tc>
          <w:tcPr>
            <w:tcW w:w="537" w:type="pct"/>
            <w:noWrap w:val="0"/>
            <w:vAlign w:val="center"/>
          </w:tcPr>
          <w:p w14:paraId="07DF7A11">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单位</w:t>
            </w:r>
          </w:p>
        </w:tc>
        <w:tc>
          <w:tcPr>
            <w:tcW w:w="1382" w:type="pct"/>
            <w:noWrap w:val="0"/>
            <w:vAlign w:val="center"/>
          </w:tcPr>
          <w:p w14:paraId="3E4A5BCB">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是否允许采购进口产品</w:t>
            </w:r>
          </w:p>
        </w:tc>
        <w:tc>
          <w:tcPr>
            <w:tcW w:w="1168" w:type="pct"/>
            <w:noWrap w:val="0"/>
            <w:vAlign w:val="center"/>
          </w:tcPr>
          <w:p w14:paraId="0ECF707F">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备注</w:t>
            </w:r>
          </w:p>
        </w:tc>
      </w:tr>
      <w:tr w14:paraId="5E89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 w:type="pct"/>
            <w:noWrap w:val="0"/>
            <w:vAlign w:val="center"/>
          </w:tcPr>
          <w:p w14:paraId="3B4C8095">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1036" w:type="pct"/>
            <w:shd w:val="clear" w:color="auto" w:fill="auto"/>
            <w:noWrap w:val="0"/>
            <w:vAlign w:val="center"/>
          </w:tcPr>
          <w:p w14:paraId="035B1CEF">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PDA</w:t>
            </w:r>
          </w:p>
        </w:tc>
        <w:tc>
          <w:tcPr>
            <w:tcW w:w="483" w:type="pct"/>
            <w:noWrap w:val="0"/>
            <w:vAlign w:val="center"/>
          </w:tcPr>
          <w:p w14:paraId="51D49703">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70</w:t>
            </w:r>
          </w:p>
        </w:tc>
        <w:tc>
          <w:tcPr>
            <w:tcW w:w="537" w:type="pct"/>
            <w:noWrap w:val="0"/>
            <w:vAlign w:val="center"/>
          </w:tcPr>
          <w:p w14:paraId="5F774C1E">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台</w:t>
            </w:r>
          </w:p>
        </w:tc>
        <w:tc>
          <w:tcPr>
            <w:tcW w:w="1382" w:type="pct"/>
            <w:noWrap w:val="0"/>
            <w:vAlign w:val="center"/>
          </w:tcPr>
          <w:p w14:paraId="57B446E3">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否</w:t>
            </w:r>
          </w:p>
        </w:tc>
        <w:tc>
          <w:tcPr>
            <w:tcW w:w="1168" w:type="pct"/>
            <w:noWrap w:val="0"/>
            <w:vAlign w:val="center"/>
          </w:tcPr>
          <w:p w14:paraId="24F6FB22">
            <w:pPr>
              <w:keepNext w:val="0"/>
              <w:keepLines w:val="0"/>
              <w:pageBreakBefore w:val="0"/>
              <w:widowControl/>
              <w:kinsoku/>
              <w:topLinePunct w:val="0"/>
              <w:bidi w:val="0"/>
              <w:adjustRightInd/>
              <w:spacing w:line="360" w:lineRule="auto"/>
              <w:ind w:left="0"/>
              <w:jc w:val="center"/>
              <w:textAlignment w:val="center"/>
              <w:rPr>
                <w:rFonts w:hint="eastAsia" w:ascii="宋体" w:hAnsi="宋体" w:eastAsia="宋体" w:cs="宋体"/>
                <w:color w:val="auto"/>
                <w:kern w:val="0"/>
                <w:sz w:val="22"/>
                <w:szCs w:val="22"/>
                <w:highlight w:val="none"/>
                <w:lang w:bidi="ar"/>
              </w:rPr>
            </w:pPr>
          </w:p>
        </w:tc>
      </w:tr>
    </w:tbl>
    <w:p w14:paraId="2FEDF4AB">
      <w:pPr>
        <w:pStyle w:val="14"/>
        <w:keepNext w:val="0"/>
        <w:keepLines w:val="0"/>
        <w:pageBreakBefore w:val="0"/>
        <w:kinsoku/>
        <w:wordWrap w:val="0"/>
        <w:topLinePunct w:val="0"/>
        <w:bidi w:val="0"/>
        <w:adjustRightInd/>
        <w:snapToGrid w:val="0"/>
        <w:spacing w:line="360" w:lineRule="auto"/>
        <w:ind w:left="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pacing w:val="-6"/>
          <w:sz w:val="22"/>
          <w:szCs w:val="22"/>
          <w:highlight w:val="none"/>
        </w:rPr>
        <w:t>二、技术参数</w:t>
      </w:r>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539"/>
        <w:gridCol w:w="7600"/>
      </w:tblGrid>
      <w:tr w14:paraId="1A07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334772E5">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序号</w:t>
            </w:r>
          </w:p>
        </w:tc>
        <w:tc>
          <w:tcPr>
            <w:tcW w:w="775" w:type="pct"/>
            <w:shd w:val="clear" w:color="auto" w:fill="auto"/>
            <w:vAlign w:val="center"/>
          </w:tcPr>
          <w:p w14:paraId="3FA07EDC">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指标项</w:t>
            </w:r>
          </w:p>
        </w:tc>
        <w:tc>
          <w:tcPr>
            <w:tcW w:w="3826" w:type="pct"/>
            <w:shd w:val="clear" w:color="auto" w:fill="auto"/>
            <w:vAlign w:val="center"/>
          </w:tcPr>
          <w:p w14:paraId="1C02CEE8">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技术要求</w:t>
            </w:r>
          </w:p>
        </w:tc>
      </w:tr>
      <w:tr w14:paraId="6CB7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2C56B139">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p>
        </w:tc>
        <w:tc>
          <w:tcPr>
            <w:tcW w:w="775" w:type="pct"/>
            <w:shd w:val="clear" w:color="auto" w:fill="auto"/>
            <w:vAlign w:val="center"/>
          </w:tcPr>
          <w:p w14:paraId="11C27C54">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处理器</w:t>
            </w:r>
          </w:p>
        </w:tc>
        <w:tc>
          <w:tcPr>
            <w:tcW w:w="3826" w:type="pct"/>
            <w:shd w:val="clear" w:color="auto" w:fill="auto"/>
            <w:vAlign w:val="center"/>
          </w:tcPr>
          <w:p w14:paraId="5D4D37CB">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≥8核处理器，频率≥2.0GHZ</w:t>
            </w:r>
          </w:p>
        </w:tc>
      </w:tr>
      <w:tr w14:paraId="3B14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1A10EF73">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7758A5FA">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内存容量</w:t>
            </w:r>
          </w:p>
        </w:tc>
        <w:tc>
          <w:tcPr>
            <w:tcW w:w="3826" w:type="pct"/>
            <w:shd w:val="clear" w:color="auto" w:fill="auto"/>
            <w:vAlign w:val="center"/>
          </w:tcPr>
          <w:p w14:paraId="43CD5195">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≥6GB RAM，≥64GB ROM</w:t>
            </w:r>
          </w:p>
        </w:tc>
      </w:tr>
      <w:tr w14:paraId="71F5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98" w:type="pct"/>
            <w:shd w:val="clear" w:color="auto" w:fill="auto"/>
            <w:vAlign w:val="center"/>
          </w:tcPr>
          <w:p w14:paraId="2B652F90">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top"/>
          </w:tcPr>
          <w:p w14:paraId="7302DE3C">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充电</w:t>
            </w:r>
          </w:p>
        </w:tc>
        <w:tc>
          <w:tcPr>
            <w:tcW w:w="3826" w:type="pct"/>
            <w:shd w:val="clear" w:color="auto" w:fill="auto"/>
            <w:vAlign w:val="top"/>
          </w:tcPr>
          <w:p w14:paraId="327CE955">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Type-C充电接口，支持QC快充</w:t>
            </w:r>
          </w:p>
        </w:tc>
      </w:tr>
      <w:tr w14:paraId="168E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98" w:type="pct"/>
            <w:shd w:val="clear" w:color="auto" w:fill="auto"/>
            <w:vAlign w:val="center"/>
          </w:tcPr>
          <w:p w14:paraId="07C5F9CD">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0822CD88">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en-US" w:bidi="ar-SA"/>
              </w:rPr>
            </w:pPr>
            <w:r>
              <w:rPr>
                <w:rFonts w:hint="eastAsia" w:ascii="宋体" w:hAnsi="宋体" w:eastAsia="宋体" w:cs="宋体"/>
                <w:color w:val="auto"/>
                <w:kern w:val="2"/>
                <w:sz w:val="22"/>
                <w:szCs w:val="22"/>
                <w:highlight w:val="none"/>
                <w:lang w:val="en-US" w:eastAsia="zh-CN" w:bidi="ar-SA"/>
              </w:rPr>
              <w:t>电池</w:t>
            </w:r>
          </w:p>
        </w:tc>
        <w:tc>
          <w:tcPr>
            <w:tcW w:w="3826" w:type="pct"/>
            <w:shd w:val="clear" w:color="auto" w:fill="auto"/>
            <w:vAlign w:val="center"/>
          </w:tcPr>
          <w:p w14:paraId="03B0F693">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en-US" w:bidi="ar-SA"/>
              </w:rPr>
            </w:pPr>
            <w:r>
              <w:rPr>
                <w:rFonts w:hint="eastAsia" w:ascii="宋体" w:hAnsi="宋体" w:eastAsia="宋体" w:cs="宋体"/>
                <w:color w:val="auto"/>
                <w:kern w:val="2"/>
                <w:sz w:val="22"/>
                <w:szCs w:val="22"/>
                <w:highlight w:val="none"/>
                <w:lang w:val="en-US" w:eastAsia="zh-CN" w:bidi="ar-SA"/>
              </w:rPr>
              <w:t>≥5000mAh锂电池</w:t>
            </w:r>
          </w:p>
        </w:tc>
      </w:tr>
      <w:tr w14:paraId="14B7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98" w:type="pct"/>
            <w:shd w:val="clear" w:color="auto" w:fill="auto"/>
            <w:vAlign w:val="center"/>
          </w:tcPr>
          <w:p w14:paraId="34728BA7">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16E40D6A">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按键</w:t>
            </w:r>
          </w:p>
        </w:tc>
        <w:tc>
          <w:tcPr>
            <w:tcW w:w="3826" w:type="pct"/>
            <w:shd w:val="clear" w:color="auto" w:fill="auto"/>
            <w:vAlign w:val="center"/>
          </w:tcPr>
          <w:p w14:paraId="23C095E8">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电源键，扫描键（左右），音量键</w:t>
            </w:r>
          </w:p>
        </w:tc>
      </w:tr>
      <w:tr w14:paraId="3125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98" w:type="pct"/>
            <w:shd w:val="clear" w:color="auto" w:fill="auto"/>
            <w:vAlign w:val="center"/>
          </w:tcPr>
          <w:p w14:paraId="2E3E13C1">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61B76727">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屏幕</w:t>
            </w:r>
          </w:p>
        </w:tc>
        <w:tc>
          <w:tcPr>
            <w:tcW w:w="3826" w:type="pct"/>
            <w:shd w:val="clear" w:color="auto" w:fill="auto"/>
            <w:vAlign w:val="center"/>
          </w:tcPr>
          <w:p w14:paraId="5135BB96">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≥5.5英寸，支持多点触控、手套触摸，分辨率支持：≥720×1440</w:t>
            </w:r>
          </w:p>
        </w:tc>
      </w:tr>
      <w:tr w14:paraId="0587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shd w:val="clear" w:color="auto" w:fill="auto"/>
            <w:vAlign w:val="center"/>
          </w:tcPr>
          <w:p w14:paraId="335532C2">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0D74F2C2">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摄像头</w:t>
            </w:r>
          </w:p>
        </w:tc>
        <w:tc>
          <w:tcPr>
            <w:tcW w:w="3826" w:type="pct"/>
            <w:shd w:val="clear" w:color="auto" w:fill="auto"/>
            <w:vAlign w:val="center"/>
          </w:tcPr>
          <w:p w14:paraId="48F4B467">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后置摄像头≥1300万像素，支持变焦、自动对焦</w:t>
            </w:r>
          </w:p>
        </w:tc>
      </w:tr>
      <w:tr w14:paraId="1E2B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56F69AEE">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0B5EA4CA">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手电筒</w:t>
            </w:r>
          </w:p>
        </w:tc>
        <w:tc>
          <w:tcPr>
            <w:tcW w:w="3826" w:type="pct"/>
            <w:shd w:val="clear" w:color="auto" w:fill="auto"/>
            <w:vAlign w:val="center"/>
          </w:tcPr>
          <w:p w14:paraId="4B4116D9">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双手电筒设置，分别方便护士察看病人瞳孔和夜间查房</w:t>
            </w:r>
          </w:p>
        </w:tc>
      </w:tr>
      <w:tr w14:paraId="5B57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6A4C913B">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3A4F3C7A">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重量</w:t>
            </w:r>
          </w:p>
        </w:tc>
        <w:tc>
          <w:tcPr>
            <w:tcW w:w="3826" w:type="pct"/>
            <w:shd w:val="clear" w:color="auto" w:fill="auto"/>
            <w:vAlign w:val="center"/>
          </w:tcPr>
          <w:p w14:paraId="22A336BA">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≤280g（含标准电池）</w:t>
            </w:r>
          </w:p>
        </w:tc>
      </w:tr>
      <w:tr w14:paraId="165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2805871A">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19CE7754">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尺寸</w:t>
            </w:r>
          </w:p>
        </w:tc>
        <w:tc>
          <w:tcPr>
            <w:tcW w:w="3826" w:type="pct"/>
            <w:shd w:val="clear" w:color="auto" w:fill="auto"/>
            <w:vAlign w:val="center"/>
          </w:tcPr>
          <w:p w14:paraId="141A1130">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≤170mmL×80mmW×17mmD</w:t>
            </w:r>
          </w:p>
        </w:tc>
      </w:tr>
      <w:tr w14:paraId="2B6C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546A7641">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0199F62E">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WIFI网络</w:t>
            </w:r>
          </w:p>
        </w:tc>
        <w:tc>
          <w:tcPr>
            <w:tcW w:w="3826" w:type="pct"/>
            <w:shd w:val="clear" w:color="auto" w:fill="auto"/>
            <w:vAlign w:val="center"/>
          </w:tcPr>
          <w:p w14:paraId="6F594CB4">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支持2.4G/5G双频，IEEE 802.11a/b/g/n/ac/d/e/h/i/k/r/v/w协议</w:t>
            </w:r>
          </w:p>
          <w:p w14:paraId="10C99DAA">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快速漫游：802.11r/OKC/PMKID caching</w:t>
            </w:r>
          </w:p>
          <w:p w14:paraId="5E40CB96">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支持IEEE 802.11 ax ready</w:t>
            </w:r>
          </w:p>
        </w:tc>
      </w:tr>
      <w:tr w14:paraId="0379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3249378A">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42CED0D5">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无线广域网</w:t>
            </w:r>
          </w:p>
        </w:tc>
        <w:tc>
          <w:tcPr>
            <w:tcW w:w="3826" w:type="pct"/>
            <w:shd w:val="clear" w:color="auto" w:fill="auto"/>
            <w:vAlign w:val="center"/>
          </w:tcPr>
          <w:p w14:paraId="6E8C17E9">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支持4G全网通，向下兼容3G、2G网络</w:t>
            </w:r>
          </w:p>
        </w:tc>
      </w:tr>
      <w:tr w14:paraId="4D0D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650E4176">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7218E942">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定位</w:t>
            </w:r>
          </w:p>
        </w:tc>
        <w:tc>
          <w:tcPr>
            <w:tcW w:w="3826" w:type="pct"/>
            <w:shd w:val="clear" w:color="auto" w:fill="auto"/>
            <w:vAlign w:val="center"/>
          </w:tcPr>
          <w:p w14:paraId="057C46CD">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支持高GPS，A-GPS、北斗和GLONASS定位</w:t>
            </w:r>
          </w:p>
        </w:tc>
      </w:tr>
      <w:tr w14:paraId="55D9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21EC5C66">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646041ED">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蓝牙</w:t>
            </w:r>
          </w:p>
        </w:tc>
        <w:tc>
          <w:tcPr>
            <w:tcW w:w="3826" w:type="pct"/>
            <w:shd w:val="clear" w:color="auto" w:fill="auto"/>
            <w:vAlign w:val="center"/>
          </w:tcPr>
          <w:p w14:paraId="127E210B">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蓝牙5.0或以上，支持BR/EDR+BLE</w:t>
            </w:r>
          </w:p>
        </w:tc>
      </w:tr>
      <w:tr w14:paraId="7EDD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48CB89FA">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3AD9B233">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TF卡槽</w:t>
            </w:r>
          </w:p>
        </w:tc>
        <w:tc>
          <w:tcPr>
            <w:tcW w:w="3826" w:type="pct"/>
            <w:shd w:val="clear" w:color="auto" w:fill="auto"/>
            <w:vAlign w:val="center"/>
          </w:tcPr>
          <w:p w14:paraId="6B34E95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支持TF卡槽，支持256GB或以上存储扩展卡</w:t>
            </w:r>
          </w:p>
        </w:tc>
      </w:tr>
      <w:tr w14:paraId="64B4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079C6ACD">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2E93DD6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SIM卡槽</w:t>
            </w:r>
          </w:p>
        </w:tc>
        <w:tc>
          <w:tcPr>
            <w:tcW w:w="3826" w:type="pct"/>
            <w:shd w:val="clear" w:color="auto" w:fill="auto"/>
            <w:vAlign w:val="center"/>
          </w:tcPr>
          <w:p w14:paraId="6E17C368">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支持通用Nano-SIM卡，支持双卡双待</w:t>
            </w:r>
            <w:r>
              <w:rPr>
                <w:rFonts w:hint="eastAsia" w:ascii="宋体" w:hAnsi="宋体" w:eastAsia="宋体" w:cs="宋体"/>
                <w:color w:val="auto"/>
                <w:kern w:val="2"/>
                <w:sz w:val="22"/>
                <w:szCs w:val="22"/>
                <w:highlight w:val="none"/>
                <w:lang w:val="en-US" w:eastAsia="zh-Hans" w:bidi="ar-SA"/>
              </w:rPr>
              <w:t>。</w:t>
            </w:r>
          </w:p>
        </w:tc>
      </w:tr>
      <w:tr w14:paraId="0188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5ACCE02C">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6FC69354">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条码扫描引擎</w:t>
            </w:r>
          </w:p>
        </w:tc>
        <w:tc>
          <w:tcPr>
            <w:tcW w:w="3826" w:type="pct"/>
            <w:shd w:val="clear" w:color="auto" w:fill="auto"/>
            <w:vAlign w:val="center"/>
          </w:tcPr>
          <w:p w14:paraId="6D0CB9D5">
            <w:pPr>
              <w:keepNext w:val="0"/>
              <w:keepLines w:val="0"/>
              <w:pageBreakBefore w:val="0"/>
              <w:kinsoku/>
              <w:topLinePunct w:val="0"/>
              <w:bidi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扫描角度：旋转视角360°，上下倾斜视角：±60°，左右偏移视角：±60°；</w:t>
            </w:r>
          </w:p>
        </w:tc>
      </w:tr>
      <w:tr w14:paraId="36C5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0A4BC201">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651EE6EE">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RFID</w:t>
            </w:r>
          </w:p>
        </w:tc>
        <w:tc>
          <w:tcPr>
            <w:tcW w:w="3826" w:type="pct"/>
            <w:shd w:val="clear" w:color="auto" w:fill="auto"/>
            <w:vAlign w:val="center"/>
          </w:tcPr>
          <w:p w14:paraId="5C410DA5">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13.56MHz，支持ISO14443 A&amp;B、ISO15693协议，支持NFC；</w:t>
            </w:r>
          </w:p>
        </w:tc>
      </w:tr>
      <w:tr w14:paraId="098F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2F7989D8">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2273176E">
            <w:pPr>
              <w:keepNext w:val="0"/>
              <w:keepLines w:val="0"/>
              <w:pageBreakBefore w:val="0"/>
              <w:kinsoku/>
              <w:topLinePunct w:val="0"/>
              <w:bidi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条码扫描窗</w:t>
            </w:r>
          </w:p>
        </w:tc>
        <w:tc>
          <w:tcPr>
            <w:tcW w:w="3826" w:type="pct"/>
            <w:shd w:val="clear" w:color="auto" w:fill="auto"/>
            <w:vAlign w:val="center"/>
          </w:tcPr>
          <w:p w14:paraId="3D54293E">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Hans" w:bidi="ar-SA"/>
              </w:rPr>
            </w:pPr>
            <w:r>
              <w:rPr>
                <w:rFonts w:hint="eastAsia" w:ascii="宋体" w:hAnsi="宋体" w:eastAsia="宋体" w:cs="宋体"/>
                <w:color w:val="auto"/>
                <w:kern w:val="2"/>
                <w:sz w:val="22"/>
                <w:szCs w:val="22"/>
                <w:highlight w:val="none"/>
                <w:lang w:val="en-US" w:eastAsia="zh-Hans" w:bidi="ar-SA"/>
              </w:rPr>
              <w:t>可读取国际通用一维条码和二维条码</w:t>
            </w:r>
          </w:p>
          <w:p w14:paraId="0D933217">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Hans" w:bidi="ar-SA"/>
              </w:rPr>
            </w:pPr>
            <w:r>
              <w:rPr>
                <w:rFonts w:hint="eastAsia" w:ascii="宋体" w:hAnsi="宋体" w:eastAsia="宋体" w:cs="宋体"/>
                <w:color w:val="auto"/>
                <w:kern w:val="2"/>
                <w:sz w:val="22"/>
                <w:szCs w:val="22"/>
                <w:highlight w:val="none"/>
                <w:lang w:val="en-US" w:eastAsia="zh-Hans" w:bidi="ar-SA"/>
              </w:rPr>
              <w:t>同时支持左右两侧实体扫描按键及屏幕虚拟扫描按键扫描</w:t>
            </w:r>
          </w:p>
          <w:p w14:paraId="616D8A6F">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支持设置关闭补光灯，仅保留瞄准灯（可现场测试）</w:t>
            </w:r>
          </w:p>
        </w:tc>
      </w:tr>
      <w:tr w14:paraId="6A91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55904106">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6279BB05">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连续扫描</w:t>
            </w:r>
          </w:p>
        </w:tc>
        <w:tc>
          <w:tcPr>
            <w:tcW w:w="3826" w:type="pct"/>
            <w:shd w:val="clear" w:color="auto" w:fill="auto"/>
            <w:vAlign w:val="center"/>
          </w:tcPr>
          <w:p w14:paraId="07845396">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可支持条码屏幕倒转扫描和自动连续扫描</w:t>
            </w:r>
          </w:p>
        </w:tc>
      </w:tr>
      <w:tr w14:paraId="282D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601CA565">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549FC4B8">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操作系统</w:t>
            </w:r>
          </w:p>
        </w:tc>
        <w:tc>
          <w:tcPr>
            <w:tcW w:w="3826" w:type="pct"/>
            <w:shd w:val="clear" w:color="auto" w:fill="auto"/>
            <w:vAlign w:val="center"/>
          </w:tcPr>
          <w:p w14:paraId="6E49E237">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Android11或以上操作系统；支持系统签名</w:t>
            </w:r>
          </w:p>
        </w:tc>
      </w:tr>
      <w:tr w14:paraId="166F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7B581873">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71661FEB">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固件升级</w:t>
            </w:r>
          </w:p>
        </w:tc>
        <w:tc>
          <w:tcPr>
            <w:tcW w:w="3826" w:type="pct"/>
            <w:shd w:val="clear" w:color="auto" w:fill="auto"/>
            <w:vAlign w:val="center"/>
          </w:tcPr>
          <w:p w14:paraId="1A319EBE">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支持OTA在线系统升级，当设备收到新版本更新提示时，在连接好WiFi无线网络的环境下，用户可选择更新，自动下载、验证、更新系统升级包。</w:t>
            </w:r>
          </w:p>
        </w:tc>
      </w:tr>
      <w:tr w14:paraId="1FE2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1D4F4603">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559BADFC">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网络安全管理</w:t>
            </w:r>
          </w:p>
        </w:tc>
        <w:tc>
          <w:tcPr>
            <w:tcW w:w="3826" w:type="pct"/>
            <w:shd w:val="clear" w:color="auto" w:fill="auto"/>
            <w:vAlign w:val="center"/>
          </w:tcPr>
          <w:p w14:paraId="3C77EC9D">
            <w:pPr>
              <w:keepNext w:val="0"/>
              <w:keepLines w:val="0"/>
              <w:pageBreakBefore w:val="0"/>
              <w:kinsoku/>
              <w:topLinePunct w:val="0"/>
              <w:bidi w:val="0"/>
              <w:spacing w:line="360" w:lineRule="auto"/>
              <w:contextualSpacing/>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可实现对医院Wlan指定SSID和MAC地址双向绑定，确保设备院内医疗使用。</w:t>
            </w:r>
          </w:p>
        </w:tc>
      </w:tr>
      <w:tr w14:paraId="04FA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458F6773">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5D836E03">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设备安全管理</w:t>
            </w:r>
          </w:p>
        </w:tc>
        <w:tc>
          <w:tcPr>
            <w:tcW w:w="3826" w:type="pct"/>
            <w:shd w:val="clear" w:color="auto" w:fill="auto"/>
            <w:vAlign w:val="center"/>
          </w:tcPr>
          <w:p w14:paraId="3574DA0C">
            <w:pPr>
              <w:keepNext w:val="0"/>
              <w:keepLines w:val="0"/>
              <w:pageBreakBefore w:val="0"/>
              <w:kinsoku/>
              <w:topLinePunct w:val="0"/>
              <w:bidi w:val="0"/>
              <w:spacing w:line="360" w:lineRule="auto"/>
              <w:contextualSpacing/>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提供设备安全管理方案，对软件的安装/卸载、设置、USB数据传输、文件管理（复制、修改、删除文件）进行密码保护。</w:t>
            </w:r>
          </w:p>
        </w:tc>
      </w:tr>
      <w:tr w14:paraId="753F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69802D65">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7950366C">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设备管理</w:t>
            </w:r>
          </w:p>
        </w:tc>
        <w:tc>
          <w:tcPr>
            <w:tcW w:w="3826" w:type="pct"/>
            <w:shd w:val="clear" w:color="auto" w:fill="auto"/>
            <w:vAlign w:val="center"/>
          </w:tcPr>
          <w:p w14:paraId="322785D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可提供MDM设备管理平台，远程监管设备，批量应用安装，远程定位，安全管控等</w:t>
            </w:r>
          </w:p>
        </w:tc>
      </w:tr>
      <w:tr w14:paraId="1AC5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shd w:val="clear" w:color="auto" w:fill="auto"/>
            <w:vAlign w:val="center"/>
          </w:tcPr>
          <w:p w14:paraId="6623D76A">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u w:val="single"/>
              </w:rPr>
              <w:t>▲</w:t>
            </w:r>
          </w:p>
        </w:tc>
        <w:tc>
          <w:tcPr>
            <w:tcW w:w="775" w:type="pct"/>
            <w:shd w:val="clear" w:color="auto" w:fill="auto"/>
            <w:vAlign w:val="center"/>
          </w:tcPr>
          <w:p w14:paraId="3E7796A7">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u w:val="single"/>
                <w:lang w:val="en-US" w:eastAsia="zh-Hans" w:bidi="ar-SA"/>
              </w:rPr>
            </w:pPr>
            <w:r>
              <w:rPr>
                <w:rFonts w:hint="eastAsia" w:ascii="宋体" w:hAnsi="宋体" w:eastAsia="宋体" w:cs="宋体"/>
                <w:color w:val="auto"/>
                <w:kern w:val="2"/>
                <w:sz w:val="22"/>
                <w:szCs w:val="22"/>
                <w:highlight w:val="none"/>
                <w:u w:val="single"/>
                <w:lang w:val="en-US" w:eastAsia="zh-CN" w:bidi="ar-SA"/>
              </w:rPr>
              <w:t>产品认证</w:t>
            </w:r>
          </w:p>
        </w:tc>
        <w:tc>
          <w:tcPr>
            <w:tcW w:w="3826" w:type="pct"/>
            <w:shd w:val="clear" w:color="auto" w:fill="auto"/>
            <w:vAlign w:val="center"/>
          </w:tcPr>
          <w:p w14:paraId="61328E94">
            <w:pPr>
              <w:keepNext w:val="0"/>
              <w:keepLines w:val="0"/>
              <w:pageBreakBefore w:val="0"/>
              <w:kinsoku/>
              <w:topLinePunct w:val="0"/>
              <w:bidi w:val="0"/>
              <w:spacing w:line="360" w:lineRule="auto"/>
              <w:contextualSpacing/>
              <w:rPr>
                <w:rFonts w:hint="eastAsia" w:ascii="宋体" w:hAnsi="宋体" w:eastAsia="宋体" w:cs="宋体"/>
                <w:color w:val="auto"/>
                <w:kern w:val="2"/>
                <w:sz w:val="22"/>
                <w:szCs w:val="22"/>
                <w:highlight w:val="none"/>
                <w:u w:val="single"/>
                <w:lang w:val="en-US" w:eastAsia="zh-Hans" w:bidi="ar-SA"/>
              </w:rPr>
            </w:pPr>
            <w:r>
              <w:rPr>
                <w:rFonts w:hint="eastAsia" w:ascii="宋体" w:hAnsi="宋体" w:eastAsia="宋体" w:cs="宋体"/>
                <w:color w:val="auto"/>
                <w:kern w:val="2"/>
                <w:sz w:val="22"/>
                <w:szCs w:val="22"/>
                <w:highlight w:val="none"/>
                <w:u w:val="single"/>
                <w:lang w:val="en-US" w:eastAsia="zh-Hans" w:bidi="ar-SA"/>
              </w:rPr>
              <w:t>投标产品具有CCC认证证书</w:t>
            </w:r>
            <w:r>
              <w:rPr>
                <w:rFonts w:hint="eastAsia" w:ascii="宋体" w:hAnsi="宋体" w:eastAsia="宋体" w:cs="宋体"/>
                <w:color w:val="auto"/>
                <w:kern w:val="2"/>
                <w:sz w:val="22"/>
                <w:szCs w:val="22"/>
                <w:highlight w:val="none"/>
                <w:u w:val="single"/>
                <w:lang w:val="en-US" w:eastAsia="zh-CN" w:bidi="ar-SA"/>
              </w:rPr>
              <w:t>、</w:t>
            </w:r>
            <w:r>
              <w:rPr>
                <w:rFonts w:hint="eastAsia" w:ascii="宋体" w:hAnsi="宋体" w:eastAsia="宋体" w:cs="宋体"/>
                <w:color w:val="auto"/>
                <w:kern w:val="2"/>
                <w:sz w:val="22"/>
                <w:szCs w:val="22"/>
                <w:highlight w:val="none"/>
                <w:u w:val="single"/>
                <w:lang w:val="en-US" w:eastAsia="zh-Hans" w:bidi="ar-SA"/>
              </w:rPr>
              <w:t>无线电发射设备型号核准证书</w:t>
            </w:r>
            <w:r>
              <w:rPr>
                <w:rFonts w:hint="eastAsia" w:ascii="宋体" w:hAnsi="宋体" w:eastAsia="宋体" w:cs="宋体"/>
                <w:color w:val="auto"/>
                <w:kern w:val="2"/>
                <w:sz w:val="22"/>
                <w:szCs w:val="22"/>
                <w:highlight w:val="none"/>
                <w:u w:val="single"/>
                <w:lang w:val="en-US" w:eastAsia="zh-CN" w:bidi="ar-SA"/>
              </w:rPr>
              <w:t>、</w:t>
            </w:r>
            <w:r>
              <w:rPr>
                <w:rFonts w:hint="eastAsia" w:ascii="宋体" w:hAnsi="宋体" w:eastAsia="宋体" w:cs="宋体"/>
                <w:color w:val="auto"/>
                <w:kern w:val="2"/>
                <w:sz w:val="22"/>
                <w:szCs w:val="22"/>
                <w:highlight w:val="none"/>
                <w:u w:val="single"/>
                <w:lang w:val="en-US" w:eastAsia="zh-Hans" w:bidi="ar-SA"/>
              </w:rPr>
              <w:t>电信设备进网许可证</w:t>
            </w:r>
            <w:r>
              <w:rPr>
                <w:rFonts w:hint="eastAsia" w:ascii="宋体" w:hAnsi="宋体" w:eastAsia="宋体" w:cs="宋体"/>
                <w:color w:val="auto"/>
                <w:kern w:val="2"/>
                <w:sz w:val="22"/>
                <w:szCs w:val="22"/>
                <w:highlight w:val="none"/>
                <w:u w:val="single"/>
                <w:lang w:val="en-US" w:eastAsia="zh-CN" w:bidi="ar-SA"/>
              </w:rPr>
              <w:t>。</w:t>
            </w:r>
            <w:r>
              <w:rPr>
                <w:rFonts w:hint="eastAsia" w:ascii="宋体" w:hAnsi="宋体" w:eastAsia="宋体" w:cs="宋体"/>
                <w:b/>
                <w:bCs/>
                <w:color w:val="auto"/>
                <w:kern w:val="2"/>
                <w:sz w:val="22"/>
                <w:szCs w:val="22"/>
                <w:highlight w:val="none"/>
                <w:u w:val="single"/>
                <w:lang w:val="en-US" w:eastAsia="zh-CN" w:bidi="ar-SA"/>
              </w:rPr>
              <w:t>提供证书复印件。</w:t>
            </w:r>
          </w:p>
        </w:tc>
      </w:tr>
      <w:tr w14:paraId="3684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534C1433">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4A14071A">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外壳标准</w:t>
            </w:r>
          </w:p>
        </w:tc>
        <w:tc>
          <w:tcPr>
            <w:tcW w:w="3826" w:type="pct"/>
            <w:shd w:val="clear" w:color="auto" w:fill="auto"/>
            <w:vAlign w:val="center"/>
          </w:tcPr>
          <w:p w14:paraId="5D914929">
            <w:pPr>
              <w:keepNext w:val="0"/>
              <w:keepLines w:val="0"/>
              <w:pageBreakBefore w:val="0"/>
              <w:kinsoku/>
              <w:topLinePunct w:val="0"/>
              <w:bidi w:val="0"/>
              <w:spacing w:line="360" w:lineRule="auto"/>
              <w:contextualSpacing/>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投标产品选用医疗专用材料的外壳，可耐受酒精、次氯酸钠、过氧化氢、异丙醇、表面消毒剂擦拭。</w:t>
            </w:r>
          </w:p>
        </w:tc>
      </w:tr>
      <w:tr w14:paraId="0C5A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shd w:val="clear" w:color="auto" w:fill="auto"/>
            <w:vAlign w:val="center"/>
          </w:tcPr>
          <w:p w14:paraId="5E1FC3EE">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top"/>
          </w:tcPr>
          <w:p w14:paraId="657F4E36">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防护等级</w:t>
            </w:r>
          </w:p>
        </w:tc>
        <w:tc>
          <w:tcPr>
            <w:tcW w:w="3826" w:type="pct"/>
            <w:shd w:val="clear" w:color="auto" w:fill="auto"/>
            <w:vAlign w:val="top"/>
          </w:tcPr>
          <w:p w14:paraId="22C6641D">
            <w:pPr>
              <w:keepNext w:val="0"/>
              <w:keepLines w:val="0"/>
              <w:pageBreakBefore w:val="0"/>
              <w:kinsoku/>
              <w:topLinePunct w:val="0"/>
              <w:bidi w:val="0"/>
              <w:spacing w:line="360" w:lineRule="auto"/>
              <w:contextualSpacing/>
              <w:rPr>
                <w:rFonts w:hint="eastAsia" w:ascii="宋体" w:hAnsi="宋体" w:eastAsia="宋体" w:cs="宋体"/>
                <w:color w:val="auto"/>
                <w:kern w:val="2"/>
                <w:sz w:val="22"/>
                <w:szCs w:val="22"/>
                <w:highlight w:val="none"/>
                <w:lang w:val="en-US" w:eastAsia="zh-Hans" w:bidi="ar-SA"/>
              </w:rPr>
            </w:pPr>
            <w:r>
              <w:rPr>
                <w:rFonts w:hint="eastAsia" w:ascii="宋体" w:hAnsi="宋体" w:eastAsia="宋体" w:cs="宋体"/>
                <w:color w:val="auto"/>
                <w:kern w:val="2"/>
                <w:sz w:val="22"/>
                <w:szCs w:val="22"/>
                <w:highlight w:val="none"/>
                <w:lang w:val="en-US" w:eastAsia="zh-CN" w:bidi="ar-SA"/>
              </w:rPr>
              <w:t>≥IP67，需提供第三方检测报告。</w:t>
            </w:r>
          </w:p>
        </w:tc>
      </w:tr>
      <w:tr w14:paraId="7F1A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8" w:type="pct"/>
            <w:shd w:val="clear" w:color="auto" w:fill="auto"/>
            <w:vAlign w:val="center"/>
          </w:tcPr>
          <w:p w14:paraId="25B93A95">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63AF087E">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充电</w:t>
            </w:r>
          </w:p>
        </w:tc>
        <w:tc>
          <w:tcPr>
            <w:tcW w:w="3826" w:type="pct"/>
            <w:shd w:val="clear" w:color="auto" w:fill="auto"/>
            <w:vAlign w:val="center"/>
          </w:tcPr>
          <w:p w14:paraId="1EF8CB6D">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提供</w:t>
            </w:r>
            <w:r>
              <w:rPr>
                <w:rFonts w:hint="eastAsia" w:ascii="宋体" w:hAnsi="宋体" w:eastAsia="宋体" w:cs="宋体"/>
                <w:color w:val="auto"/>
                <w:kern w:val="2"/>
                <w:sz w:val="22"/>
                <w:szCs w:val="22"/>
                <w:highlight w:val="none"/>
                <w:lang w:val="en-US" w:eastAsia="zh-CN" w:bidi="ar-SA"/>
              </w:rPr>
              <w:t>配套充电线（含充电头）</w:t>
            </w:r>
          </w:p>
        </w:tc>
      </w:tr>
      <w:tr w14:paraId="4F20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8" w:type="pct"/>
            <w:shd w:val="clear" w:color="auto" w:fill="auto"/>
            <w:vAlign w:val="center"/>
          </w:tcPr>
          <w:p w14:paraId="64FCC302">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center"/>
          </w:tcPr>
          <w:p w14:paraId="05FBDE33">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绑带</w:t>
            </w:r>
          </w:p>
        </w:tc>
        <w:tc>
          <w:tcPr>
            <w:tcW w:w="3826" w:type="pct"/>
            <w:shd w:val="clear" w:color="auto" w:fill="auto"/>
            <w:vAlign w:val="center"/>
          </w:tcPr>
          <w:p w14:paraId="05F84FC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主机本体直接装配绑带（非挂绳），便于持握设备时稳定</w:t>
            </w:r>
          </w:p>
        </w:tc>
      </w:tr>
      <w:tr w14:paraId="42AD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8" w:type="pct"/>
            <w:shd w:val="clear" w:color="auto" w:fill="auto"/>
            <w:vAlign w:val="center"/>
          </w:tcPr>
          <w:p w14:paraId="2470BA89">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shd w:val="clear" w:color="auto" w:fill="auto"/>
            <w:vAlign w:val="top"/>
          </w:tcPr>
          <w:p w14:paraId="129942D1">
            <w:pPr>
              <w:keepNext w:val="0"/>
              <w:keepLines w:val="0"/>
              <w:pageBreakBefore w:val="0"/>
              <w:kinsoku/>
              <w:topLinePunct w:val="0"/>
              <w:bidi w:val="0"/>
              <w:spacing w:line="360" w:lineRule="auto"/>
              <w:contextualSpacing/>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配件</w:t>
            </w:r>
          </w:p>
        </w:tc>
        <w:tc>
          <w:tcPr>
            <w:tcW w:w="3826" w:type="pct"/>
            <w:shd w:val="clear" w:color="auto" w:fill="auto"/>
            <w:vAlign w:val="top"/>
          </w:tcPr>
          <w:p w14:paraId="3CF80F54">
            <w:pPr>
              <w:keepNext w:val="0"/>
              <w:keepLines w:val="0"/>
              <w:pageBreakBefore w:val="0"/>
              <w:kinsoku/>
              <w:topLinePunct w:val="0"/>
              <w:bidi w:val="0"/>
              <w:spacing w:line="360" w:lineRule="auto"/>
              <w:contextualSpacing/>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需提供配套的PDA保护外壳</w:t>
            </w:r>
          </w:p>
        </w:tc>
      </w:tr>
      <w:tr w14:paraId="3707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8" w:type="pct"/>
            <w:shd w:val="clear" w:color="auto" w:fill="auto"/>
            <w:vAlign w:val="center"/>
          </w:tcPr>
          <w:p w14:paraId="2D9EC039">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vMerge w:val="restart"/>
            <w:shd w:val="clear" w:color="auto" w:fill="auto"/>
            <w:vAlign w:val="center"/>
          </w:tcPr>
          <w:p w14:paraId="1322CCC4">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Hans" w:bidi="ar-SA"/>
              </w:rPr>
            </w:pPr>
            <w:r>
              <w:rPr>
                <w:rFonts w:hint="eastAsia" w:ascii="宋体" w:hAnsi="宋体" w:eastAsia="宋体" w:cs="宋体"/>
                <w:color w:val="auto"/>
                <w:kern w:val="2"/>
                <w:sz w:val="22"/>
                <w:szCs w:val="22"/>
                <w:highlight w:val="none"/>
                <w:lang w:val="en-US" w:eastAsia="zh-CN" w:bidi="ar-SA"/>
              </w:rPr>
              <w:t>软著</w:t>
            </w:r>
          </w:p>
        </w:tc>
        <w:tc>
          <w:tcPr>
            <w:tcW w:w="3826" w:type="pct"/>
            <w:shd w:val="clear" w:color="auto" w:fill="auto"/>
            <w:vAlign w:val="center"/>
          </w:tcPr>
          <w:p w14:paraId="28147DD0">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kern w:val="2"/>
                <w:sz w:val="22"/>
                <w:szCs w:val="22"/>
                <w:highlight w:val="none"/>
                <w:lang w:val="en-US" w:eastAsia="zh-Hans" w:bidi="ar-SA"/>
              </w:rPr>
            </w:pPr>
            <w:r>
              <w:rPr>
                <w:rFonts w:hint="eastAsia" w:ascii="宋体" w:hAnsi="宋体" w:eastAsia="宋体" w:cs="宋体"/>
                <w:color w:val="auto"/>
                <w:kern w:val="2"/>
                <w:sz w:val="22"/>
                <w:szCs w:val="22"/>
                <w:highlight w:val="none"/>
                <w:lang w:val="en-US" w:eastAsia="zh-Hans" w:bidi="ar-SA"/>
              </w:rPr>
              <w:t>提供PDA厂商</w:t>
            </w:r>
            <w:r>
              <w:rPr>
                <w:rFonts w:hint="eastAsia" w:ascii="宋体" w:hAnsi="宋体" w:eastAsia="宋体" w:cs="宋体"/>
                <w:color w:val="auto"/>
                <w:kern w:val="2"/>
                <w:sz w:val="22"/>
                <w:szCs w:val="22"/>
                <w:highlight w:val="none"/>
                <w:lang w:val="en-US" w:eastAsia="zh-CN" w:bidi="ar-SA"/>
              </w:rPr>
              <w:t>条码解码软件</w:t>
            </w:r>
            <w:r>
              <w:rPr>
                <w:rFonts w:hint="eastAsia" w:ascii="宋体" w:hAnsi="宋体" w:eastAsia="宋体" w:cs="宋体"/>
                <w:color w:val="auto"/>
                <w:kern w:val="2"/>
                <w:sz w:val="22"/>
                <w:szCs w:val="22"/>
                <w:highlight w:val="none"/>
                <w:lang w:val="en-US" w:eastAsia="zh-Hans" w:bidi="ar-SA"/>
              </w:rPr>
              <w:t>著作权登记证书</w:t>
            </w:r>
            <w:r>
              <w:rPr>
                <w:rFonts w:hint="eastAsia" w:ascii="宋体" w:hAnsi="宋体" w:eastAsia="宋体" w:cs="宋体"/>
                <w:b/>
                <w:bCs/>
                <w:color w:val="auto"/>
                <w:sz w:val="22"/>
                <w:szCs w:val="22"/>
                <w:highlight w:val="none"/>
                <w:lang w:eastAsia="zh-CN"/>
              </w:rPr>
              <w:t>（如是外购组件需提供组件供应商出具的授权证明材料）</w:t>
            </w:r>
          </w:p>
        </w:tc>
      </w:tr>
      <w:tr w14:paraId="3F9A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8" w:type="pct"/>
            <w:shd w:val="clear" w:color="auto" w:fill="auto"/>
            <w:vAlign w:val="center"/>
          </w:tcPr>
          <w:p w14:paraId="664CF825">
            <w:pPr>
              <w:pStyle w:val="81"/>
              <w:keepNext w:val="0"/>
              <w:keepLines w:val="0"/>
              <w:pageBreakBefore w:val="0"/>
              <w:numPr>
                <w:ilvl w:val="0"/>
                <w:numId w:val="10"/>
              </w:numPr>
              <w:kinsoku/>
              <w:topLinePunct w:val="0"/>
              <w:bidi w:val="0"/>
              <w:spacing w:line="360" w:lineRule="auto"/>
              <w:ind w:left="0" w:firstLine="0" w:firstLineChars="0"/>
              <w:jc w:val="center"/>
              <w:rPr>
                <w:rFonts w:hint="eastAsia" w:ascii="宋体" w:hAnsi="宋体" w:eastAsia="宋体" w:cs="宋体"/>
                <w:color w:val="auto"/>
                <w:kern w:val="2"/>
                <w:sz w:val="22"/>
                <w:szCs w:val="22"/>
                <w:highlight w:val="none"/>
                <w:lang w:val="en-US" w:eastAsia="zh-CN" w:bidi="ar-SA"/>
              </w:rPr>
            </w:pPr>
          </w:p>
        </w:tc>
        <w:tc>
          <w:tcPr>
            <w:tcW w:w="775" w:type="pct"/>
            <w:vMerge w:val="continue"/>
            <w:shd w:val="clear" w:color="auto" w:fill="auto"/>
            <w:vAlign w:val="center"/>
          </w:tcPr>
          <w:p w14:paraId="5520B912">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strike/>
                <w:dstrike w:val="0"/>
                <w:color w:val="auto"/>
                <w:kern w:val="2"/>
                <w:sz w:val="22"/>
                <w:szCs w:val="22"/>
                <w:highlight w:val="none"/>
                <w:lang w:val="en-US" w:eastAsia="zh-CN" w:bidi="ar-SA"/>
              </w:rPr>
            </w:pPr>
          </w:p>
        </w:tc>
        <w:tc>
          <w:tcPr>
            <w:tcW w:w="3826" w:type="pct"/>
            <w:shd w:val="clear" w:color="auto" w:fill="auto"/>
            <w:vAlign w:val="center"/>
          </w:tcPr>
          <w:p w14:paraId="58DF4549">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Hans" w:bidi="ar-SA"/>
              </w:rPr>
              <w:t>提供PDA厂商扫码模组专利证书</w:t>
            </w:r>
            <w:r>
              <w:rPr>
                <w:rFonts w:hint="eastAsia" w:ascii="宋体" w:hAnsi="宋体" w:eastAsia="宋体" w:cs="宋体"/>
                <w:b/>
                <w:bCs/>
                <w:color w:val="auto"/>
                <w:sz w:val="22"/>
                <w:szCs w:val="22"/>
                <w:highlight w:val="none"/>
                <w:lang w:eastAsia="zh-CN"/>
              </w:rPr>
              <w:t>（如是外购组件需提供组件供应商出具的授权证明材料）</w:t>
            </w:r>
          </w:p>
        </w:tc>
      </w:tr>
    </w:tbl>
    <w:p w14:paraId="55B8A186">
      <w:pPr>
        <w:keepNext w:val="0"/>
        <w:keepLines w:val="0"/>
        <w:pageBreakBefore w:val="0"/>
        <w:kinsoku/>
        <w:topLinePunct w:val="0"/>
        <w:bidi w:val="0"/>
        <w:adjustRightInd/>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注：招标时需提供投标产品测试机，现场安装软件并进行测试</w:t>
      </w:r>
    </w:p>
    <w:p w14:paraId="38616D09">
      <w:pPr>
        <w:pStyle w:val="9"/>
        <w:keepNext w:val="0"/>
        <w:keepLines w:val="0"/>
        <w:pageBreakBefore w:val="0"/>
        <w:kinsoku/>
        <w:topLinePunct w:val="0"/>
        <w:bidi w:val="0"/>
        <w:adjustRightInd/>
        <w:spacing w:after="0" w:line="360" w:lineRule="auto"/>
        <w:ind w:firstLine="442" w:firstLineChars="200"/>
        <w:jc w:val="left"/>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1.投标人须递交以下</w:t>
      </w:r>
      <w:r>
        <w:rPr>
          <w:rFonts w:hint="eastAsia" w:ascii="宋体" w:hAnsi="宋体" w:eastAsia="宋体" w:cs="宋体"/>
          <w:b/>
          <w:bCs/>
          <w:color w:val="auto"/>
          <w:sz w:val="22"/>
          <w:szCs w:val="22"/>
          <w:highlight w:val="none"/>
          <w:u w:val="none"/>
          <w:lang w:eastAsia="zh-CN"/>
        </w:rPr>
        <w:t>测试机</w:t>
      </w:r>
      <w:r>
        <w:rPr>
          <w:rFonts w:hint="eastAsia" w:ascii="宋体" w:hAnsi="宋体" w:eastAsia="宋体" w:cs="宋体"/>
          <w:b/>
          <w:bCs/>
          <w:color w:val="auto"/>
          <w:sz w:val="22"/>
          <w:szCs w:val="22"/>
          <w:highlight w:val="none"/>
          <w:u w:val="none"/>
        </w:rPr>
        <w:t>：</w:t>
      </w:r>
    </w:p>
    <w:tbl>
      <w:tblPr>
        <w:tblStyle w:val="32"/>
        <w:tblW w:w="3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2442"/>
        <w:gridCol w:w="1316"/>
        <w:gridCol w:w="3289"/>
      </w:tblGrid>
      <w:tr w14:paraId="27DE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tcBorders>
              <w:top w:val="single" w:color="auto" w:sz="4" w:space="0"/>
              <w:left w:val="single" w:color="auto" w:sz="4" w:space="0"/>
              <w:bottom w:val="single" w:color="auto" w:sz="4" w:space="0"/>
              <w:right w:val="single" w:color="auto" w:sz="4" w:space="0"/>
            </w:tcBorders>
            <w:noWrap w:val="0"/>
            <w:vAlign w:val="center"/>
          </w:tcPr>
          <w:p w14:paraId="707717C2">
            <w:pPr>
              <w:keepNext w:val="0"/>
              <w:keepLines w:val="0"/>
              <w:pageBreakBefore w:val="0"/>
              <w:kinsoku/>
              <w:topLinePunct w:val="0"/>
              <w:bidi w:val="0"/>
              <w:adjustRightInd/>
              <w:spacing w:line="360" w:lineRule="auto"/>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序号</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20E94008">
            <w:pPr>
              <w:keepNext w:val="0"/>
              <w:keepLines w:val="0"/>
              <w:pageBreakBefore w:val="0"/>
              <w:kinsoku/>
              <w:topLinePunct w:val="0"/>
              <w:bidi w:val="0"/>
              <w:adjustRightInd/>
              <w:spacing w:line="360" w:lineRule="auto"/>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lang w:eastAsia="zh-CN"/>
              </w:rPr>
              <w:t>测试机</w:t>
            </w:r>
            <w:r>
              <w:rPr>
                <w:rFonts w:hint="eastAsia" w:ascii="宋体" w:hAnsi="宋体" w:eastAsia="宋体" w:cs="宋体"/>
                <w:color w:val="auto"/>
                <w:sz w:val="22"/>
                <w:szCs w:val="22"/>
                <w:highlight w:val="none"/>
                <w:u w:val="none"/>
              </w:rPr>
              <w:t>名称</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B5E86B6">
            <w:pPr>
              <w:keepNext w:val="0"/>
              <w:keepLines w:val="0"/>
              <w:pageBreakBefore w:val="0"/>
              <w:kinsoku/>
              <w:topLinePunct w:val="0"/>
              <w:bidi w:val="0"/>
              <w:adjustRightInd/>
              <w:spacing w:line="360" w:lineRule="auto"/>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数量</w:t>
            </w:r>
          </w:p>
        </w:tc>
        <w:tc>
          <w:tcPr>
            <w:tcW w:w="2071" w:type="pct"/>
            <w:tcBorders>
              <w:top w:val="single" w:color="auto" w:sz="4" w:space="0"/>
              <w:left w:val="single" w:color="auto" w:sz="4" w:space="0"/>
              <w:bottom w:val="single" w:color="auto" w:sz="4" w:space="0"/>
              <w:right w:val="single" w:color="auto" w:sz="4" w:space="0"/>
            </w:tcBorders>
            <w:noWrap w:val="0"/>
            <w:vAlign w:val="center"/>
          </w:tcPr>
          <w:p w14:paraId="0D413AEF">
            <w:pPr>
              <w:keepNext w:val="0"/>
              <w:keepLines w:val="0"/>
              <w:pageBreakBefore w:val="0"/>
              <w:kinsoku/>
              <w:topLinePunct w:val="0"/>
              <w:bidi w:val="0"/>
              <w:adjustRightInd/>
              <w:spacing w:line="360" w:lineRule="auto"/>
              <w:jc w:val="center"/>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备注</w:t>
            </w:r>
          </w:p>
        </w:tc>
      </w:tr>
      <w:tr w14:paraId="3F9B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tcBorders>
              <w:top w:val="single" w:color="auto" w:sz="4" w:space="0"/>
              <w:left w:val="single" w:color="auto" w:sz="4" w:space="0"/>
              <w:bottom w:val="single" w:color="auto" w:sz="4" w:space="0"/>
              <w:right w:val="single" w:color="auto" w:sz="4" w:space="0"/>
            </w:tcBorders>
            <w:noWrap w:val="0"/>
            <w:vAlign w:val="center"/>
          </w:tcPr>
          <w:p w14:paraId="77F6F35E">
            <w:pPr>
              <w:keepNext w:val="0"/>
              <w:keepLines w:val="0"/>
              <w:pageBreakBefore w:val="0"/>
              <w:widowControl/>
              <w:suppressLineNumbers w:val="0"/>
              <w:kinsoku/>
              <w:topLinePunct w:val="0"/>
              <w:bidi w:val="0"/>
              <w:adjustRightIn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55A50FC6">
            <w:pPr>
              <w:keepNext w:val="0"/>
              <w:keepLines w:val="0"/>
              <w:pageBreakBefore w:val="0"/>
              <w:kinsoku/>
              <w:topLinePunct w:val="0"/>
              <w:bidi w:val="0"/>
              <w:adjustRightInd/>
              <w:spacing w:line="360" w:lineRule="auto"/>
              <w:jc w:val="center"/>
              <w:rPr>
                <w:rFonts w:hint="eastAsia" w:ascii="宋体" w:hAnsi="宋体" w:eastAsia="宋体" w:cs="宋体"/>
                <w:color w:val="auto"/>
                <w:sz w:val="22"/>
                <w:szCs w:val="22"/>
                <w:highlight w:val="none"/>
                <w:u w:val="none"/>
              </w:rPr>
            </w:pPr>
            <w:r>
              <w:rPr>
                <w:rFonts w:hint="eastAsia" w:ascii="宋体" w:hAnsi="宋体" w:eastAsia="宋体" w:cs="宋体"/>
                <w:color w:val="auto"/>
                <w:kern w:val="0"/>
                <w:sz w:val="22"/>
                <w:szCs w:val="22"/>
                <w:highlight w:val="none"/>
                <w:u w:val="none"/>
                <w:lang w:val="en-US" w:eastAsia="zh-CN" w:bidi="ar"/>
              </w:rPr>
              <w:t>PDA</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7774528C">
            <w:pPr>
              <w:keepNext w:val="0"/>
              <w:keepLines w:val="0"/>
              <w:pageBreakBefore w:val="0"/>
              <w:kinsoku/>
              <w:topLinePunct w:val="0"/>
              <w:bidi w:val="0"/>
              <w:adjustRightInd/>
              <w:spacing w:line="360" w:lineRule="auto"/>
              <w:jc w:val="center"/>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1台</w:t>
            </w:r>
          </w:p>
        </w:tc>
        <w:tc>
          <w:tcPr>
            <w:tcW w:w="2071" w:type="pct"/>
            <w:tcBorders>
              <w:top w:val="single" w:color="auto" w:sz="4" w:space="0"/>
              <w:left w:val="single" w:color="auto" w:sz="4" w:space="0"/>
              <w:bottom w:val="single" w:color="auto" w:sz="4" w:space="0"/>
              <w:right w:val="single" w:color="auto" w:sz="4" w:space="0"/>
            </w:tcBorders>
            <w:noWrap w:val="0"/>
            <w:vAlign w:val="center"/>
          </w:tcPr>
          <w:p w14:paraId="7062BEA3">
            <w:pPr>
              <w:keepNext w:val="0"/>
              <w:keepLines w:val="0"/>
              <w:pageBreakBefore w:val="0"/>
              <w:kinsoku/>
              <w:topLinePunct w:val="0"/>
              <w:bidi w:val="0"/>
              <w:adjustRightInd/>
              <w:spacing w:line="360" w:lineRule="auto"/>
              <w:jc w:val="center"/>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lang w:val="en-US" w:eastAsia="zh-CN"/>
              </w:rPr>
              <w:t>与投标产品同品牌同型号</w:t>
            </w:r>
          </w:p>
        </w:tc>
      </w:tr>
    </w:tbl>
    <w:p w14:paraId="2D9E28FD">
      <w:pPr>
        <w:keepNext w:val="0"/>
        <w:keepLines w:val="0"/>
        <w:pageBreakBefore w:val="0"/>
        <w:widowControl/>
        <w:kinsoku/>
        <w:topLinePunct w:val="0"/>
        <w:bidi w:val="0"/>
        <w:adjustRightInd/>
        <w:spacing w:line="360" w:lineRule="auto"/>
        <w:ind w:firstLine="442" w:firstLineChars="200"/>
        <w:jc w:val="left"/>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2.未提供</w:t>
      </w:r>
      <w:r>
        <w:rPr>
          <w:rFonts w:hint="eastAsia" w:ascii="宋体" w:hAnsi="宋体" w:eastAsia="宋体" w:cs="宋体"/>
          <w:b/>
          <w:bCs/>
          <w:color w:val="auto"/>
          <w:sz w:val="22"/>
          <w:szCs w:val="22"/>
          <w:highlight w:val="none"/>
          <w:u w:val="none"/>
          <w:lang w:val="en-US" w:eastAsia="zh-CN"/>
        </w:rPr>
        <w:t>测试机</w:t>
      </w:r>
      <w:r>
        <w:rPr>
          <w:rFonts w:hint="eastAsia" w:ascii="宋体" w:hAnsi="宋体" w:eastAsia="宋体" w:cs="宋体"/>
          <w:b/>
          <w:bCs/>
          <w:color w:val="auto"/>
          <w:sz w:val="22"/>
          <w:szCs w:val="22"/>
          <w:highlight w:val="none"/>
          <w:u w:val="none"/>
        </w:rPr>
        <w:t>的，</w:t>
      </w:r>
      <w:r>
        <w:rPr>
          <w:rFonts w:hint="eastAsia" w:ascii="宋体" w:hAnsi="宋体" w:eastAsia="宋体" w:cs="宋体"/>
          <w:b/>
          <w:bCs/>
          <w:color w:val="auto"/>
          <w:sz w:val="22"/>
          <w:szCs w:val="22"/>
          <w:highlight w:val="none"/>
          <w:u w:val="none"/>
          <w:lang w:val="en-US" w:eastAsia="zh-CN"/>
        </w:rPr>
        <w:t>演示分不得分</w:t>
      </w:r>
      <w:r>
        <w:rPr>
          <w:rFonts w:hint="eastAsia" w:ascii="宋体" w:hAnsi="宋体" w:eastAsia="宋体" w:cs="宋体"/>
          <w:b/>
          <w:bCs/>
          <w:color w:val="auto"/>
          <w:sz w:val="22"/>
          <w:szCs w:val="22"/>
          <w:highlight w:val="none"/>
          <w:u w:val="none"/>
        </w:rPr>
        <w:t>。</w:t>
      </w:r>
    </w:p>
    <w:p w14:paraId="0B312745">
      <w:pPr>
        <w:keepNext w:val="0"/>
        <w:keepLines w:val="0"/>
        <w:pageBreakBefore w:val="0"/>
        <w:kinsoku/>
        <w:topLinePunct w:val="0"/>
        <w:bidi w:val="0"/>
        <w:adjustRightInd/>
        <w:snapToGrid w:val="0"/>
        <w:spacing w:line="360" w:lineRule="auto"/>
        <w:ind w:firstLine="440" w:firstLineChars="200"/>
        <w:jc w:val="left"/>
        <w:rPr>
          <w:rFonts w:hint="eastAsia" w:ascii="宋体" w:hAnsi="宋体" w:eastAsia="宋体" w:cs="宋体"/>
          <w:bCs/>
          <w:color w:val="auto"/>
          <w:kern w:val="0"/>
          <w:sz w:val="22"/>
          <w:szCs w:val="22"/>
          <w:highlight w:val="none"/>
          <w:u w:val="none"/>
        </w:rPr>
      </w:pPr>
      <w:r>
        <w:rPr>
          <w:rFonts w:hint="eastAsia" w:ascii="宋体" w:hAnsi="宋体" w:eastAsia="宋体" w:cs="宋体"/>
          <w:color w:val="auto"/>
          <w:sz w:val="22"/>
          <w:szCs w:val="22"/>
          <w:highlight w:val="none"/>
          <w:u w:val="none"/>
        </w:rPr>
        <w:t>3.</w:t>
      </w:r>
      <w:r>
        <w:rPr>
          <w:rFonts w:hint="eastAsia" w:ascii="宋体" w:hAnsi="宋体" w:eastAsia="宋体" w:cs="宋体"/>
          <w:color w:val="auto"/>
          <w:sz w:val="22"/>
          <w:szCs w:val="22"/>
          <w:highlight w:val="none"/>
          <w:u w:val="none"/>
          <w:lang w:eastAsia="zh-CN"/>
        </w:rPr>
        <w:t>测试机</w:t>
      </w:r>
      <w:r>
        <w:rPr>
          <w:rFonts w:hint="eastAsia" w:ascii="宋体" w:hAnsi="宋体" w:eastAsia="宋体" w:cs="宋体"/>
          <w:color w:val="auto"/>
          <w:sz w:val="22"/>
          <w:szCs w:val="22"/>
          <w:highlight w:val="none"/>
          <w:u w:val="none"/>
        </w:rPr>
        <w:t>请于提交投标文件截止时间前放置于</w:t>
      </w:r>
      <w:r>
        <w:rPr>
          <w:rFonts w:hint="eastAsia" w:ascii="宋体" w:hAnsi="宋体" w:eastAsia="宋体" w:cs="宋体"/>
          <w:bCs/>
          <w:color w:val="auto"/>
          <w:sz w:val="22"/>
          <w:szCs w:val="22"/>
          <w:highlight w:val="none"/>
          <w:u w:val="none"/>
        </w:rPr>
        <w:t>浙江乐诚工程咨询有限公司（</w:t>
      </w:r>
      <w:r>
        <w:rPr>
          <w:rFonts w:hint="eastAsia" w:ascii="宋体" w:hAnsi="宋体" w:eastAsia="宋体" w:cs="宋体"/>
          <w:color w:val="auto"/>
          <w:sz w:val="22"/>
          <w:szCs w:val="22"/>
          <w:highlight w:val="none"/>
          <w:u w:val="none"/>
        </w:rPr>
        <w:t>温州市瓯海区三垟街道桥头河大桥温州生命健康小镇B03</w:t>
      </w:r>
      <w:r>
        <w:rPr>
          <w:rFonts w:hint="eastAsia" w:ascii="宋体" w:hAnsi="宋体" w:eastAsia="宋体" w:cs="宋体"/>
          <w:bCs/>
          <w:color w:val="auto"/>
          <w:sz w:val="22"/>
          <w:szCs w:val="22"/>
          <w:highlight w:val="none"/>
          <w:u w:val="none"/>
        </w:rPr>
        <w:t>）一楼</w:t>
      </w:r>
      <w:r>
        <w:rPr>
          <w:rFonts w:hint="eastAsia" w:ascii="宋体" w:hAnsi="宋体" w:eastAsia="宋体" w:cs="宋体"/>
          <w:color w:val="auto"/>
          <w:sz w:val="22"/>
          <w:szCs w:val="22"/>
          <w:highlight w:val="none"/>
          <w:u w:val="none"/>
        </w:rPr>
        <w:t>大厅（采购代理机构接收前</w:t>
      </w:r>
      <w:r>
        <w:rPr>
          <w:rFonts w:hint="eastAsia" w:ascii="宋体" w:hAnsi="宋体" w:eastAsia="宋体" w:cs="宋体"/>
          <w:color w:val="auto"/>
          <w:sz w:val="22"/>
          <w:szCs w:val="22"/>
          <w:highlight w:val="none"/>
          <w:u w:val="none"/>
          <w:lang w:eastAsia="zh-CN"/>
        </w:rPr>
        <w:t>测试机</w:t>
      </w:r>
      <w:r>
        <w:rPr>
          <w:rFonts w:hint="eastAsia" w:ascii="宋体" w:hAnsi="宋体" w:eastAsia="宋体" w:cs="宋体"/>
          <w:color w:val="auto"/>
          <w:sz w:val="22"/>
          <w:szCs w:val="22"/>
          <w:highlight w:val="none"/>
          <w:u w:val="none"/>
        </w:rPr>
        <w:t>保管责任由投标人自负）。</w:t>
      </w:r>
      <w:r>
        <w:rPr>
          <w:rFonts w:hint="eastAsia" w:ascii="宋体" w:hAnsi="宋体" w:eastAsia="宋体" w:cs="宋体"/>
          <w:b/>
          <w:bCs/>
          <w:color w:val="auto"/>
          <w:sz w:val="22"/>
          <w:szCs w:val="22"/>
          <w:highlight w:val="none"/>
          <w:u w:val="none"/>
        </w:rPr>
        <w:t>标注项目名称及公司名称，未按规定地点和时间送达的予以拒收</w:t>
      </w:r>
      <w:r>
        <w:rPr>
          <w:rFonts w:hint="eastAsia" w:ascii="宋体" w:hAnsi="宋体" w:eastAsia="宋体" w:cs="宋体"/>
          <w:bCs/>
          <w:color w:val="auto"/>
          <w:kern w:val="0"/>
          <w:sz w:val="22"/>
          <w:szCs w:val="22"/>
          <w:highlight w:val="none"/>
          <w:u w:val="none"/>
        </w:rPr>
        <w:t>。</w:t>
      </w:r>
    </w:p>
    <w:p w14:paraId="638E5434">
      <w:pPr>
        <w:keepNext w:val="0"/>
        <w:keepLines w:val="0"/>
        <w:pageBreakBefore w:val="0"/>
        <w:kinsoku/>
        <w:topLinePunct w:val="0"/>
        <w:bidi w:val="0"/>
        <w:adjustRightInd/>
        <w:snapToGrid w:val="0"/>
        <w:spacing w:line="360" w:lineRule="auto"/>
        <w:ind w:firstLine="440" w:firstLineChars="200"/>
        <w:jc w:val="left"/>
        <w:rPr>
          <w:rFonts w:hint="eastAsia" w:ascii="宋体" w:hAnsi="宋体" w:eastAsia="宋体" w:cs="宋体"/>
          <w:color w:val="auto"/>
          <w:sz w:val="22"/>
          <w:szCs w:val="22"/>
          <w:highlight w:val="none"/>
          <w:u w:val="none"/>
          <w:lang w:val="en-US" w:eastAsia="zh-CN"/>
        </w:rPr>
      </w:pPr>
      <w:r>
        <w:rPr>
          <w:rFonts w:hint="eastAsia" w:ascii="宋体" w:hAnsi="宋体" w:eastAsia="宋体" w:cs="宋体"/>
          <w:bCs/>
          <w:color w:val="auto"/>
          <w:kern w:val="0"/>
          <w:sz w:val="22"/>
          <w:szCs w:val="22"/>
          <w:highlight w:val="none"/>
          <w:u w:val="none"/>
        </w:rPr>
        <w:t>4.</w:t>
      </w:r>
      <w:r>
        <w:rPr>
          <w:rFonts w:hint="eastAsia" w:ascii="宋体" w:hAnsi="宋体" w:eastAsia="宋体" w:cs="宋体"/>
          <w:color w:val="auto"/>
          <w:sz w:val="22"/>
          <w:szCs w:val="22"/>
          <w:highlight w:val="none"/>
          <w:u w:val="none"/>
          <w:lang w:val="en-US" w:eastAsia="zh-CN"/>
        </w:rPr>
        <w:t>评审小组评审现场演示分时可能对测试机进行破坏性试验，如测试机遭到破坏导致的损失由投标人自行承担，投标时请充分考虑当中风险。测试机制作、安装、运输、拆除等递交、退还测试机所需要费用由投标人自行承担</w:t>
      </w:r>
      <w:r>
        <w:rPr>
          <w:rFonts w:hint="eastAsia" w:ascii="宋体" w:hAnsi="宋体" w:cs="宋体"/>
          <w:color w:val="auto"/>
          <w:sz w:val="22"/>
          <w:szCs w:val="22"/>
          <w:highlight w:val="none"/>
          <w:u w:val="none"/>
          <w:lang w:val="en-US" w:eastAsia="zh-CN"/>
        </w:rPr>
        <w:t>。</w:t>
      </w:r>
    </w:p>
    <w:p w14:paraId="5394E35E">
      <w:pPr>
        <w:keepNext w:val="0"/>
        <w:keepLines w:val="0"/>
        <w:pageBreakBefore w:val="0"/>
        <w:kinsoku/>
        <w:topLinePunct w:val="0"/>
        <w:bidi w:val="0"/>
        <w:adjustRightInd/>
        <w:snapToGrid w:val="0"/>
        <w:spacing w:line="360" w:lineRule="auto"/>
        <w:ind w:firstLine="440" w:firstLineChars="200"/>
        <w:jc w:val="left"/>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u w:val="none"/>
          <w:lang w:val="en-US" w:eastAsia="zh-CN"/>
        </w:rPr>
        <w:t>5.</w:t>
      </w:r>
      <w:r>
        <w:rPr>
          <w:rFonts w:hint="eastAsia" w:ascii="宋体" w:hAnsi="宋体" w:eastAsia="宋体" w:cs="宋体"/>
          <w:bCs/>
          <w:color w:val="auto"/>
          <w:kern w:val="0"/>
          <w:sz w:val="22"/>
          <w:szCs w:val="22"/>
          <w:highlight w:val="none"/>
          <w:u w:val="none"/>
        </w:rPr>
        <w:t>采购活动结束后，对于未中标人提供的</w:t>
      </w:r>
      <w:r>
        <w:rPr>
          <w:rFonts w:hint="eastAsia" w:ascii="宋体" w:hAnsi="宋体" w:eastAsia="宋体" w:cs="宋体"/>
          <w:bCs/>
          <w:color w:val="auto"/>
          <w:kern w:val="0"/>
          <w:sz w:val="22"/>
          <w:szCs w:val="22"/>
          <w:highlight w:val="none"/>
          <w:u w:val="none"/>
          <w:lang w:eastAsia="zh-CN"/>
        </w:rPr>
        <w:t>测试机</w:t>
      </w:r>
      <w:r>
        <w:rPr>
          <w:rFonts w:hint="eastAsia" w:ascii="宋体" w:hAnsi="宋体" w:eastAsia="宋体" w:cs="宋体"/>
          <w:bCs/>
          <w:color w:val="auto"/>
          <w:kern w:val="0"/>
          <w:sz w:val="22"/>
          <w:szCs w:val="22"/>
          <w:highlight w:val="none"/>
          <w:u w:val="none"/>
        </w:rPr>
        <w:t>，采购代理机构及时退还</w:t>
      </w:r>
      <w:r>
        <w:rPr>
          <w:rFonts w:hint="eastAsia" w:ascii="宋体" w:hAnsi="宋体" w:eastAsia="宋体" w:cs="宋体"/>
          <w:bCs/>
          <w:color w:val="auto"/>
          <w:spacing w:val="-6"/>
          <w:sz w:val="22"/>
          <w:szCs w:val="22"/>
          <w:highlight w:val="none"/>
          <w:u w:val="none"/>
        </w:rPr>
        <w:t>或者经</w:t>
      </w:r>
      <w:r>
        <w:rPr>
          <w:rFonts w:hint="eastAsia" w:ascii="宋体" w:hAnsi="宋体" w:eastAsia="宋体" w:cs="宋体"/>
          <w:bCs/>
          <w:color w:val="auto"/>
          <w:kern w:val="0"/>
          <w:sz w:val="22"/>
          <w:szCs w:val="22"/>
          <w:highlight w:val="none"/>
          <w:u w:val="none"/>
        </w:rPr>
        <w:t>投标人</w:t>
      </w:r>
      <w:r>
        <w:rPr>
          <w:rFonts w:hint="eastAsia" w:ascii="宋体" w:hAnsi="宋体" w:eastAsia="宋体" w:cs="宋体"/>
          <w:bCs/>
          <w:color w:val="auto"/>
          <w:spacing w:val="-6"/>
          <w:sz w:val="22"/>
          <w:szCs w:val="22"/>
          <w:highlight w:val="none"/>
          <w:u w:val="none"/>
        </w:rPr>
        <w:t>同意后自行处理；预</w:t>
      </w:r>
      <w:r>
        <w:rPr>
          <w:rFonts w:hint="eastAsia" w:ascii="宋体" w:hAnsi="宋体" w:eastAsia="宋体" w:cs="宋体"/>
          <w:bCs/>
          <w:color w:val="auto"/>
          <w:kern w:val="0"/>
          <w:sz w:val="22"/>
          <w:szCs w:val="22"/>
          <w:highlight w:val="none"/>
          <w:u w:val="none"/>
        </w:rPr>
        <w:t>中标人</w:t>
      </w:r>
      <w:r>
        <w:rPr>
          <w:rFonts w:hint="eastAsia" w:ascii="宋体" w:hAnsi="宋体" w:eastAsia="宋体" w:cs="宋体"/>
          <w:bCs/>
          <w:color w:val="auto"/>
          <w:spacing w:val="-6"/>
          <w:sz w:val="22"/>
          <w:szCs w:val="22"/>
          <w:highlight w:val="none"/>
          <w:u w:val="none"/>
        </w:rPr>
        <w:t>需将整体</w:t>
      </w:r>
      <w:r>
        <w:rPr>
          <w:rFonts w:hint="eastAsia" w:ascii="宋体" w:hAnsi="宋体" w:eastAsia="宋体" w:cs="宋体"/>
          <w:bCs/>
          <w:color w:val="auto"/>
          <w:spacing w:val="-6"/>
          <w:sz w:val="22"/>
          <w:szCs w:val="22"/>
          <w:highlight w:val="none"/>
          <w:u w:val="none"/>
          <w:lang w:eastAsia="zh-CN"/>
        </w:rPr>
        <w:t>测试机</w:t>
      </w:r>
      <w:r>
        <w:rPr>
          <w:rFonts w:hint="eastAsia" w:ascii="宋体" w:hAnsi="宋体" w:eastAsia="宋体" w:cs="宋体"/>
          <w:bCs/>
          <w:color w:val="auto"/>
          <w:spacing w:val="-6"/>
          <w:sz w:val="22"/>
          <w:szCs w:val="22"/>
          <w:highlight w:val="none"/>
          <w:u w:val="none"/>
        </w:rPr>
        <w:t>做好标记，交采购</w:t>
      </w:r>
      <w:r>
        <w:rPr>
          <w:rFonts w:hint="eastAsia" w:ascii="宋体" w:hAnsi="宋体" w:eastAsia="宋体" w:cs="宋体"/>
          <w:bCs/>
          <w:color w:val="auto"/>
          <w:spacing w:val="-6"/>
          <w:sz w:val="22"/>
          <w:szCs w:val="22"/>
          <w:highlight w:val="none"/>
        </w:rPr>
        <w:t>人封存，其</w:t>
      </w:r>
      <w:r>
        <w:rPr>
          <w:rFonts w:hint="eastAsia" w:ascii="宋体" w:hAnsi="宋体" w:eastAsia="宋体" w:cs="宋体"/>
          <w:bCs/>
          <w:color w:val="auto"/>
          <w:spacing w:val="-6"/>
          <w:sz w:val="22"/>
          <w:szCs w:val="22"/>
          <w:highlight w:val="none"/>
          <w:lang w:eastAsia="zh-CN"/>
        </w:rPr>
        <w:t>测试机</w:t>
      </w:r>
      <w:r>
        <w:rPr>
          <w:rFonts w:hint="eastAsia" w:ascii="宋体" w:hAnsi="宋体" w:eastAsia="宋体" w:cs="宋体"/>
          <w:bCs/>
          <w:color w:val="auto"/>
          <w:spacing w:val="-6"/>
          <w:sz w:val="22"/>
          <w:szCs w:val="22"/>
          <w:highlight w:val="none"/>
        </w:rPr>
        <w:t>的质量将作为验收标准之一。</w:t>
      </w:r>
    </w:p>
    <w:p w14:paraId="7746177B">
      <w:pPr>
        <w:keepNext w:val="0"/>
        <w:keepLines w:val="0"/>
        <w:pageBreakBefore w:val="0"/>
        <w:kinsoku/>
        <w:topLinePunct w:val="0"/>
        <w:bidi w:val="0"/>
        <w:adjustRightInd/>
        <w:spacing w:line="360" w:lineRule="auto"/>
        <w:ind w:firstLine="416"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pacing w:val="-6"/>
          <w:sz w:val="22"/>
          <w:szCs w:val="22"/>
          <w:highlight w:val="none"/>
          <w:lang w:val="en-US" w:eastAsia="zh-CN"/>
        </w:rPr>
        <w:t>6</w:t>
      </w:r>
      <w:r>
        <w:rPr>
          <w:rFonts w:hint="eastAsia" w:ascii="宋体" w:hAnsi="宋体" w:eastAsia="宋体" w:cs="宋体"/>
          <w:bCs/>
          <w:color w:val="auto"/>
          <w:spacing w:val="-6"/>
          <w:sz w:val="22"/>
          <w:szCs w:val="22"/>
          <w:highlight w:val="none"/>
        </w:rPr>
        <w:t>.</w:t>
      </w: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eastAsia="zh-CN"/>
        </w:rPr>
        <w:t>测试机</w:t>
      </w:r>
      <w:r>
        <w:rPr>
          <w:rFonts w:hint="eastAsia" w:ascii="宋体" w:hAnsi="宋体" w:eastAsia="宋体" w:cs="宋体"/>
          <w:color w:val="auto"/>
          <w:sz w:val="22"/>
          <w:szCs w:val="22"/>
          <w:highlight w:val="none"/>
        </w:rPr>
        <w:t>须于开标结束后当日运走。</w:t>
      </w:r>
    </w:p>
    <w:p w14:paraId="79C26545">
      <w:pPr>
        <w:pStyle w:val="14"/>
        <w:keepNext w:val="0"/>
        <w:keepLines w:val="0"/>
        <w:pageBreakBefore w:val="0"/>
        <w:kinsoku/>
        <w:wordWrap w:val="0"/>
        <w:topLinePunct w:val="0"/>
        <w:bidi w:val="0"/>
        <w:adjustRightInd/>
        <w:snapToGrid w:val="0"/>
        <w:spacing w:line="360" w:lineRule="auto"/>
        <w:ind w:left="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三、</w:t>
      </w:r>
      <w:r>
        <w:rPr>
          <w:rFonts w:hint="eastAsia" w:ascii="宋体" w:hAnsi="宋体" w:eastAsia="宋体" w:cs="宋体"/>
          <w:b/>
          <w:color w:val="auto"/>
          <w:sz w:val="22"/>
          <w:szCs w:val="22"/>
          <w:highlight w:val="none"/>
        </w:rPr>
        <w:t>商务要求：</w:t>
      </w:r>
    </w:p>
    <w:p w14:paraId="4D04B168">
      <w:pPr>
        <w:pStyle w:val="8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售后服务：整体项目质保期≥</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年；质保期内，每年至少2次免费维护保养；质保期外，每年至少1次免费维护保养；报修后2小时内响应，48小时内到达维修地点。</w:t>
      </w:r>
    </w:p>
    <w:p w14:paraId="2F6C1598">
      <w:pPr>
        <w:pStyle w:val="8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到货安装时间：合同签订后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15</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天内完成设备的供货、</w:t>
      </w:r>
      <w:r>
        <w:rPr>
          <w:rFonts w:hint="eastAsia" w:ascii="宋体" w:hAnsi="宋体" w:eastAsia="宋体" w:cs="宋体"/>
          <w:bCs/>
          <w:color w:val="auto"/>
          <w:kern w:val="0"/>
          <w:sz w:val="22"/>
          <w:szCs w:val="22"/>
          <w:highlight w:val="none"/>
        </w:rPr>
        <w:t>安装、调试、现场培训及验收工作</w:t>
      </w:r>
      <w:r>
        <w:rPr>
          <w:rFonts w:hint="eastAsia" w:ascii="宋体" w:hAnsi="宋体" w:eastAsia="宋体" w:cs="宋体"/>
          <w:color w:val="auto"/>
          <w:sz w:val="22"/>
          <w:szCs w:val="22"/>
          <w:highlight w:val="none"/>
        </w:rPr>
        <w:t>。</w:t>
      </w:r>
    </w:p>
    <w:p w14:paraId="74D7EC7B">
      <w:pPr>
        <w:pStyle w:val="8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付款方式：签订合同</w:t>
      </w:r>
      <w:r>
        <w:rPr>
          <w:rFonts w:hint="eastAsia" w:ascii="宋体" w:hAnsi="宋体" w:eastAsia="宋体" w:cs="宋体"/>
          <w:color w:val="auto"/>
          <w:sz w:val="22"/>
          <w:szCs w:val="22"/>
          <w:highlight w:val="none"/>
          <w:lang w:eastAsia="zh-CN"/>
        </w:rPr>
        <w:t>后</w:t>
      </w:r>
      <w:r>
        <w:rPr>
          <w:rFonts w:hint="eastAsia" w:ascii="宋体" w:hAnsi="宋体" w:eastAsia="宋体" w:cs="宋体"/>
          <w:color w:val="auto"/>
          <w:sz w:val="22"/>
          <w:szCs w:val="22"/>
          <w:highlight w:val="none"/>
        </w:rPr>
        <w:t>，向中标人支付合同金额的</w:t>
      </w:r>
      <w:r>
        <w:rPr>
          <w:rFonts w:hint="eastAsia" w:ascii="宋体" w:hAnsi="宋体" w:eastAsia="宋体" w:cs="宋体"/>
          <w:color w:val="auto"/>
          <w:sz w:val="22"/>
          <w:szCs w:val="22"/>
          <w:highlight w:val="none"/>
          <w:lang w:val="en-US" w:eastAsia="zh-CN"/>
        </w:rPr>
        <w:t>40</w:t>
      </w:r>
      <w:r>
        <w:rPr>
          <w:rFonts w:hint="eastAsia" w:ascii="宋体" w:hAnsi="宋体" w:eastAsia="宋体" w:cs="宋体"/>
          <w:color w:val="auto"/>
          <w:sz w:val="22"/>
          <w:szCs w:val="22"/>
          <w:highlight w:val="none"/>
        </w:rPr>
        <w:t>%作为预付款，预付款在后续货款中作相应抵扣。其余合同款项在安装验收合格后支付，采购人自收到发票后</w:t>
      </w:r>
      <w:r>
        <w:rPr>
          <w:rFonts w:hint="eastAsia" w:ascii="宋体" w:hAnsi="宋体" w:eastAsia="宋体" w:cs="宋体"/>
          <w:color w:val="auto"/>
          <w:sz w:val="22"/>
          <w:szCs w:val="22"/>
          <w:highlight w:val="none"/>
          <w:lang w:eastAsia="zh-CN"/>
        </w:rPr>
        <w:t>15</w:t>
      </w:r>
      <w:r>
        <w:rPr>
          <w:rFonts w:hint="eastAsia" w:ascii="宋体" w:hAnsi="宋体" w:eastAsia="宋体" w:cs="宋体"/>
          <w:color w:val="auto"/>
          <w:sz w:val="22"/>
          <w:szCs w:val="22"/>
          <w:highlight w:val="none"/>
        </w:rPr>
        <w:t>个工作日内将货款支付给中标人。在签订合同时，中标人明确表示无需预付款的，合同款项在安装验收合格后支付，采购人自收到发票后</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个工作日内将货款支付给中标人。</w:t>
      </w:r>
    </w:p>
    <w:p w14:paraId="5F67095D">
      <w:pPr>
        <w:pStyle w:val="8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验收时需提供响应技术参数的全套清晰的证明文件。</w:t>
      </w:r>
    </w:p>
    <w:p w14:paraId="4EA856F7">
      <w:pPr>
        <w:pStyle w:val="8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列明耗材和配件报价清单及设备过保后年保修费用。</w:t>
      </w:r>
    </w:p>
    <w:p w14:paraId="2CFA51E8">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5243F206">
      <w:pPr>
        <w:pageBreakBefore w:val="0"/>
        <w:kinsoku/>
        <w:wordWrap w:val="0"/>
        <w:topLinePunct w:val="0"/>
        <w:bidi w:val="0"/>
        <w:snapToGrid w:val="0"/>
        <w:spacing w:line="400" w:lineRule="exact"/>
        <w:jc w:val="center"/>
        <w:outlineLvl w:val="0"/>
        <w:rPr>
          <w:rFonts w:hint="eastAsia" w:ascii="宋体" w:hAnsi="宋体" w:eastAsia="宋体" w:cs="宋体"/>
          <w:b/>
          <w:color w:val="auto"/>
          <w:sz w:val="32"/>
          <w:highlight w:val="none"/>
        </w:rPr>
      </w:pPr>
      <w:bookmarkStart w:id="55" w:name="_Toc6759"/>
      <w:r>
        <w:rPr>
          <w:rFonts w:hint="eastAsia" w:ascii="宋体" w:hAnsi="宋体" w:eastAsia="宋体" w:cs="宋体"/>
          <w:b/>
          <w:color w:val="auto"/>
          <w:sz w:val="32"/>
          <w:highlight w:val="none"/>
        </w:rPr>
        <w:t>第六部分</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评标原则及方法</w:t>
      </w:r>
      <w:bookmarkEnd w:id="55"/>
    </w:p>
    <w:p w14:paraId="6C513549">
      <w:pPr>
        <w:pStyle w:val="9"/>
        <w:keepNext w:val="0"/>
        <w:keepLines w:val="0"/>
        <w:pageBreakBefore w:val="0"/>
        <w:widowControl w:val="0"/>
        <w:kinsoku/>
        <w:wordWrap w:val="0"/>
        <w:overflowPunct/>
        <w:topLinePunct w:val="0"/>
        <w:autoSpaceDE/>
        <w:autoSpaceDN/>
        <w:bidi w:val="0"/>
        <w:adjustRightInd w:val="0"/>
        <w:snapToGrid w:val="0"/>
        <w:spacing w:after="0" w:line="360" w:lineRule="auto"/>
        <w:ind w:left="0" w:firstLine="442"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根据《中华人民共和国政府采购法》等相关法规特制定以下评标办法。</w:t>
      </w:r>
    </w:p>
    <w:p w14:paraId="7A7B8F7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.总  则</w:t>
      </w:r>
    </w:p>
    <w:p w14:paraId="08CE7C1D">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14:paraId="211366B3">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二.评标组织</w:t>
      </w:r>
    </w:p>
    <w:p w14:paraId="317D5415">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评标工作由采购人依法组建的评审小组负责，评标全过程由有关部门指导监督。</w:t>
      </w:r>
    </w:p>
    <w:p w14:paraId="08DD6B0C">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三.评标程序</w:t>
      </w:r>
    </w:p>
    <w:p w14:paraId="32432FB4">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14:paraId="5A899517">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四.评标办法</w:t>
      </w:r>
    </w:p>
    <w:p w14:paraId="10CD7BA5">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本评标办法采用百分制综合评分法，商务和技术</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0分（商务和技术权值</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0%），报价</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0分（价格权值</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0%）。最大限度地满足招标文件中规定的各项综合评价标准且综合得分最高的投标人，将被推荐为中标候选人。</w:t>
      </w:r>
    </w:p>
    <w:p w14:paraId="60B40A08">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p w14:paraId="6403F3A3">
      <w:pPr>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1.商务和技术分的评定</w:t>
      </w:r>
    </w:p>
    <w:p w14:paraId="2069C5B0">
      <w:pPr>
        <w:pStyle w:val="61"/>
        <w:keepNext w:val="0"/>
        <w:keepLines w:val="0"/>
        <w:pageBreakBefore w:val="0"/>
        <w:widowControl w:val="0"/>
        <w:kinsoku/>
        <w:wordWrap w:val="0"/>
        <w:overflowPunct/>
        <w:topLinePunct w:val="0"/>
        <w:autoSpaceDE/>
        <w:autoSpaceDN/>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p w14:paraId="54EC6294">
      <w:pPr>
        <w:keepNext w:val="0"/>
        <w:keepLines w:val="0"/>
        <w:pageBreakBefore w:val="0"/>
        <w:widowControl w:val="0"/>
        <w:numPr>
          <w:ilvl w:val="-1"/>
          <w:numId w:val="0"/>
        </w:numPr>
        <w:kinsoku/>
        <w:wordWrap w:val="0"/>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b/>
          <w:bCs/>
          <w:color w:val="auto"/>
          <w:sz w:val="22"/>
          <w:szCs w:val="22"/>
          <w:highlight w:val="none"/>
          <w:lang w:eastAsia="zh-CN"/>
        </w:rPr>
      </w:pPr>
      <w:bookmarkStart w:id="56" w:name="_Toc23256"/>
      <w:r>
        <w:rPr>
          <w:rFonts w:hint="eastAsia" w:ascii="宋体" w:hAnsi="宋体" w:eastAsia="宋体" w:cs="宋体"/>
          <w:b/>
          <w:color w:val="auto"/>
          <w:sz w:val="22"/>
          <w:szCs w:val="22"/>
          <w:highlight w:val="none"/>
          <w:lang w:val="en-US" w:eastAsia="zh-CN"/>
        </w:rPr>
        <w:t>标项1：手写信息数字签名终端（无线）</w:t>
      </w:r>
      <w:bookmarkEnd w:id="56"/>
    </w:p>
    <w:tbl>
      <w:tblPr>
        <w:tblStyle w:val="32"/>
        <w:tblW w:w="48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30"/>
        <w:gridCol w:w="5885"/>
        <w:gridCol w:w="631"/>
        <w:gridCol w:w="927"/>
      </w:tblGrid>
      <w:tr w14:paraId="0038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2BF7C17E">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40" w:type="pct"/>
            <w:noWrap/>
            <w:vAlign w:val="center"/>
          </w:tcPr>
          <w:p w14:paraId="661647C1">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评分内容</w:t>
            </w:r>
          </w:p>
        </w:tc>
        <w:tc>
          <w:tcPr>
            <w:tcW w:w="3048" w:type="pct"/>
            <w:noWrap/>
            <w:vAlign w:val="center"/>
          </w:tcPr>
          <w:p w14:paraId="441962A3">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评分细则</w:t>
            </w:r>
          </w:p>
        </w:tc>
        <w:tc>
          <w:tcPr>
            <w:tcW w:w="326" w:type="pct"/>
            <w:shd w:val="clear" w:color="auto" w:fill="auto"/>
            <w:noWrap/>
            <w:vAlign w:val="center"/>
          </w:tcPr>
          <w:p w14:paraId="08548CAE">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rPr>
              <w:t>分值</w:t>
            </w:r>
          </w:p>
        </w:tc>
        <w:tc>
          <w:tcPr>
            <w:tcW w:w="480" w:type="pct"/>
            <w:noWrap/>
            <w:vAlign w:val="center"/>
          </w:tcPr>
          <w:p w14:paraId="3DB13D83">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备注</w:t>
            </w:r>
          </w:p>
        </w:tc>
      </w:tr>
      <w:tr w14:paraId="3737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32A8DEE7">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0" w:type="pct"/>
            <w:shd w:val="clear" w:color="auto" w:fill="auto"/>
            <w:noWrap/>
            <w:vAlign w:val="center"/>
          </w:tcPr>
          <w:p w14:paraId="20E6CD4C">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eastAsia="zh-CN"/>
              </w:rPr>
              <w:t>综合</w:t>
            </w:r>
            <w:r>
              <w:rPr>
                <w:rFonts w:hint="eastAsia" w:ascii="宋体" w:hAnsi="宋体" w:eastAsia="宋体" w:cs="宋体"/>
                <w:color w:val="auto"/>
                <w:sz w:val="22"/>
                <w:szCs w:val="22"/>
                <w:highlight w:val="none"/>
              </w:rPr>
              <w:t>情况</w:t>
            </w:r>
          </w:p>
        </w:tc>
        <w:tc>
          <w:tcPr>
            <w:tcW w:w="3048" w:type="pct"/>
            <w:shd w:val="clear" w:color="auto" w:fill="auto"/>
            <w:noWrap/>
            <w:vAlign w:val="center"/>
          </w:tcPr>
          <w:p w14:paraId="11983B48">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投标产品制造厂商具有有效期内的ISO9001质量管理体系认证证书、ISO27001信息安全管理体系认证证书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ISO27018个人可识别信息安全管理体系认证证书，每提供以上一项得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分，共</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w:t>
            </w:r>
          </w:p>
          <w:p w14:paraId="72C9D629">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注：提供认证证书复印件并加盖公章；并提供在全国认证认可信息公共服务平台查询截图加盖公章。</w:t>
            </w:r>
          </w:p>
        </w:tc>
        <w:tc>
          <w:tcPr>
            <w:tcW w:w="326" w:type="pct"/>
            <w:shd w:val="clear" w:color="auto" w:fill="auto"/>
            <w:noWrap/>
            <w:vAlign w:val="center"/>
          </w:tcPr>
          <w:p w14:paraId="573AA27A">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480" w:type="pct"/>
            <w:shd w:val="clear" w:color="auto" w:fill="auto"/>
            <w:noWrap/>
            <w:vAlign w:val="center"/>
          </w:tcPr>
          <w:p w14:paraId="64A88DDF">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客观分</w:t>
            </w:r>
          </w:p>
        </w:tc>
      </w:tr>
      <w:tr w14:paraId="076C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090E705A">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p>
        </w:tc>
        <w:tc>
          <w:tcPr>
            <w:tcW w:w="740" w:type="pct"/>
            <w:noWrap/>
            <w:vAlign w:val="center"/>
          </w:tcPr>
          <w:p w14:paraId="724C3FC1">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技术需求响应</w:t>
            </w:r>
          </w:p>
        </w:tc>
        <w:tc>
          <w:tcPr>
            <w:tcW w:w="3048" w:type="pct"/>
            <w:shd w:val="clear" w:color="auto" w:fill="auto"/>
            <w:noWrap/>
            <w:vAlign w:val="center"/>
          </w:tcPr>
          <w:p w14:paraId="5DEBD03A">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根据投标人提供的功能要求、详细配置、技术指标等，全部满足招标文件要求的得</w:t>
            </w:r>
            <w:r>
              <w:rPr>
                <w:rFonts w:hint="eastAsia" w:ascii="宋体" w:hAnsi="宋体" w:eastAsia="宋体" w:cs="宋体"/>
                <w:color w:val="auto"/>
                <w:sz w:val="22"/>
                <w:szCs w:val="22"/>
                <w:highlight w:val="none"/>
                <w:lang w:val="en-US" w:eastAsia="zh-CN"/>
              </w:rPr>
              <w:t>34</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一般</w:t>
            </w:r>
            <w:r>
              <w:rPr>
                <w:rFonts w:hint="eastAsia" w:ascii="宋体" w:hAnsi="宋体" w:eastAsia="宋体" w:cs="宋体"/>
                <w:color w:val="auto"/>
                <w:sz w:val="22"/>
                <w:szCs w:val="22"/>
                <w:highlight w:val="none"/>
              </w:rPr>
              <w:t>技术指标负偏离每项扣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分，标注★指标负偏离每项扣</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34分</w:t>
            </w:r>
            <w:r>
              <w:rPr>
                <w:rFonts w:hint="eastAsia" w:ascii="宋体" w:hAnsi="宋体" w:eastAsia="宋体" w:cs="宋体"/>
                <w:color w:val="auto"/>
                <w:sz w:val="22"/>
                <w:szCs w:val="22"/>
                <w:highlight w:val="none"/>
              </w:rPr>
              <w:t>扣完为止。</w:t>
            </w:r>
          </w:p>
        </w:tc>
        <w:tc>
          <w:tcPr>
            <w:tcW w:w="326" w:type="pct"/>
            <w:shd w:val="clear" w:color="auto" w:fill="auto"/>
            <w:noWrap/>
            <w:vAlign w:val="center"/>
          </w:tcPr>
          <w:p w14:paraId="33A59AD2">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w:t>
            </w:r>
          </w:p>
        </w:tc>
        <w:tc>
          <w:tcPr>
            <w:tcW w:w="480" w:type="pct"/>
            <w:shd w:val="clear" w:color="auto" w:fill="auto"/>
            <w:noWrap/>
            <w:vAlign w:val="center"/>
          </w:tcPr>
          <w:p w14:paraId="6EB3AFBA">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客观分</w:t>
            </w:r>
          </w:p>
        </w:tc>
      </w:tr>
      <w:tr w14:paraId="1D94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0B8E9BD6">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p>
        </w:tc>
        <w:tc>
          <w:tcPr>
            <w:tcW w:w="740" w:type="pct"/>
            <w:shd w:val="clear" w:color="auto" w:fill="auto"/>
            <w:noWrap/>
            <w:vAlign w:val="center"/>
          </w:tcPr>
          <w:p w14:paraId="14FEBB4B">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组织方案</w:t>
            </w:r>
          </w:p>
        </w:tc>
        <w:tc>
          <w:tcPr>
            <w:tcW w:w="3048" w:type="pct"/>
            <w:shd w:val="clear" w:color="auto" w:fill="auto"/>
            <w:noWrap/>
            <w:vAlign w:val="center"/>
          </w:tcPr>
          <w:p w14:paraId="010B9C15">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根据投标人对组织实施方案（包括实施内容、实施计划、质量保障等）的满足程度综合评定。（评分范围：5、4、3、2、1、0）</w:t>
            </w:r>
          </w:p>
        </w:tc>
        <w:tc>
          <w:tcPr>
            <w:tcW w:w="326" w:type="pct"/>
            <w:shd w:val="clear" w:color="auto" w:fill="auto"/>
            <w:noWrap/>
            <w:vAlign w:val="center"/>
          </w:tcPr>
          <w:p w14:paraId="2747EF27">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480" w:type="pct"/>
            <w:shd w:val="clear" w:color="auto" w:fill="auto"/>
            <w:noWrap/>
            <w:vAlign w:val="center"/>
          </w:tcPr>
          <w:p w14:paraId="1AECBAD0">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14:paraId="3660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6ACC5915">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p>
        </w:tc>
        <w:tc>
          <w:tcPr>
            <w:tcW w:w="740" w:type="pct"/>
            <w:noWrap/>
            <w:vAlign w:val="center"/>
          </w:tcPr>
          <w:p w14:paraId="1E0A5181">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培训方案</w:t>
            </w:r>
          </w:p>
        </w:tc>
        <w:tc>
          <w:tcPr>
            <w:tcW w:w="3048" w:type="pct"/>
            <w:shd w:val="clear" w:color="auto" w:fill="auto"/>
            <w:noWrap/>
            <w:vAlign w:val="center"/>
          </w:tcPr>
          <w:p w14:paraId="7AF0F590">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根据投标人对培训方案（包含培训计划、培训内容、培训材料等）的满足程度进行综合评定。（评分范围：5、4、3、2、1、0）</w:t>
            </w:r>
          </w:p>
        </w:tc>
        <w:tc>
          <w:tcPr>
            <w:tcW w:w="326" w:type="pct"/>
            <w:shd w:val="clear" w:color="auto" w:fill="auto"/>
            <w:noWrap/>
            <w:vAlign w:val="center"/>
          </w:tcPr>
          <w:p w14:paraId="679C4F10">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480" w:type="pct"/>
            <w:shd w:val="clear" w:color="auto" w:fill="auto"/>
            <w:noWrap/>
            <w:vAlign w:val="center"/>
          </w:tcPr>
          <w:p w14:paraId="02ECA7A0">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主观</w:t>
            </w:r>
            <w:r>
              <w:rPr>
                <w:rFonts w:hint="eastAsia" w:ascii="宋体" w:hAnsi="宋体" w:eastAsia="宋体" w:cs="宋体"/>
                <w:color w:val="auto"/>
                <w:sz w:val="22"/>
                <w:szCs w:val="22"/>
                <w:highlight w:val="none"/>
                <w:lang w:val="en-US" w:eastAsia="zh-CN"/>
              </w:rPr>
              <w:t>分</w:t>
            </w:r>
          </w:p>
        </w:tc>
      </w:tr>
      <w:tr w14:paraId="0A62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shd w:val="clear" w:color="auto" w:fill="auto"/>
            <w:noWrap/>
            <w:vAlign w:val="center"/>
          </w:tcPr>
          <w:p w14:paraId="06882D4A">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w:t>
            </w:r>
          </w:p>
        </w:tc>
        <w:tc>
          <w:tcPr>
            <w:tcW w:w="740" w:type="pct"/>
            <w:shd w:val="clear" w:color="auto" w:fill="auto"/>
            <w:noWrap/>
            <w:vAlign w:val="center"/>
          </w:tcPr>
          <w:p w14:paraId="42A6CA5A">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投标设备技术指标的先进性</w:t>
            </w:r>
          </w:p>
        </w:tc>
        <w:tc>
          <w:tcPr>
            <w:tcW w:w="3048" w:type="pct"/>
            <w:shd w:val="clear" w:color="auto" w:fill="auto"/>
            <w:noWrap/>
            <w:vAlign w:val="center"/>
          </w:tcPr>
          <w:p w14:paraId="6AD246C3">
            <w:pPr>
              <w:keepNext w:val="0"/>
              <w:keepLines w:val="0"/>
              <w:pageBreakBefore w:val="0"/>
              <w:widowControl w:val="0"/>
              <w:kinsoku/>
              <w:wordWrap w:val="0"/>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评委对投标设备技术指标的先进性进行评价：技术指标高于招标要求且具有较高临床实用价值的，每项得1分；最高得3分。</w:t>
            </w:r>
            <w:bookmarkStart w:id="70" w:name="_GoBack"/>
            <w:bookmarkEnd w:id="70"/>
          </w:p>
        </w:tc>
        <w:tc>
          <w:tcPr>
            <w:tcW w:w="326" w:type="pct"/>
            <w:shd w:val="clear" w:color="auto" w:fill="auto"/>
            <w:noWrap/>
            <w:vAlign w:val="center"/>
          </w:tcPr>
          <w:p w14:paraId="1B3D6060">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c>
          <w:tcPr>
            <w:tcW w:w="480" w:type="pct"/>
            <w:shd w:val="clear" w:color="auto" w:fill="auto"/>
            <w:noWrap/>
            <w:vAlign w:val="center"/>
          </w:tcPr>
          <w:p w14:paraId="2F356F86">
            <w:pPr>
              <w:keepNext w:val="0"/>
              <w:keepLines w:val="0"/>
              <w:pageBreakBefore w:val="0"/>
              <w:widowControl w:val="0"/>
              <w:kinsoku/>
              <w:wordWrap w:val="0"/>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客观</w:t>
            </w:r>
            <w:r>
              <w:rPr>
                <w:rFonts w:hint="eastAsia" w:ascii="宋体" w:hAnsi="宋体" w:eastAsia="宋体" w:cs="宋体"/>
                <w:color w:val="auto"/>
                <w:sz w:val="22"/>
                <w:szCs w:val="22"/>
                <w:highlight w:val="none"/>
                <w:lang w:val="en-US" w:eastAsia="zh-CN"/>
              </w:rPr>
              <w:t>分</w:t>
            </w:r>
          </w:p>
        </w:tc>
      </w:tr>
      <w:tr w14:paraId="324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72265F05">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740" w:type="pct"/>
            <w:noWrap/>
            <w:vAlign w:val="center"/>
          </w:tcPr>
          <w:p w14:paraId="5AA8F89B">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售后服务方案</w:t>
            </w:r>
          </w:p>
        </w:tc>
        <w:tc>
          <w:tcPr>
            <w:tcW w:w="3048" w:type="pct"/>
            <w:shd w:val="clear" w:color="auto" w:fill="auto"/>
            <w:noWrap/>
            <w:vAlign w:val="center"/>
          </w:tcPr>
          <w:p w14:paraId="54510E8A">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根据投标人提供的售后承诺及服务方案中服务承诺的可行性、完整性以及服务承诺落实的保障措施，维护期内外的后续技术支持和维护能力情况进行综合打分。（评分范围：5、4、3、2、1、0）</w:t>
            </w:r>
          </w:p>
        </w:tc>
        <w:tc>
          <w:tcPr>
            <w:tcW w:w="326" w:type="pct"/>
            <w:shd w:val="clear" w:color="auto" w:fill="auto"/>
            <w:noWrap/>
            <w:vAlign w:val="center"/>
          </w:tcPr>
          <w:p w14:paraId="2852533B">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480" w:type="pct"/>
            <w:shd w:val="clear" w:color="auto" w:fill="auto"/>
            <w:noWrap/>
            <w:vAlign w:val="center"/>
          </w:tcPr>
          <w:p w14:paraId="64E47045">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主观</w:t>
            </w:r>
            <w:r>
              <w:rPr>
                <w:rFonts w:hint="eastAsia" w:ascii="宋体" w:hAnsi="宋体" w:eastAsia="宋体" w:cs="宋体"/>
                <w:color w:val="auto"/>
                <w:sz w:val="22"/>
                <w:szCs w:val="22"/>
                <w:highlight w:val="none"/>
                <w:lang w:val="en-US" w:eastAsia="zh-CN"/>
              </w:rPr>
              <w:t>分</w:t>
            </w:r>
          </w:p>
        </w:tc>
      </w:tr>
      <w:tr w14:paraId="5A72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5C9E1D41">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740" w:type="pct"/>
            <w:noWrap/>
            <w:vAlign w:val="center"/>
          </w:tcPr>
          <w:p w14:paraId="767A4945">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保修期外的维修报价</w:t>
            </w:r>
          </w:p>
        </w:tc>
        <w:tc>
          <w:tcPr>
            <w:tcW w:w="3048" w:type="pct"/>
            <w:shd w:val="clear" w:color="auto" w:fill="auto"/>
            <w:noWrap/>
            <w:vAlign w:val="center"/>
          </w:tcPr>
          <w:p w14:paraId="41D44FAE">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提供完整的出保修期之外的设备维修报价方案（评分范围：</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2、1、0），提供各零部件损坏维修费用详细报价表（评分范围</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2、1、0）。</w:t>
            </w:r>
          </w:p>
        </w:tc>
        <w:tc>
          <w:tcPr>
            <w:tcW w:w="326" w:type="pct"/>
            <w:shd w:val="clear" w:color="auto" w:fill="auto"/>
            <w:noWrap/>
            <w:vAlign w:val="center"/>
          </w:tcPr>
          <w:p w14:paraId="1815C2F6">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480" w:type="pct"/>
            <w:shd w:val="clear" w:color="auto" w:fill="auto"/>
            <w:noWrap/>
            <w:vAlign w:val="center"/>
          </w:tcPr>
          <w:p w14:paraId="7CB379D3">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主观</w:t>
            </w:r>
            <w:r>
              <w:rPr>
                <w:rFonts w:hint="eastAsia" w:ascii="宋体" w:hAnsi="宋体" w:eastAsia="宋体" w:cs="宋体"/>
                <w:color w:val="auto"/>
                <w:sz w:val="22"/>
                <w:szCs w:val="22"/>
                <w:highlight w:val="none"/>
                <w:lang w:val="en-US" w:eastAsia="zh-CN"/>
              </w:rPr>
              <w:t>分</w:t>
            </w:r>
          </w:p>
        </w:tc>
      </w:tr>
      <w:tr w14:paraId="4DE7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1FA5BEF0">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740" w:type="pct"/>
            <w:noWrap/>
            <w:vAlign w:val="center"/>
          </w:tcPr>
          <w:p w14:paraId="7F8FC6D3">
            <w:pPr>
              <w:pStyle w:val="81"/>
              <w:keepNext w:val="0"/>
              <w:keepLines w:val="0"/>
              <w:pageBreakBefore w:val="0"/>
              <w:widowControl w:val="0"/>
              <w:tabs>
                <w:tab w:val="left" w:pos="-153"/>
              </w:tabs>
              <w:kinsoku/>
              <w:wordWrap w:val="0"/>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质保期</w:t>
            </w:r>
          </w:p>
        </w:tc>
        <w:tc>
          <w:tcPr>
            <w:tcW w:w="3048" w:type="pct"/>
            <w:shd w:val="clear" w:color="auto" w:fill="auto"/>
            <w:noWrap/>
            <w:vAlign w:val="center"/>
          </w:tcPr>
          <w:p w14:paraId="1028F185">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质保期在满足采购文件的基础上每增加1年加1分，最多加</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tc>
        <w:tc>
          <w:tcPr>
            <w:tcW w:w="326" w:type="pct"/>
            <w:shd w:val="clear" w:color="auto" w:fill="auto"/>
            <w:noWrap/>
            <w:vAlign w:val="center"/>
          </w:tcPr>
          <w:p w14:paraId="4E20D8C9">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480" w:type="pct"/>
            <w:shd w:val="clear" w:color="auto" w:fill="auto"/>
            <w:noWrap/>
            <w:vAlign w:val="center"/>
          </w:tcPr>
          <w:p w14:paraId="2B68BFC9">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客观分</w:t>
            </w:r>
          </w:p>
        </w:tc>
      </w:tr>
      <w:tr w14:paraId="3048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3381B4CB">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740" w:type="pct"/>
            <w:noWrap/>
            <w:vAlign w:val="center"/>
          </w:tcPr>
          <w:p w14:paraId="1A89CEB6">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业绩</w:t>
            </w:r>
          </w:p>
        </w:tc>
        <w:tc>
          <w:tcPr>
            <w:tcW w:w="3048" w:type="pct"/>
            <w:shd w:val="clear" w:color="auto" w:fill="auto"/>
            <w:noWrap/>
            <w:vAlign w:val="center"/>
          </w:tcPr>
          <w:p w14:paraId="11AD8469">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投标产品销售业绩：评委对本次相同型号投标产品自2023年1月1日起（以合同签订时间为准）与不同的最终用户签订的销售合同评分，每提供一个合同复印件得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分，最高3分。）</w:t>
            </w:r>
          </w:p>
        </w:tc>
        <w:tc>
          <w:tcPr>
            <w:tcW w:w="326" w:type="pct"/>
            <w:shd w:val="clear" w:color="auto" w:fill="auto"/>
            <w:noWrap/>
            <w:vAlign w:val="center"/>
          </w:tcPr>
          <w:p w14:paraId="3BD1491D">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480" w:type="pct"/>
            <w:shd w:val="clear" w:color="auto" w:fill="auto"/>
            <w:noWrap/>
            <w:vAlign w:val="center"/>
          </w:tcPr>
          <w:p w14:paraId="214B86E7">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客观分</w:t>
            </w:r>
          </w:p>
        </w:tc>
      </w:tr>
      <w:tr w14:paraId="0A74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noWrap/>
            <w:vAlign w:val="center"/>
          </w:tcPr>
          <w:p w14:paraId="3A2D7452">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740" w:type="pct"/>
            <w:noWrap/>
            <w:vAlign w:val="center"/>
          </w:tcPr>
          <w:p w14:paraId="3B48D4DA">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环境标志产品、节能产品评审</w:t>
            </w:r>
          </w:p>
        </w:tc>
        <w:tc>
          <w:tcPr>
            <w:tcW w:w="3048" w:type="pct"/>
            <w:shd w:val="clear" w:color="auto" w:fill="auto"/>
            <w:noWrap/>
            <w:vAlign w:val="center"/>
          </w:tcPr>
          <w:p w14:paraId="6B463342">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产品列入财政部、发展改革委发布的节能产品品目清单的，提供国家市场监督管理总局公布的《参与实施政府采购节能产品认证机构名录》内的认证机构出具的、处于有效期之内的节能标志产品认证证书的，得0.5分。</w:t>
            </w:r>
          </w:p>
          <w:p w14:paraId="023B4D3C">
            <w:pPr>
              <w:keepNext w:val="0"/>
              <w:keepLines w:val="0"/>
              <w:pageBreakBefore w:val="0"/>
              <w:widowControl w:val="0"/>
              <w:kinsoku/>
              <w:wordWrap w:val="0"/>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0.5分。</w:t>
            </w:r>
          </w:p>
        </w:tc>
        <w:tc>
          <w:tcPr>
            <w:tcW w:w="326" w:type="pct"/>
            <w:shd w:val="clear" w:color="auto" w:fill="auto"/>
            <w:noWrap/>
            <w:vAlign w:val="center"/>
          </w:tcPr>
          <w:p w14:paraId="76AADE6E">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480" w:type="pct"/>
            <w:shd w:val="clear" w:color="auto" w:fill="auto"/>
            <w:noWrap/>
            <w:vAlign w:val="center"/>
          </w:tcPr>
          <w:p w14:paraId="09C0665F">
            <w:pPr>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客观分</w:t>
            </w:r>
          </w:p>
        </w:tc>
      </w:tr>
    </w:tbl>
    <w:p w14:paraId="7E4A335A">
      <w:pPr>
        <w:keepNext w:val="0"/>
        <w:keepLines w:val="0"/>
        <w:pageBreakBefore w:val="0"/>
        <w:widowControl w:val="0"/>
        <w:kinsoku/>
        <w:wordWrap w:val="0"/>
        <w:overflowPunct/>
        <w:topLinePunct w:val="0"/>
        <w:autoSpaceDE/>
        <w:autoSpaceDN/>
        <w:bidi w:val="0"/>
        <w:adjustRightInd/>
        <w:snapToGrid/>
        <w:spacing w:line="360" w:lineRule="auto"/>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2.报价评分（</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p w14:paraId="49218BE0">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2.1资格及符合性审查通过的有效投标人进入商务报价评分。</w:t>
      </w:r>
    </w:p>
    <w:p w14:paraId="31CDB84E">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报价评分采用低价优先法计算，即满足招标文件要求且评审价格最低的为评标基准价，其价格分为满分。其他投标人的报价分按照下列公式计算：</w:t>
      </w:r>
    </w:p>
    <w:p w14:paraId="18F1C8D9">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报价分=（评标基准价/评审价格）×</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w:t>
      </w:r>
    </w:p>
    <w:p w14:paraId="2438DA24">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注：以上四舍五入后保留小数2位</w:t>
      </w:r>
    </w:p>
    <w:p w14:paraId="23A2526F">
      <w:pPr>
        <w:keepNext w:val="0"/>
        <w:keepLines w:val="0"/>
        <w:pageBreakBefore w:val="0"/>
        <w:widowControl w:val="0"/>
        <w:kinsoku/>
        <w:wordWrap w:val="0"/>
        <w:overflowPunct/>
        <w:topLinePunct w:val="0"/>
        <w:autoSpaceDE/>
        <w:autoSpaceDN/>
        <w:bidi w:val="0"/>
        <w:adjustRightInd/>
        <w:spacing w:line="360" w:lineRule="auto"/>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投标如缺少须提供的一种功能或配置或服务，该价格将在其投标价的基础上加上其他投标人相应分项价格的最高价。如若中标，该缺漏项费用将由中标人自行承担，投标报价不做调整。</w:t>
      </w:r>
    </w:p>
    <w:p w14:paraId="1DFCEFE2">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2.2</w:t>
      </w:r>
      <w:r>
        <w:rPr>
          <w:rFonts w:hint="eastAsia" w:ascii="宋体" w:hAnsi="宋体" w:eastAsia="宋体" w:cs="宋体"/>
          <w:color w:val="auto"/>
          <w:sz w:val="22"/>
          <w:szCs w:val="22"/>
          <w:highlight w:val="none"/>
        </w:rPr>
        <w:t>投标人的综合评分为“商务和技术分”和“报价分”的总计。</w:t>
      </w:r>
    </w:p>
    <w:p w14:paraId="07CC6A6D">
      <w:pPr>
        <w:keepNext w:val="0"/>
        <w:keepLines w:val="0"/>
        <w:pageBreakBefore w:val="0"/>
        <w:widowControl w:val="0"/>
        <w:kinsoku/>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09451D6A">
      <w:pPr>
        <w:keepNext w:val="0"/>
        <w:keepLines w:val="0"/>
        <w:pageBreakBefore w:val="0"/>
        <w:widowControl w:val="0"/>
        <w:numPr>
          <w:ilvl w:val="-1"/>
          <w:numId w:val="0"/>
        </w:numPr>
        <w:kinsoku/>
        <w:wordWrap w:val="0"/>
        <w:overflowPunct/>
        <w:topLinePunct w:val="0"/>
        <w:autoSpaceDE/>
        <w:autoSpaceDN/>
        <w:bidi w:val="0"/>
        <w:adjustRightInd/>
        <w:spacing w:line="360" w:lineRule="auto"/>
        <w:jc w:val="center"/>
        <w:textAlignment w:val="auto"/>
        <w:outlineLvl w:val="0"/>
        <w:rPr>
          <w:rFonts w:hint="eastAsia" w:ascii="宋体" w:hAnsi="宋体" w:eastAsia="宋体" w:cs="宋体"/>
          <w:b/>
          <w:bCs/>
          <w:color w:val="auto"/>
          <w:sz w:val="22"/>
          <w:szCs w:val="22"/>
          <w:highlight w:val="none"/>
          <w:lang w:eastAsia="zh-CN"/>
        </w:rPr>
      </w:pPr>
      <w:bookmarkStart w:id="57" w:name="_Toc7033"/>
      <w:r>
        <w:rPr>
          <w:rFonts w:hint="eastAsia" w:ascii="宋体" w:hAnsi="宋体" w:eastAsia="宋体" w:cs="宋体"/>
          <w:b/>
          <w:color w:val="auto"/>
          <w:sz w:val="22"/>
          <w:szCs w:val="22"/>
          <w:highlight w:val="none"/>
          <w:lang w:val="en-US" w:eastAsia="zh-CN"/>
        </w:rPr>
        <w:t>标项2：PDA</w:t>
      </w:r>
      <w:bookmarkEnd w:id="57"/>
    </w:p>
    <w:tbl>
      <w:tblPr>
        <w:tblStyle w:val="32"/>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76"/>
        <w:gridCol w:w="5039"/>
        <w:gridCol w:w="733"/>
        <w:gridCol w:w="971"/>
      </w:tblGrid>
      <w:tr w14:paraId="3EB2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noWrap/>
            <w:vAlign w:val="center"/>
          </w:tcPr>
          <w:p w14:paraId="6D0A47F2">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084" w:type="pct"/>
            <w:noWrap/>
            <w:vAlign w:val="center"/>
          </w:tcPr>
          <w:p w14:paraId="6972F7F3">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评分内容</w:t>
            </w:r>
          </w:p>
        </w:tc>
        <w:tc>
          <w:tcPr>
            <w:tcW w:w="2633" w:type="pct"/>
            <w:noWrap/>
            <w:vAlign w:val="center"/>
          </w:tcPr>
          <w:p w14:paraId="1F06CD62">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评分细则</w:t>
            </w:r>
          </w:p>
        </w:tc>
        <w:tc>
          <w:tcPr>
            <w:tcW w:w="383" w:type="pct"/>
            <w:shd w:val="clear" w:color="auto" w:fill="auto"/>
            <w:noWrap/>
            <w:vAlign w:val="center"/>
          </w:tcPr>
          <w:p w14:paraId="425C8F15">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rPr>
              <w:t>分值</w:t>
            </w:r>
          </w:p>
        </w:tc>
        <w:tc>
          <w:tcPr>
            <w:tcW w:w="507" w:type="pct"/>
            <w:noWrap/>
            <w:vAlign w:val="center"/>
          </w:tcPr>
          <w:p w14:paraId="33151C8D">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备注</w:t>
            </w:r>
          </w:p>
        </w:tc>
      </w:tr>
      <w:tr w14:paraId="0E6A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noWrap/>
            <w:vAlign w:val="center"/>
          </w:tcPr>
          <w:p w14:paraId="63BF6D39">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84" w:type="pct"/>
            <w:noWrap/>
            <w:vAlign w:val="center"/>
          </w:tcPr>
          <w:p w14:paraId="714BC26F">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设备技术规格及配置对应于招标文件的偏离情况</w:t>
            </w:r>
          </w:p>
        </w:tc>
        <w:tc>
          <w:tcPr>
            <w:tcW w:w="2633" w:type="pct"/>
            <w:shd w:val="clear" w:color="auto" w:fill="auto"/>
            <w:noWrap/>
            <w:vAlign w:val="center"/>
          </w:tcPr>
          <w:p w14:paraId="5627D92D">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rPr>
              <w:t>根据投标人提供的功能要求、详细配置、技术指标等，全部满足招标文件要求的得</w:t>
            </w:r>
            <w:r>
              <w:rPr>
                <w:rFonts w:hint="eastAsia" w:ascii="宋体" w:hAnsi="宋体" w:eastAsia="宋体" w:cs="宋体"/>
                <w:color w:val="auto"/>
                <w:kern w:val="0"/>
                <w:sz w:val="22"/>
                <w:szCs w:val="22"/>
                <w:highlight w:val="none"/>
                <w:lang w:val="en-US" w:eastAsia="zh-CN"/>
              </w:rPr>
              <w:t>32</w:t>
            </w:r>
            <w:r>
              <w:rPr>
                <w:rFonts w:hint="eastAsia" w:ascii="宋体" w:hAnsi="宋体" w:eastAsia="宋体" w:cs="宋体"/>
                <w:color w:val="auto"/>
                <w:kern w:val="0"/>
                <w:sz w:val="22"/>
                <w:szCs w:val="22"/>
                <w:highlight w:val="none"/>
              </w:rPr>
              <w:t>分；</w:t>
            </w:r>
            <w:r>
              <w:rPr>
                <w:rFonts w:hint="eastAsia" w:ascii="宋体" w:hAnsi="宋体" w:eastAsia="宋体" w:cs="宋体"/>
                <w:color w:val="auto"/>
                <w:sz w:val="22"/>
                <w:szCs w:val="22"/>
                <w:highlight w:val="none"/>
                <w:lang w:val="en-US" w:eastAsia="zh-CN"/>
              </w:rPr>
              <w:t>一般</w:t>
            </w:r>
            <w:r>
              <w:rPr>
                <w:rFonts w:hint="eastAsia" w:ascii="宋体" w:hAnsi="宋体" w:eastAsia="宋体" w:cs="宋体"/>
                <w:color w:val="auto"/>
                <w:sz w:val="22"/>
                <w:szCs w:val="22"/>
                <w:highlight w:val="none"/>
              </w:rPr>
              <w:t>技术指标负偏离每项扣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分，标注★指标负偏离每项扣</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val="en-US" w:eastAsia="zh-CN"/>
              </w:rPr>
              <w:t>32</w:t>
            </w:r>
            <w:r>
              <w:rPr>
                <w:rFonts w:hint="eastAsia" w:ascii="宋体" w:hAnsi="宋体" w:eastAsia="宋体" w:cs="宋体"/>
                <w:color w:val="auto"/>
                <w:kern w:val="0"/>
                <w:sz w:val="22"/>
                <w:szCs w:val="22"/>
                <w:highlight w:val="none"/>
              </w:rPr>
              <w:t>分</w:t>
            </w:r>
            <w:r>
              <w:rPr>
                <w:rFonts w:hint="eastAsia" w:ascii="宋体" w:hAnsi="宋体" w:eastAsia="宋体" w:cs="宋体"/>
                <w:color w:val="auto"/>
                <w:sz w:val="22"/>
                <w:szCs w:val="22"/>
                <w:highlight w:val="none"/>
              </w:rPr>
              <w:t>扣完为止。</w:t>
            </w:r>
          </w:p>
        </w:tc>
        <w:tc>
          <w:tcPr>
            <w:tcW w:w="383" w:type="pct"/>
            <w:shd w:val="clear" w:color="auto" w:fill="auto"/>
            <w:noWrap/>
            <w:vAlign w:val="center"/>
          </w:tcPr>
          <w:p w14:paraId="69511AF1">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32</w:t>
            </w:r>
          </w:p>
        </w:tc>
        <w:tc>
          <w:tcPr>
            <w:tcW w:w="507" w:type="pct"/>
            <w:noWrap/>
            <w:vAlign w:val="center"/>
          </w:tcPr>
          <w:p w14:paraId="7F11356E">
            <w:pPr>
              <w:keepNext w:val="0"/>
              <w:keepLines w:val="0"/>
              <w:pageBreakBefore w:val="0"/>
              <w:widowControl w:val="0"/>
              <w:kinsoku/>
              <w:wordWrap w:val="0"/>
              <w:overflowPunct/>
              <w:topLinePunct w:val="0"/>
              <w:autoSpaceDE/>
              <w:autoSpaceDN/>
              <w:bidi w:val="0"/>
              <w:adjustRightInd/>
              <w:spacing w:line="360" w:lineRule="auto"/>
              <w:ind w:left="0" w:left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客观分</w:t>
            </w:r>
          </w:p>
        </w:tc>
      </w:tr>
      <w:tr w14:paraId="5070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noWrap/>
            <w:vAlign w:val="center"/>
          </w:tcPr>
          <w:p w14:paraId="05A59DA5">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084" w:type="pct"/>
            <w:shd w:val="clear" w:color="auto" w:fill="auto"/>
            <w:noWrap/>
            <w:vAlign w:val="center"/>
          </w:tcPr>
          <w:p w14:paraId="2C00EC05">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投标设备技术指标的先进性</w:t>
            </w:r>
          </w:p>
        </w:tc>
        <w:tc>
          <w:tcPr>
            <w:tcW w:w="2633" w:type="pct"/>
            <w:shd w:val="clear" w:color="auto" w:fill="auto"/>
            <w:noWrap/>
            <w:vAlign w:val="center"/>
          </w:tcPr>
          <w:p w14:paraId="49E933E4">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投标货物的技术性能：根据所投货物技术性能先进度、使用效果进行综合评定。（评分范围：3、2、1、0）</w:t>
            </w:r>
          </w:p>
        </w:tc>
        <w:tc>
          <w:tcPr>
            <w:tcW w:w="383" w:type="pct"/>
            <w:shd w:val="clear" w:color="auto" w:fill="auto"/>
            <w:noWrap/>
            <w:vAlign w:val="center"/>
          </w:tcPr>
          <w:p w14:paraId="3F5A9FFF">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c>
          <w:tcPr>
            <w:tcW w:w="507" w:type="pct"/>
            <w:shd w:val="clear" w:color="auto" w:fill="auto"/>
            <w:noWrap/>
            <w:vAlign w:val="center"/>
          </w:tcPr>
          <w:p w14:paraId="60C04ACE">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主观分</w:t>
            </w:r>
          </w:p>
        </w:tc>
      </w:tr>
      <w:tr w14:paraId="07E3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shd w:val="clear" w:color="auto" w:fill="auto"/>
            <w:noWrap/>
            <w:vAlign w:val="center"/>
          </w:tcPr>
          <w:p w14:paraId="4497E84F">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w:t>
            </w:r>
          </w:p>
        </w:tc>
        <w:tc>
          <w:tcPr>
            <w:tcW w:w="1084" w:type="pct"/>
            <w:shd w:val="clear" w:color="auto" w:fill="auto"/>
            <w:noWrap/>
            <w:vAlign w:val="center"/>
          </w:tcPr>
          <w:p w14:paraId="58858FE2">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投标设备配套的合理性</w:t>
            </w:r>
          </w:p>
        </w:tc>
        <w:tc>
          <w:tcPr>
            <w:tcW w:w="2633" w:type="pct"/>
            <w:shd w:val="clear" w:color="auto" w:fill="auto"/>
            <w:noWrap/>
            <w:vAlign w:val="center"/>
          </w:tcPr>
          <w:p w14:paraId="6D1FD20C">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投标设备配套的合理性：评委对投标设备各组成部分配套的合理性、功能实现程度进行综合评定。（评分范围：3、2、1、0）</w:t>
            </w:r>
          </w:p>
        </w:tc>
        <w:tc>
          <w:tcPr>
            <w:tcW w:w="383" w:type="pct"/>
            <w:shd w:val="clear" w:color="auto" w:fill="auto"/>
            <w:noWrap/>
            <w:vAlign w:val="center"/>
          </w:tcPr>
          <w:p w14:paraId="10E7CA2B">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c>
          <w:tcPr>
            <w:tcW w:w="507" w:type="pct"/>
            <w:shd w:val="clear" w:color="auto" w:fill="auto"/>
            <w:noWrap/>
            <w:vAlign w:val="center"/>
          </w:tcPr>
          <w:p w14:paraId="62DA03D5">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主观分</w:t>
            </w:r>
          </w:p>
        </w:tc>
      </w:tr>
      <w:tr w14:paraId="2665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shd w:val="clear" w:color="auto" w:fill="auto"/>
            <w:noWrap/>
            <w:vAlign w:val="center"/>
          </w:tcPr>
          <w:p w14:paraId="5D36AE77">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w:t>
            </w:r>
          </w:p>
        </w:tc>
        <w:tc>
          <w:tcPr>
            <w:tcW w:w="1084" w:type="pct"/>
            <w:noWrap/>
            <w:vAlign w:val="center"/>
          </w:tcPr>
          <w:p w14:paraId="2CF404E6">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现场演示</w:t>
            </w:r>
          </w:p>
        </w:tc>
        <w:tc>
          <w:tcPr>
            <w:tcW w:w="2633" w:type="pct"/>
            <w:shd w:val="clear" w:color="auto" w:fill="auto"/>
            <w:noWrap/>
            <w:vAlign w:val="center"/>
          </w:tcPr>
          <w:p w14:paraId="7DC66BB8">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根据现场演示情况的功能吻合（评分范围：</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3、2、1、0）、软件适配情况（评分范围：3、2、1、0）、操作流畅度（评分范围：3、2、1、0）等综合打分。</w:t>
            </w:r>
          </w:p>
        </w:tc>
        <w:tc>
          <w:tcPr>
            <w:tcW w:w="383" w:type="pct"/>
            <w:shd w:val="clear" w:color="auto" w:fill="auto"/>
            <w:noWrap/>
            <w:vAlign w:val="center"/>
          </w:tcPr>
          <w:p w14:paraId="48BF16B0">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w:t>
            </w:r>
          </w:p>
        </w:tc>
        <w:tc>
          <w:tcPr>
            <w:tcW w:w="507" w:type="pct"/>
            <w:shd w:val="clear" w:color="auto" w:fill="auto"/>
            <w:noWrap/>
            <w:vAlign w:val="center"/>
          </w:tcPr>
          <w:p w14:paraId="0727D7FF">
            <w:pPr>
              <w:keepNext w:val="0"/>
              <w:keepLines w:val="0"/>
              <w:pageBreakBefore w:val="0"/>
              <w:widowControl w:val="0"/>
              <w:kinsoku/>
              <w:wordWrap w:val="0"/>
              <w:overflowPunct/>
              <w:topLinePunct w:val="0"/>
              <w:autoSpaceDE/>
              <w:autoSpaceDN/>
              <w:bidi w:val="0"/>
              <w:adjustRightInd/>
              <w:spacing w:line="360" w:lineRule="auto"/>
              <w:ind w:left="0" w:left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主观分</w:t>
            </w:r>
          </w:p>
        </w:tc>
      </w:tr>
      <w:tr w14:paraId="1F9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shd w:val="clear" w:color="auto" w:fill="auto"/>
            <w:noWrap/>
            <w:vAlign w:val="center"/>
          </w:tcPr>
          <w:p w14:paraId="4A5F354C">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5</w:t>
            </w:r>
          </w:p>
        </w:tc>
        <w:tc>
          <w:tcPr>
            <w:tcW w:w="1084" w:type="pct"/>
            <w:noWrap/>
            <w:vAlign w:val="center"/>
          </w:tcPr>
          <w:p w14:paraId="3BBDB8F1">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业绩</w:t>
            </w:r>
          </w:p>
        </w:tc>
        <w:tc>
          <w:tcPr>
            <w:tcW w:w="2633" w:type="pct"/>
            <w:shd w:val="clear" w:color="auto" w:fill="auto"/>
            <w:noWrap/>
            <w:vAlign w:val="center"/>
          </w:tcPr>
          <w:p w14:paraId="6F6F3573">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投标产品销售业绩：评委对本次相同型号投标产品自2023年1月1日起（以合同签订时间为准）与不同的最终用户签订的销售合同评分，每提供一个合同复印件得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分，最高3分。</w:t>
            </w:r>
          </w:p>
        </w:tc>
        <w:tc>
          <w:tcPr>
            <w:tcW w:w="383" w:type="pct"/>
            <w:shd w:val="clear" w:color="auto" w:fill="auto"/>
            <w:noWrap/>
            <w:vAlign w:val="center"/>
          </w:tcPr>
          <w:p w14:paraId="6BF15EB9">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c>
          <w:tcPr>
            <w:tcW w:w="507" w:type="pct"/>
            <w:shd w:val="clear" w:color="auto" w:fill="auto"/>
            <w:noWrap/>
            <w:vAlign w:val="center"/>
          </w:tcPr>
          <w:p w14:paraId="667CCE1B">
            <w:pPr>
              <w:keepNext w:val="0"/>
              <w:keepLines w:val="0"/>
              <w:pageBreakBefore w:val="0"/>
              <w:widowControl w:val="0"/>
              <w:kinsoku/>
              <w:wordWrap w:val="0"/>
              <w:overflowPunct/>
              <w:topLinePunct w:val="0"/>
              <w:autoSpaceDE/>
              <w:autoSpaceDN/>
              <w:bidi w:val="0"/>
              <w:adjustRightInd/>
              <w:spacing w:line="360" w:lineRule="auto"/>
              <w:ind w:left="0" w:left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客观分</w:t>
            </w:r>
          </w:p>
        </w:tc>
      </w:tr>
      <w:tr w14:paraId="4EE6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shd w:val="clear" w:color="auto" w:fill="auto"/>
            <w:noWrap/>
            <w:vAlign w:val="center"/>
          </w:tcPr>
          <w:p w14:paraId="37ECBE00">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c>
          <w:tcPr>
            <w:tcW w:w="1084" w:type="pct"/>
            <w:noWrap/>
            <w:vAlign w:val="center"/>
          </w:tcPr>
          <w:p w14:paraId="54531F3D">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质保期</w:t>
            </w:r>
          </w:p>
        </w:tc>
        <w:tc>
          <w:tcPr>
            <w:tcW w:w="2633" w:type="pct"/>
            <w:shd w:val="clear" w:color="auto" w:fill="auto"/>
            <w:noWrap/>
            <w:vAlign w:val="center"/>
          </w:tcPr>
          <w:p w14:paraId="6A10D6E4">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质保期在满足采购文件的基础上每增加1年加1分，最多加2分。</w:t>
            </w:r>
          </w:p>
        </w:tc>
        <w:tc>
          <w:tcPr>
            <w:tcW w:w="383" w:type="pct"/>
            <w:shd w:val="clear" w:color="auto" w:fill="auto"/>
            <w:noWrap/>
            <w:vAlign w:val="center"/>
          </w:tcPr>
          <w:p w14:paraId="6AE7C742">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507" w:type="pct"/>
            <w:shd w:val="clear" w:color="auto" w:fill="auto"/>
            <w:noWrap/>
            <w:vAlign w:val="center"/>
          </w:tcPr>
          <w:p w14:paraId="1A5CF8A5">
            <w:pPr>
              <w:keepNext w:val="0"/>
              <w:keepLines w:val="0"/>
              <w:pageBreakBefore w:val="0"/>
              <w:widowControl w:val="0"/>
              <w:kinsoku/>
              <w:wordWrap w:val="0"/>
              <w:overflowPunct/>
              <w:topLinePunct w:val="0"/>
              <w:autoSpaceDE/>
              <w:autoSpaceDN/>
              <w:bidi w:val="0"/>
              <w:adjustRightInd/>
              <w:spacing w:line="360" w:lineRule="auto"/>
              <w:ind w:left="0" w:left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客观分</w:t>
            </w:r>
          </w:p>
        </w:tc>
      </w:tr>
      <w:tr w14:paraId="4DD7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shd w:val="clear" w:color="auto" w:fill="auto"/>
            <w:noWrap/>
            <w:vAlign w:val="center"/>
          </w:tcPr>
          <w:p w14:paraId="4CA5D865">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p>
        </w:tc>
        <w:tc>
          <w:tcPr>
            <w:tcW w:w="1084" w:type="pct"/>
            <w:noWrap/>
            <w:vAlign w:val="center"/>
          </w:tcPr>
          <w:p w14:paraId="3B73AD62">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运行成本</w:t>
            </w:r>
          </w:p>
        </w:tc>
        <w:tc>
          <w:tcPr>
            <w:tcW w:w="2633" w:type="pct"/>
            <w:shd w:val="clear" w:color="auto" w:fill="auto"/>
            <w:noWrap/>
            <w:vAlign w:val="center"/>
          </w:tcPr>
          <w:p w14:paraId="759D891F">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运行成本：根据消耗品或易耗品价格进行综合评定。（评分范围：3、2、1、0）</w:t>
            </w:r>
          </w:p>
        </w:tc>
        <w:tc>
          <w:tcPr>
            <w:tcW w:w="383" w:type="pct"/>
            <w:shd w:val="clear" w:color="auto" w:fill="auto"/>
            <w:noWrap/>
            <w:vAlign w:val="center"/>
          </w:tcPr>
          <w:p w14:paraId="6699B40B">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c>
          <w:tcPr>
            <w:tcW w:w="507" w:type="pct"/>
            <w:shd w:val="clear" w:color="auto" w:fill="auto"/>
            <w:noWrap/>
            <w:vAlign w:val="center"/>
          </w:tcPr>
          <w:p w14:paraId="12AEB63C">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主观分</w:t>
            </w:r>
          </w:p>
        </w:tc>
      </w:tr>
      <w:tr w14:paraId="6172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shd w:val="clear" w:color="auto" w:fill="auto"/>
            <w:noWrap/>
            <w:vAlign w:val="center"/>
          </w:tcPr>
          <w:p w14:paraId="44FFF7AF">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1084" w:type="pct"/>
            <w:noWrap/>
            <w:vAlign w:val="center"/>
          </w:tcPr>
          <w:p w14:paraId="2490F10C">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维修成本</w:t>
            </w:r>
          </w:p>
        </w:tc>
        <w:tc>
          <w:tcPr>
            <w:tcW w:w="2633" w:type="pct"/>
            <w:shd w:val="clear" w:color="auto" w:fill="auto"/>
            <w:noWrap/>
            <w:vAlign w:val="center"/>
          </w:tcPr>
          <w:p w14:paraId="183F88C1">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维修成本：包括保修价格、设备配件价格，维修服务费等维修价格进行综合评定。（评分范围：</w:t>
            </w:r>
            <w:r>
              <w:rPr>
                <w:rFonts w:hint="eastAsia" w:ascii="宋体" w:hAnsi="宋体" w:eastAsia="宋体" w:cs="宋体"/>
                <w:color w:val="auto"/>
                <w:sz w:val="22"/>
                <w:szCs w:val="22"/>
                <w:highlight w:val="none"/>
                <w:lang w:val="en-US" w:eastAsia="zh-CN"/>
              </w:rPr>
              <w:t>5、4、</w:t>
            </w:r>
            <w:r>
              <w:rPr>
                <w:rFonts w:hint="eastAsia" w:ascii="宋体" w:hAnsi="宋体" w:eastAsia="宋体" w:cs="宋体"/>
                <w:color w:val="auto"/>
                <w:sz w:val="22"/>
                <w:szCs w:val="22"/>
                <w:highlight w:val="none"/>
              </w:rPr>
              <w:t>3、2、1、0）</w:t>
            </w:r>
          </w:p>
        </w:tc>
        <w:tc>
          <w:tcPr>
            <w:tcW w:w="383" w:type="pct"/>
            <w:shd w:val="clear" w:color="auto" w:fill="auto"/>
            <w:noWrap/>
            <w:vAlign w:val="center"/>
          </w:tcPr>
          <w:p w14:paraId="7B1FD103">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w:t>
            </w:r>
          </w:p>
        </w:tc>
        <w:tc>
          <w:tcPr>
            <w:tcW w:w="507" w:type="pct"/>
            <w:shd w:val="clear" w:color="auto" w:fill="auto"/>
            <w:noWrap/>
            <w:vAlign w:val="center"/>
          </w:tcPr>
          <w:p w14:paraId="0B825AFC">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主观分</w:t>
            </w:r>
          </w:p>
        </w:tc>
      </w:tr>
      <w:tr w14:paraId="4035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shd w:val="clear" w:color="auto" w:fill="auto"/>
            <w:noWrap/>
            <w:vAlign w:val="center"/>
          </w:tcPr>
          <w:p w14:paraId="377D5130">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w:t>
            </w:r>
          </w:p>
        </w:tc>
        <w:tc>
          <w:tcPr>
            <w:tcW w:w="1084" w:type="pct"/>
            <w:noWrap/>
            <w:vAlign w:val="center"/>
          </w:tcPr>
          <w:p w14:paraId="196E8E33">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售后服务方案</w:t>
            </w:r>
          </w:p>
        </w:tc>
        <w:tc>
          <w:tcPr>
            <w:tcW w:w="2633" w:type="pct"/>
            <w:shd w:val="clear" w:color="auto" w:fill="auto"/>
            <w:noWrap/>
            <w:vAlign w:val="center"/>
          </w:tcPr>
          <w:p w14:paraId="0D601361">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提供的售后服务方案（包括售后服务标准、服务人员配备、故障响应修复时间方式及保障措施）的科学性、合理性、可行性进行进行</w:t>
            </w:r>
            <w:r>
              <w:rPr>
                <w:rFonts w:hint="eastAsia" w:ascii="宋体" w:hAnsi="宋体" w:eastAsia="宋体" w:cs="宋体"/>
                <w:color w:val="auto"/>
                <w:sz w:val="22"/>
                <w:szCs w:val="22"/>
                <w:highlight w:val="none"/>
              </w:rPr>
              <w:t>综合</w:t>
            </w:r>
            <w:r>
              <w:rPr>
                <w:rFonts w:hint="eastAsia" w:ascii="宋体" w:hAnsi="宋体" w:eastAsia="宋体" w:cs="宋体"/>
                <w:color w:val="auto"/>
                <w:sz w:val="22"/>
                <w:szCs w:val="22"/>
                <w:highlight w:val="none"/>
                <w:lang w:val="en-US" w:eastAsia="zh-CN"/>
              </w:rPr>
              <w:t>评审</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（评分范围5、4、3、2、1、0）</w:t>
            </w:r>
          </w:p>
        </w:tc>
        <w:tc>
          <w:tcPr>
            <w:tcW w:w="383" w:type="pct"/>
            <w:shd w:val="clear" w:color="auto" w:fill="auto"/>
            <w:noWrap/>
            <w:vAlign w:val="center"/>
          </w:tcPr>
          <w:p w14:paraId="18181929">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w:t>
            </w:r>
          </w:p>
        </w:tc>
        <w:tc>
          <w:tcPr>
            <w:tcW w:w="507" w:type="pct"/>
            <w:shd w:val="clear" w:color="auto" w:fill="auto"/>
            <w:noWrap/>
            <w:vAlign w:val="center"/>
          </w:tcPr>
          <w:p w14:paraId="7D2F4A5E">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主观分</w:t>
            </w:r>
          </w:p>
        </w:tc>
      </w:tr>
      <w:tr w14:paraId="3E94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noWrap/>
            <w:vAlign w:val="center"/>
          </w:tcPr>
          <w:p w14:paraId="19AB475E">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084" w:type="pct"/>
            <w:noWrap/>
            <w:vAlign w:val="center"/>
          </w:tcPr>
          <w:p w14:paraId="3569FB7A">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培训方案</w:t>
            </w:r>
          </w:p>
        </w:tc>
        <w:tc>
          <w:tcPr>
            <w:tcW w:w="2633" w:type="pct"/>
            <w:shd w:val="clear" w:color="auto" w:fill="auto"/>
            <w:noWrap/>
            <w:vAlign w:val="center"/>
          </w:tcPr>
          <w:p w14:paraId="71C57079">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提供的培训方案（培训计划、时间安排、培训范围、师资力量等内容）的科学性、合理性、可行性</w:t>
            </w:r>
            <w:r>
              <w:rPr>
                <w:rFonts w:hint="eastAsia" w:ascii="宋体" w:hAnsi="宋体" w:eastAsia="宋体" w:cs="宋体"/>
                <w:color w:val="auto"/>
                <w:sz w:val="22"/>
                <w:szCs w:val="22"/>
                <w:highlight w:val="none"/>
                <w:lang w:val="en-US" w:eastAsia="zh-CN"/>
              </w:rPr>
              <w:t>进行</w:t>
            </w:r>
            <w:r>
              <w:rPr>
                <w:rFonts w:hint="eastAsia" w:ascii="宋体" w:hAnsi="宋体" w:eastAsia="宋体" w:cs="宋体"/>
                <w:color w:val="auto"/>
                <w:sz w:val="22"/>
                <w:szCs w:val="22"/>
                <w:highlight w:val="none"/>
              </w:rPr>
              <w:t>综合</w:t>
            </w:r>
            <w:r>
              <w:rPr>
                <w:rFonts w:hint="eastAsia" w:ascii="宋体" w:hAnsi="宋体" w:eastAsia="宋体" w:cs="宋体"/>
                <w:color w:val="auto"/>
                <w:sz w:val="22"/>
                <w:szCs w:val="22"/>
                <w:highlight w:val="none"/>
                <w:lang w:val="en-US" w:eastAsia="zh-CN"/>
              </w:rPr>
              <w:t>评审</w:t>
            </w:r>
            <w:r>
              <w:rPr>
                <w:rFonts w:hint="eastAsia" w:ascii="宋体" w:hAnsi="宋体" w:eastAsia="宋体" w:cs="宋体"/>
                <w:color w:val="auto"/>
                <w:sz w:val="22"/>
                <w:szCs w:val="22"/>
                <w:highlight w:val="none"/>
              </w:rPr>
              <w:t>。（评分范围：3、2、1、0）</w:t>
            </w:r>
          </w:p>
        </w:tc>
        <w:tc>
          <w:tcPr>
            <w:tcW w:w="383" w:type="pct"/>
            <w:shd w:val="clear" w:color="auto" w:fill="auto"/>
            <w:noWrap/>
            <w:vAlign w:val="center"/>
          </w:tcPr>
          <w:p w14:paraId="56E698A6">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w:t>
            </w:r>
          </w:p>
        </w:tc>
        <w:tc>
          <w:tcPr>
            <w:tcW w:w="507" w:type="pct"/>
            <w:shd w:val="clear" w:color="auto" w:fill="auto"/>
            <w:noWrap/>
            <w:vAlign w:val="center"/>
          </w:tcPr>
          <w:p w14:paraId="471BEA61">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主观分</w:t>
            </w:r>
          </w:p>
        </w:tc>
      </w:tr>
      <w:tr w14:paraId="355F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1" w:type="pct"/>
            <w:noWrap/>
            <w:vAlign w:val="center"/>
          </w:tcPr>
          <w:p w14:paraId="47FAC2D8">
            <w:pPr>
              <w:keepNext w:val="0"/>
              <w:keepLines w:val="0"/>
              <w:pageBreakBefore w:val="0"/>
              <w:widowControl w:val="0"/>
              <w:kinsoku/>
              <w:wordWrap w:val="0"/>
              <w:overflowPunct/>
              <w:topLinePunct w:val="0"/>
              <w:autoSpaceDE/>
              <w:autoSpaceDN/>
              <w:bidi w:val="0"/>
              <w:adjustRightInd/>
              <w:spacing w:line="360" w:lineRule="auto"/>
              <w:ind w:lef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1084" w:type="pct"/>
            <w:noWrap/>
            <w:vAlign w:val="center"/>
          </w:tcPr>
          <w:p w14:paraId="6C12C641">
            <w:pPr>
              <w:pStyle w:val="81"/>
              <w:keepNext w:val="0"/>
              <w:keepLines w:val="0"/>
              <w:pageBreakBefore w:val="0"/>
              <w:widowControl w:val="0"/>
              <w:tabs>
                <w:tab w:val="left" w:pos="-153"/>
              </w:tabs>
              <w:kinsoku/>
              <w:wordWrap w:val="0"/>
              <w:overflowPunct/>
              <w:topLinePunct w:val="0"/>
              <w:autoSpaceDE/>
              <w:autoSpaceDN/>
              <w:bidi w:val="0"/>
              <w:adjustRightInd/>
              <w:spacing w:line="360" w:lineRule="auto"/>
              <w:ind w:lef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环境标志产品、节能产品评审</w:t>
            </w:r>
          </w:p>
        </w:tc>
        <w:tc>
          <w:tcPr>
            <w:tcW w:w="2633" w:type="pct"/>
            <w:shd w:val="clear" w:color="auto" w:fill="auto"/>
            <w:noWrap/>
            <w:vAlign w:val="center"/>
          </w:tcPr>
          <w:p w14:paraId="10B43B1F">
            <w:pPr>
              <w:keepNext w:val="0"/>
              <w:keepLines w:val="0"/>
              <w:pageBreakBefore w:val="0"/>
              <w:widowControl w:val="0"/>
              <w:kinsoku/>
              <w:overflowPunct/>
              <w:topLinePunct w:val="0"/>
              <w:autoSpaceDE/>
              <w:autoSpaceDN/>
              <w:bidi w:val="0"/>
              <w:adjustRightIn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环境标志产品、节能产品评审：对所投产品是否取得有效的政府采购节能产品、环境标志产品认证证书的情况进行评价给分（已列入强制要求的除外）。所投产品取得节能产品认证证书的，得0.5分；所投产品取得环境标志产品认证证书的，得0.5分；证明材料：提供国家确定的认证机构出具的、处于有效期之内的节能产品、环境标志产品认证证书复印件。</w:t>
            </w:r>
          </w:p>
        </w:tc>
        <w:tc>
          <w:tcPr>
            <w:tcW w:w="383" w:type="pct"/>
            <w:shd w:val="clear" w:color="auto" w:fill="auto"/>
            <w:noWrap/>
            <w:vAlign w:val="center"/>
          </w:tcPr>
          <w:p w14:paraId="2EF1EAFB">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507" w:type="pct"/>
            <w:shd w:val="clear" w:color="auto" w:fill="auto"/>
            <w:noWrap/>
            <w:vAlign w:val="center"/>
          </w:tcPr>
          <w:p w14:paraId="49BF0867">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客观分</w:t>
            </w:r>
          </w:p>
        </w:tc>
      </w:tr>
    </w:tbl>
    <w:p w14:paraId="40D20F11">
      <w:pPr>
        <w:keepNext w:val="0"/>
        <w:keepLines w:val="0"/>
        <w:pageBreakBefore w:val="0"/>
        <w:widowControl w:val="0"/>
        <w:kinsoku/>
        <w:wordWrap w:val="0"/>
        <w:overflowPunct/>
        <w:topLinePunct w:val="0"/>
        <w:autoSpaceDE/>
        <w:autoSpaceDN/>
        <w:bidi w:val="0"/>
        <w:adjustRightInd/>
        <w:spacing w:line="360" w:lineRule="auto"/>
        <w:ind w:lef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2.报价评分（</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0分）：</w:t>
      </w:r>
    </w:p>
    <w:p w14:paraId="387BC7D7">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2.1资格及符合性审查通过的有效投标人进入商务报价评分。</w:t>
      </w:r>
    </w:p>
    <w:p w14:paraId="31523693">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报价评分采用低价优先法计算，即满足招标文件要求且评审价格最低的为评标基准价，其价格分为满分。其他投标人的报价分按照下列公式计算：</w:t>
      </w:r>
    </w:p>
    <w:p w14:paraId="656E4450">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报价分=（评标基准价/评审价格）×</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w:t>
      </w:r>
    </w:p>
    <w:p w14:paraId="78D97904">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注：以上四舍五入后保留小数2位</w:t>
      </w:r>
    </w:p>
    <w:p w14:paraId="34DC34A5">
      <w:pPr>
        <w:keepNext w:val="0"/>
        <w:keepLines w:val="0"/>
        <w:pageBreakBefore w:val="0"/>
        <w:widowControl w:val="0"/>
        <w:kinsoku/>
        <w:wordWrap w:val="0"/>
        <w:overflowPunct/>
        <w:topLinePunct w:val="0"/>
        <w:autoSpaceDE/>
        <w:autoSpaceDN/>
        <w:bidi w:val="0"/>
        <w:adjustRightInd/>
        <w:spacing w:line="360" w:lineRule="auto"/>
        <w:ind w:lef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投标如缺少须提供的一种功能或配置或服务，该价格将在其投标价的基础上加上其他投标人相应分项价格的最高价。如若中标，该缺漏项费用将由中标人自行承担，投标报价不做调整。</w:t>
      </w:r>
    </w:p>
    <w:p w14:paraId="7047EBCB">
      <w:pPr>
        <w:keepNext w:val="0"/>
        <w:keepLines w:val="0"/>
        <w:pageBreakBefore w:val="0"/>
        <w:widowControl w:val="0"/>
        <w:kinsoku/>
        <w:wordWrap w:val="0"/>
        <w:overflowPunct/>
        <w:topLinePunct w:val="0"/>
        <w:autoSpaceDE/>
        <w:autoSpaceDN/>
        <w:bidi w:val="0"/>
        <w:adjustRightIn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2.2</w:t>
      </w:r>
      <w:r>
        <w:rPr>
          <w:rFonts w:hint="eastAsia" w:ascii="宋体" w:hAnsi="宋体" w:eastAsia="宋体" w:cs="宋体"/>
          <w:color w:val="auto"/>
          <w:sz w:val="22"/>
          <w:szCs w:val="22"/>
          <w:highlight w:val="none"/>
        </w:rPr>
        <w:t>投标人的综合评分为“商务和技术分”和“报价分”的总计。</w:t>
      </w:r>
    </w:p>
    <w:p w14:paraId="4201E0B8">
      <w:pPr>
        <w:keepNext w:val="0"/>
        <w:keepLines w:val="0"/>
        <w:pageBreakBefore w:val="0"/>
        <w:widowControl w:val="0"/>
        <w:kinsoku/>
        <w:overflowPunct/>
        <w:topLinePunct w:val="0"/>
        <w:autoSpaceDE/>
        <w:autoSpaceDN/>
        <w:bidi w:val="0"/>
        <w:adjustRightInd/>
        <w:spacing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br w:type="page"/>
      </w:r>
    </w:p>
    <w:p w14:paraId="3D2E3216">
      <w:pPr>
        <w:wordWrap w:val="0"/>
        <w:snapToGrid w:val="0"/>
        <w:spacing w:line="360" w:lineRule="exact"/>
        <w:jc w:val="center"/>
        <w:outlineLvl w:val="0"/>
        <w:rPr>
          <w:rFonts w:hint="eastAsia" w:ascii="宋体" w:hAnsi="宋体" w:eastAsia="宋体" w:cs="宋体"/>
          <w:b/>
          <w:color w:val="auto"/>
          <w:sz w:val="32"/>
          <w:highlight w:val="none"/>
        </w:rPr>
      </w:pPr>
      <w:bookmarkStart w:id="58" w:name="_Toc4458"/>
      <w:bookmarkStart w:id="59" w:name="_Toc31920"/>
      <w:bookmarkStart w:id="60" w:name="_Toc11563"/>
      <w:bookmarkStart w:id="61" w:name="_Toc2688"/>
      <w:r>
        <w:rPr>
          <w:rFonts w:hint="eastAsia" w:ascii="宋体" w:hAnsi="宋体" w:eastAsia="宋体" w:cs="宋体"/>
          <w:b/>
          <w:color w:val="auto"/>
          <w:sz w:val="32"/>
          <w:highlight w:val="none"/>
        </w:rPr>
        <w:t>第七部分 附表</w:t>
      </w:r>
      <w:bookmarkEnd w:id="58"/>
      <w:bookmarkEnd w:id="59"/>
      <w:bookmarkEnd w:id="60"/>
      <w:bookmarkEnd w:id="61"/>
    </w:p>
    <w:p w14:paraId="5F13B912">
      <w:pPr>
        <w:pStyle w:val="66"/>
        <w:wordWrap w:val="0"/>
        <w:snapToGrid w:val="0"/>
        <w:spacing w:line="600" w:lineRule="exact"/>
        <w:outlineLvl w:val="1"/>
        <w:rPr>
          <w:rFonts w:hint="eastAsia" w:ascii="宋体" w:hAnsi="宋体" w:eastAsia="宋体" w:cs="宋体"/>
          <w:color w:val="auto"/>
          <w:sz w:val="30"/>
          <w:szCs w:val="30"/>
          <w:highlight w:val="none"/>
        </w:rPr>
      </w:pPr>
      <w:bookmarkStart w:id="62" w:name="_Toc5232"/>
      <w:bookmarkStart w:id="63" w:name="_Toc3850"/>
      <w:bookmarkStart w:id="64" w:name="_Toc24139"/>
      <w:bookmarkStart w:id="65" w:name="_Toc1104"/>
      <w:r>
        <w:rPr>
          <w:rFonts w:hint="eastAsia" w:ascii="宋体" w:hAnsi="宋体" w:eastAsia="宋体" w:cs="宋体"/>
          <w:b/>
          <w:bCs/>
          <w:color w:val="auto"/>
          <w:sz w:val="30"/>
          <w:szCs w:val="30"/>
          <w:highlight w:val="none"/>
        </w:rPr>
        <w:t>附表1</w:t>
      </w:r>
      <w:bookmarkEnd w:id="62"/>
      <w:bookmarkEnd w:id="63"/>
      <w:bookmarkEnd w:id="64"/>
      <w:bookmarkEnd w:id="65"/>
    </w:p>
    <w:p w14:paraId="6D0F1137">
      <w:pPr>
        <w:pStyle w:val="66"/>
        <w:pageBreakBefore w:val="0"/>
        <w:kinsoku/>
        <w:wordWrap w:val="0"/>
        <w:topLinePunct w:val="0"/>
        <w:bidi w:val="0"/>
        <w:snapToGrid w:val="0"/>
        <w:spacing w:line="600" w:lineRule="exact"/>
        <w:jc w:val="center"/>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采购活动现场确认声明书</w:t>
      </w:r>
    </w:p>
    <w:p w14:paraId="0657C79D">
      <w:pPr>
        <w:pStyle w:val="66"/>
        <w:pageBreakBefore w:val="0"/>
        <w:kinsoku/>
        <w:wordWrap w:val="0"/>
        <w:topLinePunct w:val="0"/>
        <w:bidi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u w:val="single"/>
        </w:rPr>
        <w:t>浙江乐诚工程咨询有限公司</w:t>
      </w:r>
      <w:r>
        <w:rPr>
          <w:rFonts w:hint="eastAsia" w:ascii="宋体" w:hAnsi="宋体" w:eastAsia="宋体" w:cs="宋体"/>
          <w:color w:val="auto"/>
          <w:kern w:val="0"/>
          <w:sz w:val="24"/>
          <w:szCs w:val="24"/>
          <w:highlight w:val="none"/>
        </w:rPr>
        <w:t>：</w:t>
      </w:r>
    </w:p>
    <w:p w14:paraId="213CAB28">
      <w:pPr>
        <w:pStyle w:val="66"/>
        <w:pageBreakBefore w:val="0"/>
        <w:kinsoku/>
        <w:wordWrap w:val="0"/>
        <w:topLinePunct w:val="0"/>
        <w:bidi w:val="0"/>
        <w:snapToGrid w:val="0"/>
        <w:spacing w:line="4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本人经由</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spacing w:val="6"/>
          <w:sz w:val="24"/>
          <w:szCs w:val="24"/>
          <w:highlight w:val="none"/>
          <w:u w:val="single"/>
        </w:rPr>
        <w:t xml:space="preserve">单位）                  </w:t>
      </w:r>
      <w:r>
        <w:rPr>
          <w:rFonts w:hint="eastAsia" w:ascii="宋体" w:hAnsi="宋体" w:eastAsia="宋体" w:cs="宋体"/>
          <w:color w:val="auto"/>
          <w:spacing w:val="6"/>
          <w:sz w:val="24"/>
          <w:szCs w:val="24"/>
          <w:highlight w:val="none"/>
          <w:u w:val="single"/>
          <w:lang w:eastAsia="zh-CN"/>
        </w:rPr>
        <w:t>法定代表人</w:t>
      </w:r>
      <w:r>
        <w:rPr>
          <w:rFonts w:hint="eastAsia" w:ascii="宋体" w:hAnsi="宋体" w:eastAsia="宋体" w:cs="宋体"/>
          <w:color w:val="auto"/>
          <w:spacing w:val="6"/>
          <w:sz w:val="24"/>
          <w:szCs w:val="24"/>
          <w:highlight w:val="none"/>
        </w:rPr>
        <w:t>（负责人）</w:t>
      </w:r>
      <w:r>
        <w:rPr>
          <w:rFonts w:hint="eastAsia" w:ascii="宋体" w:hAnsi="宋体" w:eastAsia="宋体" w:cs="宋体"/>
          <w:color w:val="auto"/>
          <w:spacing w:val="6"/>
          <w:sz w:val="24"/>
          <w:szCs w:val="24"/>
          <w:highlight w:val="none"/>
          <w:u w:val="single"/>
        </w:rPr>
        <w:t xml:space="preserve">         （姓名）</w:t>
      </w:r>
      <w:r>
        <w:rPr>
          <w:rFonts w:hint="eastAsia" w:ascii="宋体" w:hAnsi="宋体" w:eastAsia="宋体" w:cs="宋体"/>
          <w:color w:val="auto"/>
          <w:spacing w:val="6"/>
          <w:sz w:val="24"/>
          <w:szCs w:val="24"/>
          <w:highlight w:val="none"/>
        </w:rPr>
        <w:t>合法授权参加项目（项目编号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采购</w:t>
      </w:r>
      <w:r>
        <w:rPr>
          <w:rFonts w:hint="eastAsia" w:ascii="宋体" w:hAnsi="宋体" w:eastAsia="宋体" w:cs="宋体"/>
          <w:color w:val="auto"/>
          <w:spacing w:val="6"/>
          <w:sz w:val="24"/>
          <w:szCs w:val="24"/>
          <w:highlight w:val="none"/>
        </w:rPr>
        <w:t xml:space="preserve">活动，经与本单位法人代表（负责人）联系确认，现就有关公平竞争事项郑重声明如下： </w:t>
      </w:r>
    </w:p>
    <w:p w14:paraId="06F9EB5D">
      <w:pPr>
        <w:pStyle w:val="66"/>
        <w:pageBreakBefore w:val="0"/>
        <w:numPr>
          <w:ilvl w:val="0"/>
          <w:numId w:val="12"/>
        </w:numPr>
        <w:kinsoku/>
        <w:wordWrap w:val="0"/>
        <w:topLinePunct w:val="0"/>
        <w:bidi w:val="0"/>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本单位与采购人之间□不存在利害关系 □存在下列利害关系：</w:t>
      </w:r>
    </w:p>
    <w:p w14:paraId="423F1F96">
      <w:pPr>
        <w:pStyle w:val="66"/>
        <w:pageBreakBefore w:val="0"/>
        <w:kinsoku/>
        <w:wordWrap w:val="0"/>
        <w:topLinePunct w:val="0"/>
        <w:bidi w:val="0"/>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A.投资关系    B.行政隶属关系    C.业务指导关系</w:t>
      </w:r>
    </w:p>
    <w:p w14:paraId="5D7AC4EB">
      <w:pPr>
        <w:pStyle w:val="66"/>
        <w:pageBreakBefore w:val="0"/>
        <w:kinsoku/>
        <w:wordWrap w:val="0"/>
        <w:topLinePunct w:val="0"/>
        <w:bidi w:val="0"/>
        <w:snapToGrid w:val="0"/>
        <w:spacing w:line="40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D.其他可能</w:t>
      </w:r>
      <w:r>
        <w:rPr>
          <w:rFonts w:hint="eastAsia" w:ascii="宋体" w:hAnsi="宋体" w:eastAsia="宋体" w:cs="宋体"/>
          <w:color w:val="auto"/>
          <w:sz w:val="24"/>
          <w:szCs w:val="24"/>
          <w:highlight w:val="none"/>
        </w:rPr>
        <w:t>影响采购公正的</w:t>
      </w:r>
      <w:r>
        <w:rPr>
          <w:rFonts w:hint="eastAsia" w:ascii="宋体" w:hAnsi="宋体" w:eastAsia="宋体" w:cs="宋体"/>
          <w:color w:val="auto"/>
          <w:kern w:val="0"/>
          <w:sz w:val="24"/>
          <w:szCs w:val="24"/>
          <w:highlight w:val="none"/>
        </w:rPr>
        <w:t>利害关系</w:t>
      </w:r>
      <w:r>
        <w:rPr>
          <w:rFonts w:hint="eastAsia" w:ascii="宋体" w:hAnsi="宋体" w:eastAsia="宋体" w:cs="宋体"/>
          <w:color w:val="auto"/>
          <w:kern w:val="0"/>
          <w:sz w:val="24"/>
          <w:szCs w:val="24"/>
          <w:highlight w:val="none"/>
          <w:u w:val="single"/>
        </w:rPr>
        <w:t xml:space="preserve">（如有，请如实说明）                 </w:t>
      </w:r>
      <w:r>
        <w:rPr>
          <w:rFonts w:hint="eastAsia" w:ascii="宋体" w:hAnsi="宋体" w:eastAsia="宋体" w:cs="宋体"/>
          <w:color w:val="auto"/>
          <w:kern w:val="0"/>
          <w:sz w:val="24"/>
          <w:szCs w:val="24"/>
          <w:highlight w:val="none"/>
        </w:rPr>
        <w:t>。</w:t>
      </w:r>
    </w:p>
    <w:p w14:paraId="2B417321">
      <w:pPr>
        <w:pStyle w:val="67"/>
        <w:pageBreakBefore w:val="0"/>
        <w:widowControl/>
        <w:kinsoku/>
        <w:wordWrap w:val="0"/>
        <w:topLinePunct w:val="0"/>
        <w:bidi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  二、</w:t>
      </w:r>
      <w:r>
        <w:rPr>
          <w:rFonts w:hint="eastAsia" w:ascii="宋体" w:hAnsi="宋体" w:eastAsia="宋体" w:cs="宋体"/>
          <w:color w:val="auto"/>
          <w:kern w:val="0"/>
          <w:sz w:val="24"/>
          <w:szCs w:val="24"/>
          <w:highlight w:val="none"/>
        </w:rPr>
        <w:t>现已清楚知道参加本项目采购活动的其他所有投标人名称，本单位 □与其他所有投标人之间均不存在利害关系 □与</w:t>
      </w:r>
      <w:r>
        <w:rPr>
          <w:rFonts w:hint="eastAsia" w:ascii="宋体" w:hAnsi="宋体" w:eastAsia="宋体" w:cs="宋体"/>
          <w:color w:val="auto"/>
          <w:kern w:val="0"/>
          <w:sz w:val="24"/>
          <w:szCs w:val="24"/>
          <w:highlight w:val="none"/>
          <w:u w:val="single"/>
        </w:rPr>
        <w:t xml:space="preserve">           （投标人名称）</w:t>
      </w:r>
      <w:r>
        <w:rPr>
          <w:rFonts w:hint="eastAsia" w:ascii="宋体" w:hAnsi="宋体" w:eastAsia="宋体" w:cs="宋体"/>
          <w:color w:val="auto"/>
          <w:kern w:val="0"/>
          <w:sz w:val="24"/>
          <w:szCs w:val="24"/>
          <w:highlight w:val="none"/>
        </w:rPr>
        <w:t>之间存在下列利害关系：</w:t>
      </w:r>
    </w:p>
    <w:p w14:paraId="37D26288">
      <w:pPr>
        <w:pStyle w:val="66"/>
        <w:pageBreakBefore w:val="0"/>
        <w:kinsoku/>
        <w:wordWrap w:val="0"/>
        <w:topLinePunct w:val="0"/>
        <w:bidi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A.法定代表人或负责人或实际控制人是同一人</w:t>
      </w:r>
    </w:p>
    <w:p w14:paraId="4E32F7AD">
      <w:pPr>
        <w:pStyle w:val="66"/>
        <w:pageBreakBefore w:val="0"/>
        <w:kinsoku/>
        <w:wordWrap w:val="0"/>
        <w:topLinePunct w:val="0"/>
        <w:bidi w:val="0"/>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B.法定代表人或负责人或实际控制人是夫妻关系</w:t>
      </w:r>
    </w:p>
    <w:p w14:paraId="31160CA6">
      <w:pPr>
        <w:pStyle w:val="66"/>
        <w:pageBreakBefore w:val="0"/>
        <w:kinsoku/>
        <w:wordWrap w:val="0"/>
        <w:topLinePunct w:val="0"/>
        <w:bidi w:val="0"/>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C.法定代表人或负责人或实际控制人是直系血亲关系</w:t>
      </w:r>
    </w:p>
    <w:p w14:paraId="45CDC390">
      <w:pPr>
        <w:pStyle w:val="66"/>
        <w:pageBreakBefore w:val="0"/>
        <w:kinsoku/>
        <w:wordWrap w:val="0"/>
        <w:topLinePunct w:val="0"/>
        <w:bidi w:val="0"/>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rPr>
        <w:t xml:space="preserve">  D.法定代表人或负责人或实际控制人存在三代以内旁系血亲关系</w:t>
      </w:r>
    </w:p>
    <w:p w14:paraId="28BF55C5">
      <w:pPr>
        <w:pStyle w:val="66"/>
        <w:pageBreakBefore w:val="0"/>
        <w:kinsoku/>
        <w:wordWrap w:val="0"/>
        <w:topLinePunct w:val="0"/>
        <w:bidi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E.法定代表人或负责人或实际控制人存在近姻亲关系</w:t>
      </w:r>
    </w:p>
    <w:p w14:paraId="66FE6DAA">
      <w:pPr>
        <w:pStyle w:val="66"/>
        <w:pageBreakBefore w:val="0"/>
        <w:kinsoku/>
        <w:wordWrap w:val="0"/>
        <w:topLinePunct w:val="0"/>
        <w:bidi w:val="0"/>
        <w:snapToGrid w:val="0"/>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F.法定代表人或负责人或实际控制人存在股份控制或实际控制关系</w:t>
      </w:r>
    </w:p>
    <w:p w14:paraId="5C927973">
      <w:pPr>
        <w:pStyle w:val="66"/>
        <w:pageBreakBefore w:val="0"/>
        <w:kinsoku/>
        <w:wordWrap w:val="0"/>
        <w:topLinePunct w:val="0"/>
        <w:bidi w:val="0"/>
        <w:snapToGrid w:val="0"/>
        <w:spacing w:line="400" w:lineRule="exac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G.存在共同直接或间接投资设立子公司、联营企业和合营企业情况</w:t>
      </w:r>
    </w:p>
    <w:p w14:paraId="399F07B8">
      <w:pPr>
        <w:pStyle w:val="66"/>
        <w:pageBreakBefore w:val="0"/>
        <w:kinsoku/>
        <w:wordWrap w:val="0"/>
        <w:topLinePunct w:val="0"/>
        <w:bidi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H.存在分级代理或代销关系、同一生产制造商关系、</w:t>
      </w:r>
      <w:r>
        <w:rPr>
          <w:rFonts w:hint="eastAsia" w:ascii="宋体" w:hAnsi="宋体" w:eastAsia="宋体" w:cs="宋体"/>
          <w:color w:val="auto"/>
          <w:sz w:val="24"/>
          <w:szCs w:val="24"/>
          <w:highlight w:val="none"/>
        </w:rPr>
        <w:t>管理关系、重要业务（占主营业务收入50%以上）或重要财务往来关系（如融资）等其他实质性控制关系</w:t>
      </w:r>
    </w:p>
    <w:p w14:paraId="29F0DB68">
      <w:pPr>
        <w:pStyle w:val="66"/>
        <w:pageBreakBefore w:val="0"/>
        <w:kinsoku/>
        <w:wordWrap w:val="0"/>
        <w:topLinePunct w:val="0"/>
        <w:bidi w:val="0"/>
        <w:snapToGrid w:val="0"/>
        <w:spacing w:line="40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 xml:space="preserve">  I</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其他利害关系情况</w:t>
      </w:r>
      <w:r>
        <w:rPr>
          <w:rFonts w:hint="eastAsia" w:ascii="宋体" w:hAnsi="宋体" w:eastAsia="宋体" w:cs="宋体"/>
          <w:color w:val="auto"/>
          <w:kern w:val="0"/>
          <w:sz w:val="24"/>
          <w:szCs w:val="24"/>
          <w:highlight w:val="none"/>
        </w:rPr>
        <w:t>。</w:t>
      </w:r>
    </w:p>
    <w:p w14:paraId="34EC1A39">
      <w:pPr>
        <w:pStyle w:val="67"/>
        <w:pageBreakBefore w:val="0"/>
        <w:widowControl/>
        <w:numPr>
          <w:ilvl w:val="0"/>
          <w:numId w:val="13"/>
        </w:numPr>
        <w:kinsoku/>
        <w:wordWrap w:val="0"/>
        <w:topLinePunct w:val="0"/>
        <w:bidi w:val="0"/>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现已清楚知道并</w:t>
      </w:r>
      <w:r>
        <w:rPr>
          <w:rFonts w:hint="eastAsia" w:ascii="宋体" w:hAnsi="宋体" w:eastAsia="宋体" w:cs="宋体"/>
          <w:color w:val="auto"/>
          <w:kern w:val="0"/>
          <w:sz w:val="24"/>
          <w:szCs w:val="24"/>
          <w:highlight w:val="none"/>
        </w:rPr>
        <w:t>严格遵守</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法律法规和现场纪律。</w:t>
      </w:r>
    </w:p>
    <w:p w14:paraId="1F257EA3">
      <w:pPr>
        <w:pStyle w:val="67"/>
        <w:pageBreakBefore w:val="0"/>
        <w:widowControl/>
        <w:numPr>
          <w:ilvl w:val="0"/>
          <w:numId w:val="13"/>
        </w:numPr>
        <w:kinsoku/>
        <w:wordWrap w:val="0"/>
        <w:topLinePunct w:val="0"/>
        <w:bidi w:val="0"/>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我发现投标人之间存在或可能存在上述第二条第项利害关系。</w:t>
      </w:r>
    </w:p>
    <w:p w14:paraId="06D17EA8">
      <w:pPr>
        <w:pStyle w:val="66"/>
        <w:pageBreakBefore w:val="0"/>
        <w:kinsoku/>
        <w:wordWrap w:val="0"/>
        <w:topLinePunct w:val="0"/>
        <w:bidi w:val="0"/>
        <w:snapToGrid w:val="0"/>
        <w:spacing w:line="400" w:lineRule="exact"/>
        <w:ind w:firstLine="480" w:firstLineChars="200"/>
        <w:rPr>
          <w:rFonts w:hint="eastAsia" w:ascii="宋体" w:hAnsi="宋体" w:eastAsia="宋体" w:cs="宋体"/>
          <w:color w:val="auto"/>
          <w:sz w:val="24"/>
          <w:szCs w:val="24"/>
          <w:highlight w:val="none"/>
        </w:rPr>
      </w:pPr>
    </w:p>
    <w:p w14:paraId="68BC5213">
      <w:pPr>
        <w:pStyle w:val="66"/>
        <w:pageBreakBefore w:val="0"/>
        <w:kinsoku/>
        <w:wordWrap w:val="0"/>
        <w:topLinePunct w:val="0"/>
        <w:bidi w:val="0"/>
        <w:snapToGrid w:val="0"/>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投标人授权代表签名：</w:t>
      </w:r>
    </w:p>
    <w:p w14:paraId="4052D9F4">
      <w:pPr>
        <w:pStyle w:val="66"/>
        <w:pageBreakBefore w:val="0"/>
        <w:kinsoku/>
        <w:wordWrap w:val="0"/>
        <w:topLinePunct w:val="0"/>
        <w:bidi w:val="0"/>
        <w:snapToGrid w:val="0"/>
        <w:spacing w:line="600" w:lineRule="exact"/>
        <w:ind w:right="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2025年  月   日  </w:t>
      </w:r>
    </w:p>
    <w:p w14:paraId="1CEEED16">
      <w:pPr>
        <w:pageBreakBefore w:val="0"/>
        <w:kinsoku/>
        <w:wordWrap w:val="0"/>
        <w:topLinePunct w:val="0"/>
        <w:bidi w:val="0"/>
        <w:spacing w:line="400" w:lineRule="exact"/>
        <w:rPr>
          <w:rFonts w:hint="eastAsia" w:ascii="宋体" w:hAnsi="宋体" w:eastAsia="宋体" w:cs="宋体"/>
          <w:b/>
          <w:color w:val="auto"/>
          <w:sz w:val="24"/>
          <w:szCs w:val="24"/>
          <w:highlight w:val="none"/>
        </w:rPr>
      </w:pPr>
    </w:p>
    <w:p w14:paraId="568F1171">
      <w:pPr>
        <w:pageBreakBefore w:val="0"/>
        <w:kinsoku/>
        <w:wordWrap w:val="0"/>
        <w:topLinePunct w:val="0"/>
        <w:bidi w:val="0"/>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highlight w:val="none"/>
        </w:rPr>
        <w:t>备注：投标文件解密结束后，各投标人签署《</w:t>
      </w:r>
      <w:r>
        <w:rPr>
          <w:rFonts w:hint="eastAsia" w:ascii="宋体" w:hAnsi="宋体" w:eastAsia="宋体" w:cs="宋体"/>
          <w:b/>
          <w:bCs/>
          <w:color w:val="auto"/>
          <w:sz w:val="24"/>
          <w:highlight w:val="none"/>
          <w:lang w:eastAsia="zh-CN"/>
        </w:rPr>
        <w:t>采购活动现场确认声明书</w:t>
      </w:r>
      <w:r>
        <w:rPr>
          <w:rFonts w:hint="eastAsia" w:ascii="宋体" w:hAnsi="宋体" w:eastAsia="宋体" w:cs="宋体"/>
          <w:b/>
          <w:bCs/>
          <w:color w:val="auto"/>
          <w:sz w:val="24"/>
          <w:highlight w:val="none"/>
        </w:rPr>
        <w:t>》（如为联合体投标，联合体各方均须提供）</w:t>
      </w:r>
      <w:r>
        <w:rPr>
          <w:rFonts w:hint="eastAsia" w:ascii="宋体" w:hAnsi="宋体" w:eastAsia="宋体" w:cs="宋体"/>
          <w:b/>
          <w:bCs/>
          <w:color w:val="auto"/>
          <w:sz w:val="24"/>
          <w:highlight w:val="none"/>
        </w:rPr>
        <w:fldChar w:fldCharType="begin"/>
      </w:r>
      <w:r>
        <w:rPr>
          <w:rFonts w:hint="eastAsia" w:ascii="宋体" w:hAnsi="宋体" w:eastAsia="宋体" w:cs="宋体"/>
          <w:b/>
          <w:bCs/>
          <w:color w:val="auto"/>
          <w:sz w:val="24"/>
          <w:highlight w:val="none"/>
        </w:rPr>
        <w:instrText xml:space="preserve"> HYPERLINK "mailto:后将扫描件发送至采购代理机构邮箱2812799762@qq.com" </w:instrText>
      </w:r>
      <w:r>
        <w:rPr>
          <w:rFonts w:hint="eastAsia" w:ascii="宋体" w:hAnsi="宋体" w:eastAsia="宋体" w:cs="宋体"/>
          <w:b/>
          <w:bCs/>
          <w:color w:val="auto"/>
          <w:sz w:val="24"/>
          <w:highlight w:val="none"/>
        </w:rPr>
        <w:fldChar w:fldCharType="separate"/>
      </w:r>
      <w:r>
        <w:rPr>
          <w:rFonts w:hint="eastAsia" w:ascii="宋体" w:hAnsi="宋体" w:eastAsia="宋体" w:cs="宋体"/>
          <w:b/>
          <w:bCs/>
          <w:color w:val="auto"/>
          <w:sz w:val="24"/>
          <w:highlight w:val="none"/>
        </w:rPr>
        <w:t>后将扫描件发送至采购代理机构邮箱</w:t>
      </w:r>
      <w:r>
        <w:rPr>
          <w:rFonts w:hint="eastAsia" w:ascii="宋体" w:hAnsi="宋体" w:eastAsia="宋体" w:cs="宋体"/>
          <w:b/>
          <w:bCs/>
          <w:color w:val="auto"/>
          <w:sz w:val="24"/>
          <w:highlight w:val="none"/>
          <w:lang w:eastAsia="zh-CN"/>
        </w:rPr>
        <w:t>58000634</w:t>
      </w:r>
      <w:r>
        <w:rPr>
          <w:rFonts w:hint="eastAsia" w:ascii="宋体" w:hAnsi="宋体" w:eastAsia="宋体" w:cs="宋体"/>
          <w:b/>
          <w:bCs/>
          <w:color w:val="auto"/>
          <w:sz w:val="24"/>
          <w:highlight w:val="none"/>
        </w:rPr>
        <w:t>@qq.com</w:t>
      </w:r>
      <w:r>
        <w:rPr>
          <w:rFonts w:hint="eastAsia" w:ascii="宋体" w:hAnsi="宋体" w:eastAsia="宋体" w:cs="宋体"/>
          <w:b/>
          <w:bCs/>
          <w:color w:val="auto"/>
          <w:sz w:val="24"/>
          <w:highlight w:val="none"/>
        </w:rPr>
        <w:fldChar w:fldCharType="end"/>
      </w:r>
      <w:r>
        <w:rPr>
          <w:rFonts w:hint="eastAsia" w:ascii="宋体" w:hAnsi="宋体" w:eastAsia="宋体" w:cs="宋体"/>
          <w:b/>
          <w:bCs/>
          <w:color w:val="auto"/>
          <w:sz w:val="24"/>
          <w:highlight w:val="none"/>
        </w:rPr>
        <w:t>。</w:t>
      </w:r>
    </w:p>
    <w:p w14:paraId="6AAC9AAF">
      <w:pPr>
        <w:rPr>
          <w:rFonts w:hint="eastAsia" w:ascii="宋体" w:hAnsi="宋体" w:eastAsia="宋体" w:cs="宋体"/>
          <w:b/>
          <w:bCs/>
          <w:color w:val="auto"/>
          <w:sz w:val="32"/>
          <w:szCs w:val="32"/>
          <w:highlight w:val="none"/>
        </w:rPr>
      </w:pPr>
      <w:bookmarkStart w:id="66" w:name="_Toc7957"/>
      <w:bookmarkStart w:id="67" w:name="_Toc18199"/>
      <w:bookmarkStart w:id="68" w:name="_Toc13453"/>
      <w:r>
        <w:rPr>
          <w:rFonts w:hint="eastAsia" w:ascii="宋体" w:hAnsi="宋体" w:eastAsia="宋体" w:cs="宋体"/>
          <w:b/>
          <w:bCs/>
          <w:color w:val="auto"/>
          <w:sz w:val="32"/>
          <w:szCs w:val="32"/>
          <w:highlight w:val="none"/>
        </w:rPr>
        <w:br w:type="page"/>
      </w:r>
    </w:p>
    <w:p w14:paraId="247F88BD">
      <w:pPr>
        <w:spacing w:line="360" w:lineRule="auto"/>
        <w:outlineLvl w:val="1"/>
        <w:rPr>
          <w:rFonts w:hint="eastAsia" w:ascii="宋体" w:hAnsi="宋体" w:eastAsia="宋体" w:cs="宋体"/>
          <w:b/>
          <w:bCs/>
          <w:color w:val="auto"/>
          <w:sz w:val="36"/>
          <w:szCs w:val="36"/>
          <w:highlight w:val="none"/>
        </w:rPr>
      </w:pPr>
      <w:bookmarkStart w:id="69" w:name="_Toc8965"/>
      <w:r>
        <w:rPr>
          <w:rFonts w:hint="eastAsia" w:ascii="宋体" w:hAnsi="宋体" w:eastAsia="宋体" w:cs="宋体"/>
          <w:b/>
          <w:bCs/>
          <w:color w:val="auto"/>
          <w:sz w:val="32"/>
          <w:szCs w:val="32"/>
          <w:highlight w:val="none"/>
        </w:rPr>
        <w:t>附表2</w:t>
      </w:r>
      <w:bookmarkEnd w:id="66"/>
      <w:bookmarkEnd w:id="67"/>
      <w:bookmarkEnd w:id="68"/>
      <w:bookmarkEnd w:id="69"/>
    </w:p>
    <w:p w14:paraId="0EB45E30">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pacing w:val="6"/>
          <w:sz w:val="32"/>
          <w:szCs w:val="32"/>
          <w:highlight w:val="none"/>
        </w:rPr>
        <w:t>供应商告知单</w:t>
      </w:r>
    </w:p>
    <w:p w14:paraId="6779748C">
      <w:pPr>
        <w:tabs>
          <w:tab w:val="left" w:pos="4860"/>
        </w:tabs>
        <w:adjustRightInd w:val="0"/>
        <w:spacing w:line="360" w:lineRule="exact"/>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各供应商须仔细阅读并充分理解本项目招标文件全部内容。为确保涉及客观分评审的各项材料真实有效，现作如下重点告知：</w:t>
      </w:r>
    </w:p>
    <w:p w14:paraId="227CEEA8">
      <w:pPr>
        <w:tabs>
          <w:tab w:val="left" w:pos="4860"/>
        </w:tabs>
        <w:adjustRightInd w:val="0"/>
        <w:spacing w:line="360" w:lineRule="exact"/>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一、各供应商须对投标文件中所有涉及客观分评审的材料（包括但不限于业绩、认证证书等）进行严格自查，确保其真实、准确、有效，并处于法定有效状态。</w:t>
      </w:r>
    </w:p>
    <w:p w14:paraId="2243A9C6">
      <w:pPr>
        <w:tabs>
          <w:tab w:val="left" w:pos="4860"/>
        </w:tabs>
        <w:adjustRightInd w:val="0"/>
        <w:spacing w:line="360" w:lineRule="exact"/>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二、如中标（成交），供应商应于评审结束后1个工作日内，主动将前述材料原件或可公开核验的官方查询链接提交至采购人</w:t>
      </w:r>
      <w:r>
        <w:rPr>
          <w:rFonts w:hint="eastAsia" w:ascii="宋体" w:hAnsi="宋体" w:eastAsia="宋体" w:cs="宋体"/>
          <w:color w:val="auto"/>
          <w:kern w:val="0"/>
          <w:sz w:val="22"/>
          <w:highlight w:val="none"/>
          <w:lang w:val="en-US" w:eastAsia="zh-CN"/>
        </w:rPr>
        <w:t>或采购代理机构</w:t>
      </w:r>
      <w:r>
        <w:rPr>
          <w:rFonts w:hint="eastAsia" w:ascii="宋体" w:hAnsi="宋体" w:eastAsia="宋体" w:cs="宋体"/>
          <w:color w:val="auto"/>
          <w:kern w:val="0"/>
          <w:sz w:val="22"/>
          <w:highlight w:val="none"/>
        </w:rPr>
        <w:t>，并积极配合完成后续复核工作。</w:t>
      </w:r>
    </w:p>
    <w:p w14:paraId="10CBE1A7">
      <w:pPr>
        <w:tabs>
          <w:tab w:val="left" w:pos="4860"/>
        </w:tabs>
        <w:adjustRightInd w:val="0"/>
        <w:spacing w:line="360" w:lineRule="exact"/>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三、供应商应明确知悉：如经核实存在提供虚假材料或弄虚作假的情形，将自愿放弃中标（成交）资格，并无条件承担招标文件及相关法律法规所规定的全部责任与处理后果。</w:t>
      </w:r>
    </w:p>
    <w:p w14:paraId="78757534">
      <w:pPr>
        <w:tabs>
          <w:tab w:val="left" w:pos="4860"/>
        </w:tabs>
        <w:adjustRightInd w:val="0"/>
        <w:spacing w:line="360" w:lineRule="exact"/>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四、如因供应商自身原因，未能在约定时间内配合完成核查工作，且经采购人或采购代理机构书面催告后仍未能完成的，视为自动放弃中标（成交）资格，由此产生的一切法律后果与风险均由该供应商自行承担。</w:t>
      </w:r>
    </w:p>
    <w:p w14:paraId="1498650F">
      <w:pPr>
        <w:spacing w:line="360" w:lineRule="exact"/>
        <w:ind w:firstLine="881" w:firstLineChars="399"/>
        <w:rPr>
          <w:rFonts w:hint="eastAsia" w:ascii="宋体" w:hAnsi="宋体" w:eastAsia="宋体" w:cs="宋体"/>
          <w:b/>
          <w:color w:val="auto"/>
          <w:sz w:val="22"/>
          <w:highlight w:val="none"/>
        </w:rPr>
      </w:pPr>
    </w:p>
    <w:p w14:paraId="210AA74C">
      <w:pPr>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sz w:val="28"/>
          <w:szCs w:val="28"/>
          <w:highlight w:val="none"/>
        </w:rPr>
        <w:t>投标文件中关于客观分评审供应商所提供的</w:t>
      </w:r>
      <w:r>
        <w:rPr>
          <w:rFonts w:hint="eastAsia" w:ascii="宋体" w:hAnsi="宋体" w:eastAsia="宋体" w:cs="宋体"/>
          <w:b/>
          <w:color w:val="auto"/>
          <w:kern w:val="0"/>
          <w:sz w:val="28"/>
          <w:szCs w:val="28"/>
          <w:highlight w:val="none"/>
        </w:rPr>
        <w:t>证明材料清单（此表为范本，无需在投标文件中体现）</w:t>
      </w:r>
    </w:p>
    <w:tbl>
      <w:tblPr>
        <w:tblStyle w:val="3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51"/>
        <w:gridCol w:w="1536"/>
        <w:gridCol w:w="1918"/>
        <w:gridCol w:w="1920"/>
        <w:gridCol w:w="2233"/>
      </w:tblGrid>
      <w:tr w14:paraId="3DC3A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noWrap w:val="0"/>
            <w:vAlign w:val="top"/>
          </w:tcPr>
          <w:p w14:paraId="2A4C1686">
            <w:pPr>
              <w:jc w:val="center"/>
              <w:rPr>
                <w:rFonts w:hint="eastAsia" w:ascii="宋体" w:hAnsi="宋体" w:eastAsia="宋体" w:cs="宋体"/>
                <w:b/>
                <w:color w:val="auto"/>
                <w:highlight w:val="none"/>
              </w:rPr>
            </w:pPr>
            <w:r>
              <w:rPr>
                <w:rFonts w:hint="eastAsia" w:ascii="宋体" w:hAnsi="宋体" w:eastAsia="宋体" w:cs="宋体"/>
                <w:b/>
                <w:color w:val="auto"/>
                <w:highlight w:val="none"/>
              </w:rPr>
              <w:t>项目名称</w:t>
            </w:r>
          </w:p>
        </w:tc>
        <w:tc>
          <w:tcPr>
            <w:tcW w:w="1734" w:type="pct"/>
            <w:gridSpan w:val="2"/>
            <w:noWrap w:val="0"/>
            <w:vAlign w:val="top"/>
          </w:tcPr>
          <w:p w14:paraId="58615D78">
            <w:pPr>
              <w:jc w:val="center"/>
              <w:rPr>
                <w:rFonts w:hint="eastAsia" w:ascii="宋体" w:hAnsi="宋体" w:eastAsia="宋体" w:cs="宋体"/>
                <w:b/>
                <w:color w:val="auto"/>
                <w:highlight w:val="none"/>
              </w:rPr>
            </w:pPr>
          </w:p>
        </w:tc>
        <w:tc>
          <w:tcPr>
            <w:tcW w:w="964" w:type="pct"/>
            <w:noWrap w:val="0"/>
            <w:vAlign w:val="top"/>
          </w:tcPr>
          <w:p w14:paraId="39261C54">
            <w:pPr>
              <w:jc w:val="center"/>
              <w:rPr>
                <w:rFonts w:hint="eastAsia" w:ascii="宋体" w:hAnsi="宋体" w:eastAsia="宋体" w:cs="宋体"/>
                <w:b/>
                <w:color w:val="auto"/>
                <w:highlight w:val="none"/>
              </w:rPr>
            </w:pPr>
            <w:r>
              <w:rPr>
                <w:rFonts w:hint="eastAsia" w:ascii="宋体" w:hAnsi="宋体" w:eastAsia="宋体" w:cs="宋体"/>
                <w:b/>
                <w:color w:val="auto"/>
                <w:highlight w:val="none"/>
              </w:rPr>
              <w:t>项目编号</w:t>
            </w:r>
          </w:p>
        </w:tc>
        <w:tc>
          <w:tcPr>
            <w:tcW w:w="1119" w:type="pct"/>
            <w:noWrap w:val="0"/>
            <w:vAlign w:val="top"/>
          </w:tcPr>
          <w:p w14:paraId="1BDA25D2">
            <w:pPr>
              <w:jc w:val="center"/>
              <w:rPr>
                <w:rFonts w:hint="eastAsia" w:ascii="宋体" w:hAnsi="宋体" w:eastAsia="宋体" w:cs="宋体"/>
                <w:b/>
                <w:color w:val="auto"/>
                <w:highlight w:val="none"/>
              </w:rPr>
            </w:pPr>
          </w:p>
        </w:tc>
      </w:tr>
      <w:tr w14:paraId="1A23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noWrap w:val="0"/>
            <w:vAlign w:val="top"/>
          </w:tcPr>
          <w:p w14:paraId="5BCA6FC0">
            <w:pPr>
              <w:jc w:val="center"/>
              <w:rPr>
                <w:rFonts w:hint="eastAsia" w:ascii="宋体" w:hAnsi="宋体" w:eastAsia="宋体" w:cs="宋体"/>
                <w:b/>
                <w:color w:val="auto"/>
                <w:highlight w:val="none"/>
              </w:rPr>
            </w:pPr>
            <w:r>
              <w:rPr>
                <w:rFonts w:hint="eastAsia" w:ascii="宋体" w:hAnsi="宋体" w:eastAsia="宋体" w:cs="宋体"/>
                <w:b/>
                <w:color w:val="auto"/>
                <w:highlight w:val="none"/>
              </w:rPr>
              <w:t>供应商联系人</w:t>
            </w:r>
          </w:p>
        </w:tc>
        <w:tc>
          <w:tcPr>
            <w:tcW w:w="1734" w:type="pct"/>
            <w:gridSpan w:val="2"/>
            <w:noWrap w:val="0"/>
            <w:vAlign w:val="top"/>
          </w:tcPr>
          <w:p w14:paraId="30F474BD">
            <w:pPr>
              <w:jc w:val="center"/>
              <w:rPr>
                <w:rFonts w:hint="eastAsia" w:ascii="宋体" w:hAnsi="宋体" w:eastAsia="宋体" w:cs="宋体"/>
                <w:b/>
                <w:color w:val="auto"/>
                <w:highlight w:val="none"/>
              </w:rPr>
            </w:pPr>
          </w:p>
        </w:tc>
        <w:tc>
          <w:tcPr>
            <w:tcW w:w="964" w:type="pct"/>
            <w:noWrap w:val="0"/>
            <w:vAlign w:val="top"/>
          </w:tcPr>
          <w:p w14:paraId="633770EB">
            <w:pPr>
              <w:jc w:val="center"/>
              <w:rPr>
                <w:rFonts w:hint="eastAsia" w:ascii="宋体" w:hAnsi="宋体" w:eastAsia="宋体" w:cs="宋体"/>
                <w:b/>
                <w:color w:val="auto"/>
                <w:highlight w:val="none"/>
              </w:rPr>
            </w:pPr>
            <w:r>
              <w:rPr>
                <w:rFonts w:hint="eastAsia" w:ascii="宋体" w:hAnsi="宋体" w:eastAsia="宋体" w:cs="宋体"/>
                <w:b/>
                <w:color w:val="auto"/>
                <w:highlight w:val="none"/>
              </w:rPr>
              <w:t>联系电话</w:t>
            </w:r>
          </w:p>
        </w:tc>
        <w:tc>
          <w:tcPr>
            <w:tcW w:w="1119" w:type="pct"/>
            <w:noWrap w:val="0"/>
            <w:vAlign w:val="top"/>
          </w:tcPr>
          <w:p w14:paraId="73EA6A50">
            <w:pPr>
              <w:jc w:val="center"/>
              <w:rPr>
                <w:rFonts w:hint="eastAsia" w:ascii="宋体" w:hAnsi="宋体" w:eastAsia="宋体" w:cs="宋体"/>
                <w:b/>
                <w:color w:val="auto"/>
                <w:highlight w:val="none"/>
              </w:rPr>
            </w:pPr>
          </w:p>
        </w:tc>
      </w:tr>
      <w:tr w14:paraId="52AE9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5000" w:type="pct"/>
            <w:gridSpan w:val="5"/>
            <w:noWrap w:val="0"/>
            <w:vAlign w:val="top"/>
          </w:tcPr>
          <w:p w14:paraId="06A9C42F">
            <w:pPr>
              <w:rPr>
                <w:rFonts w:hint="eastAsia" w:ascii="宋体" w:hAnsi="宋体" w:eastAsia="宋体" w:cs="宋体"/>
                <w:color w:val="auto"/>
                <w:highlight w:val="none"/>
              </w:rPr>
            </w:pPr>
          </w:p>
        </w:tc>
      </w:tr>
      <w:tr w14:paraId="6283E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center"/>
          </w:tcPr>
          <w:p w14:paraId="600AAB5B">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客观分评分内容</w:t>
            </w:r>
          </w:p>
        </w:tc>
        <w:tc>
          <w:tcPr>
            <w:tcW w:w="771" w:type="pct"/>
            <w:tcBorders>
              <w:left w:val="single" w:color="auto" w:sz="4" w:space="0"/>
            </w:tcBorders>
            <w:noWrap w:val="0"/>
            <w:vAlign w:val="center"/>
          </w:tcPr>
          <w:p w14:paraId="213EBCA0">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供应商提供的证明材料</w:t>
            </w:r>
          </w:p>
        </w:tc>
        <w:tc>
          <w:tcPr>
            <w:tcW w:w="963" w:type="pct"/>
            <w:noWrap w:val="0"/>
            <w:vAlign w:val="center"/>
          </w:tcPr>
          <w:p w14:paraId="0C8EFB81">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复核方式（原件复核/公开官网查询）</w:t>
            </w:r>
          </w:p>
        </w:tc>
        <w:tc>
          <w:tcPr>
            <w:tcW w:w="2083" w:type="pct"/>
            <w:gridSpan w:val="2"/>
            <w:noWrap w:val="0"/>
            <w:vAlign w:val="center"/>
          </w:tcPr>
          <w:p w14:paraId="56139025">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备注（明确是原件复核或公开官网查询，如公开官网查询，提供具体网址）</w:t>
            </w:r>
          </w:p>
        </w:tc>
      </w:tr>
      <w:tr w14:paraId="35FF8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11515FD7">
            <w:pPr>
              <w:jc w:val="left"/>
              <w:rPr>
                <w:rFonts w:hint="eastAsia" w:ascii="宋体" w:hAnsi="宋体" w:eastAsia="宋体" w:cs="宋体"/>
                <w:color w:val="auto"/>
                <w:highlight w:val="none"/>
              </w:rPr>
            </w:pPr>
            <w:r>
              <w:rPr>
                <w:rFonts w:hint="eastAsia" w:ascii="宋体" w:hAnsi="宋体" w:eastAsia="宋体" w:cs="宋体"/>
                <w:color w:val="auto"/>
                <w:highlight w:val="none"/>
              </w:rPr>
              <w:t>一、认证证书</w:t>
            </w:r>
          </w:p>
        </w:tc>
        <w:tc>
          <w:tcPr>
            <w:tcW w:w="771" w:type="pct"/>
            <w:tcBorders>
              <w:left w:val="single" w:color="auto" w:sz="4" w:space="0"/>
            </w:tcBorders>
            <w:noWrap w:val="0"/>
            <w:vAlign w:val="top"/>
          </w:tcPr>
          <w:p w14:paraId="2F277FBD">
            <w:pPr>
              <w:jc w:val="left"/>
              <w:rPr>
                <w:rFonts w:hint="eastAsia" w:ascii="宋体" w:hAnsi="宋体" w:eastAsia="宋体" w:cs="宋体"/>
                <w:color w:val="auto"/>
                <w:highlight w:val="none"/>
              </w:rPr>
            </w:pPr>
          </w:p>
        </w:tc>
        <w:tc>
          <w:tcPr>
            <w:tcW w:w="963" w:type="pct"/>
            <w:noWrap w:val="0"/>
            <w:vAlign w:val="top"/>
          </w:tcPr>
          <w:p w14:paraId="5125D10B">
            <w:pPr>
              <w:jc w:val="center"/>
              <w:rPr>
                <w:rFonts w:hint="eastAsia" w:ascii="宋体" w:hAnsi="宋体" w:eastAsia="宋体" w:cs="宋体"/>
                <w:color w:val="auto"/>
                <w:highlight w:val="none"/>
              </w:rPr>
            </w:pPr>
          </w:p>
        </w:tc>
        <w:tc>
          <w:tcPr>
            <w:tcW w:w="2083" w:type="pct"/>
            <w:gridSpan w:val="2"/>
            <w:noWrap w:val="0"/>
            <w:vAlign w:val="top"/>
          </w:tcPr>
          <w:p w14:paraId="2F5C3B88">
            <w:pPr>
              <w:jc w:val="center"/>
              <w:rPr>
                <w:rFonts w:hint="eastAsia" w:ascii="宋体" w:hAnsi="宋体" w:eastAsia="宋体" w:cs="宋体"/>
                <w:color w:val="auto"/>
                <w:highlight w:val="none"/>
              </w:rPr>
            </w:pPr>
          </w:p>
        </w:tc>
      </w:tr>
      <w:tr w14:paraId="7796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03457436">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p>
        </w:tc>
        <w:tc>
          <w:tcPr>
            <w:tcW w:w="771" w:type="pct"/>
            <w:tcBorders>
              <w:left w:val="single" w:color="auto" w:sz="4" w:space="0"/>
            </w:tcBorders>
            <w:noWrap w:val="0"/>
            <w:vAlign w:val="top"/>
          </w:tcPr>
          <w:p w14:paraId="426CB37F">
            <w:pPr>
              <w:jc w:val="left"/>
              <w:rPr>
                <w:rFonts w:hint="eastAsia" w:ascii="宋体" w:hAnsi="宋体" w:eastAsia="宋体" w:cs="宋体"/>
                <w:color w:val="auto"/>
                <w:highlight w:val="none"/>
              </w:rPr>
            </w:pPr>
          </w:p>
        </w:tc>
        <w:tc>
          <w:tcPr>
            <w:tcW w:w="963" w:type="pct"/>
            <w:noWrap w:val="0"/>
            <w:vAlign w:val="top"/>
          </w:tcPr>
          <w:p w14:paraId="53E84098">
            <w:pPr>
              <w:jc w:val="center"/>
              <w:rPr>
                <w:rFonts w:hint="eastAsia" w:ascii="宋体" w:hAnsi="宋体" w:eastAsia="宋体" w:cs="宋体"/>
                <w:color w:val="auto"/>
                <w:highlight w:val="none"/>
              </w:rPr>
            </w:pPr>
          </w:p>
        </w:tc>
        <w:tc>
          <w:tcPr>
            <w:tcW w:w="2083" w:type="pct"/>
            <w:gridSpan w:val="2"/>
            <w:tcBorders>
              <w:bottom w:val="single" w:color="auto" w:sz="4" w:space="0"/>
            </w:tcBorders>
            <w:noWrap w:val="0"/>
            <w:vAlign w:val="top"/>
          </w:tcPr>
          <w:p w14:paraId="5F750166">
            <w:pPr>
              <w:jc w:val="center"/>
              <w:rPr>
                <w:rFonts w:hint="eastAsia" w:ascii="宋体" w:hAnsi="宋体" w:eastAsia="宋体" w:cs="宋体"/>
                <w:color w:val="auto"/>
                <w:highlight w:val="none"/>
              </w:rPr>
            </w:pPr>
          </w:p>
        </w:tc>
      </w:tr>
      <w:tr w14:paraId="6CE8C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31FA34CD">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p>
        </w:tc>
        <w:tc>
          <w:tcPr>
            <w:tcW w:w="771" w:type="pct"/>
            <w:tcBorders>
              <w:left w:val="single" w:color="auto" w:sz="4" w:space="0"/>
            </w:tcBorders>
            <w:noWrap w:val="0"/>
            <w:vAlign w:val="top"/>
          </w:tcPr>
          <w:p w14:paraId="516BCE7C">
            <w:pPr>
              <w:jc w:val="left"/>
              <w:rPr>
                <w:rFonts w:hint="eastAsia" w:ascii="宋体" w:hAnsi="宋体" w:eastAsia="宋体" w:cs="宋体"/>
                <w:color w:val="auto"/>
                <w:highlight w:val="none"/>
              </w:rPr>
            </w:pPr>
          </w:p>
        </w:tc>
        <w:tc>
          <w:tcPr>
            <w:tcW w:w="963" w:type="pct"/>
            <w:noWrap w:val="0"/>
            <w:vAlign w:val="top"/>
          </w:tcPr>
          <w:p w14:paraId="4EC8231C">
            <w:pPr>
              <w:jc w:val="center"/>
              <w:rPr>
                <w:rFonts w:hint="eastAsia" w:ascii="宋体" w:hAnsi="宋体" w:eastAsia="宋体" w:cs="宋体"/>
                <w:color w:val="auto"/>
                <w:highlight w:val="none"/>
              </w:rPr>
            </w:pPr>
          </w:p>
        </w:tc>
        <w:tc>
          <w:tcPr>
            <w:tcW w:w="2083" w:type="pct"/>
            <w:gridSpan w:val="2"/>
            <w:tcBorders>
              <w:top w:val="single" w:color="auto" w:sz="4" w:space="0"/>
            </w:tcBorders>
            <w:noWrap w:val="0"/>
            <w:vAlign w:val="top"/>
          </w:tcPr>
          <w:p w14:paraId="064EFDD1">
            <w:pPr>
              <w:jc w:val="center"/>
              <w:rPr>
                <w:rFonts w:hint="eastAsia" w:ascii="宋体" w:hAnsi="宋体" w:eastAsia="宋体" w:cs="宋体"/>
                <w:color w:val="auto"/>
                <w:highlight w:val="none"/>
              </w:rPr>
            </w:pPr>
          </w:p>
        </w:tc>
      </w:tr>
      <w:tr w14:paraId="6EED3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291087EB">
            <w:pPr>
              <w:jc w:val="left"/>
              <w:rPr>
                <w:rFonts w:hint="eastAsia" w:ascii="宋体" w:hAnsi="宋体" w:eastAsia="宋体" w:cs="宋体"/>
                <w:color w:val="auto"/>
                <w:highlight w:val="none"/>
              </w:rPr>
            </w:pPr>
            <w:r>
              <w:rPr>
                <w:rFonts w:hint="eastAsia" w:ascii="宋体" w:hAnsi="宋体" w:eastAsia="宋体" w:cs="宋体"/>
                <w:color w:val="auto"/>
                <w:highlight w:val="none"/>
              </w:rPr>
              <w:t>二、业绩合同</w:t>
            </w:r>
          </w:p>
        </w:tc>
        <w:tc>
          <w:tcPr>
            <w:tcW w:w="771" w:type="pct"/>
            <w:tcBorders>
              <w:left w:val="single" w:color="auto" w:sz="4" w:space="0"/>
            </w:tcBorders>
            <w:noWrap w:val="0"/>
            <w:vAlign w:val="top"/>
          </w:tcPr>
          <w:p w14:paraId="3D6A1D9B">
            <w:pPr>
              <w:jc w:val="left"/>
              <w:rPr>
                <w:rFonts w:hint="eastAsia" w:ascii="宋体" w:hAnsi="宋体" w:eastAsia="宋体" w:cs="宋体"/>
                <w:color w:val="auto"/>
                <w:highlight w:val="none"/>
              </w:rPr>
            </w:pPr>
          </w:p>
        </w:tc>
        <w:tc>
          <w:tcPr>
            <w:tcW w:w="963" w:type="pct"/>
            <w:noWrap w:val="0"/>
            <w:vAlign w:val="top"/>
          </w:tcPr>
          <w:p w14:paraId="6F773A45">
            <w:pPr>
              <w:jc w:val="center"/>
              <w:rPr>
                <w:rFonts w:hint="eastAsia" w:ascii="宋体" w:hAnsi="宋体" w:eastAsia="宋体" w:cs="宋体"/>
                <w:color w:val="auto"/>
                <w:highlight w:val="none"/>
              </w:rPr>
            </w:pPr>
          </w:p>
        </w:tc>
        <w:tc>
          <w:tcPr>
            <w:tcW w:w="2083" w:type="pct"/>
            <w:gridSpan w:val="2"/>
            <w:noWrap w:val="0"/>
            <w:vAlign w:val="top"/>
          </w:tcPr>
          <w:p w14:paraId="1399749E">
            <w:pPr>
              <w:jc w:val="center"/>
              <w:rPr>
                <w:rFonts w:hint="eastAsia" w:ascii="宋体" w:hAnsi="宋体" w:eastAsia="宋体" w:cs="宋体"/>
                <w:color w:val="auto"/>
                <w:highlight w:val="none"/>
              </w:rPr>
            </w:pPr>
          </w:p>
        </w:tc>
      </w:tr>
      <w:tr w14:paraId="1554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16599A5A">
            <w:pPr>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p>
        </w:tc>
        <w:tc>
          <w:tcPr>
            <w:tcW w:w="771" w:type="pct"/>
            <w:tcBorders>
              <w:left w:val="single" w:color="auto" w:sz="4" w:space="0"/>
            </w:tcBorders>
            <w:noWrap w:val="0"/>
            <w:vAlign w:val="top"/>
          </w:tcPr>
          <w:p w14:paraId="37FAAA9D">
            <w:pPr>
              <w:jc w:val="left"/>
              <w:rPr>
                <w:rFonts w:hint="eastAsia" w:ascii="宋体" w:hAnsi="宋体" w:eastAsia="宋体" w:cs="宋体"/>
                <w:color w:val="auto"/>
                <w:highlight w:val="none"/>
              </w:rPr>
            </w:pPr>
          </w:p>
        </w:tc>
        <w:tc>
          <w:tcPr>
            <w:tcW w:w="963" w:type="pct"/>
            <w:noWrap w:val="0"/>
            <w:vAlign w:val="top"/>
          </w:tcPr>
          <w:p w14:paraId="64FDAD4D">
            <w:pPr>
              <w:jc w:val="center"/>
              <w:rPr>
                <w:rFonts w:hint="eastAsia" w:ascii="宋体" w:hAnsi="宋体" w:eastAsia="宋体" w:cs="宋体"/>
                <w:color w:val="auto"/>
                <w:highlight w:val="none"/>
              </w:rPr>
            </w:pPr>
          </w:p>
        </w:tc>
        <w:tc>
          <w:tcPr>
            <w:tcW w:w="2083" w:type="pct"/>
            <w:gridSpan w:val="2"/>
            <w:noWrap w:val="0"/>
            <w:vAlign w:val="top"/>
          </w:tcPr>
          <w:p w14:paraId="39ED8233">
            <w:pPr>
              <w:jc w:val="center"/>
              <w:rPr>
                <w:rFonts w:hint="eastAsia" w:ascii="宋体" w:hAnsi="宋体" w:eastAsia="宋体" w:cs="宋体"/>
                <w:color w:val="auto"/>
                <w:highlight w:val="none"/>
              </w:rPr>
            </w:pPr>
          </w:p>
        </w:tc>
      </w:tr>
      <w:tr w14:paraId="2722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197A9CB2">
            <w:pPr>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p>
        </w:tc>
        <w:tc>
          <w:tcPr>
            <w:tcW w:w="771" w:type="pct"/>
            <w:tcBorders>
              <w:left w:val="single" w:color="auto" w:sz="4" w:space="0"/>
            </w:tcBorders>
            <w:noWrap w:val="0"/>
            <w:vAlign w:val="top"/>
          </w:tcPr>
          <w:p w14:paraId="1618E42D">
            <w:pPr>
              <w:jc w:val="left"/>
              <w:rPr>
                <w:rFonts w:hint="eastAsia" w:ascii="宋体" w:hAnsi="宋体" w:eastAsia="宋体" w:cs="宋体"/>
                <w:color w:val="auto"/>
                <w:highlight w:val="none"/>
              </w:rPr>
            </w:pPr>
          </w:p>
        </w:tc>
        <w:tc>
          <w:tcPr>
            <w:tcW w:w="963" w:type="pct"/>
            <w:noWrap w:val="0"/>
            <w:vAlign w:val="top"/>
          </w:tcPr>
          <w:p w14:paraId="7F390C31">
            <w:pPr>
              <w:jc w:val="center"/>
              <w:rPr>
                <w:rFonts w:hint="eastAsia" w:ascii="宋体" w:hAnsi="宋体" w:eastAsia="宋体" w:cs="宋体"/>
                <w:color w:val="auto"/>
                <w:highlight w:val="none"/>
              </w:rPr>
            </w:pPr>
          </w:p>
        </w:tc>
        <w:tc>
          <w:tcPr>
            <w:tcW w:w="2083" w:type="pct"/>
            <w:gridSpan w:val="2"/>
            <w:noWrap w:val="0"/>
            <w:vAlign w:val="top"/>
          </w:tcPr>
          <w:p w14:paraId="033EEEA9">
            <w:pPr>
              <w:jc w:val="center"/>
              <w:rPr>
                <w:rFonts w:hint="eastAsia" w:ascii="宋体" w:hAnsi="宋体" w:eastAsia="宋体" w:cs="宋体"/>
                <w:color w:val="auto"/>
                <w:highlight w:val="none"/>
              </w:rPr>
            </w:pPr>
          </w:p>
        </w:tc>
      </w:tr>
      <w:tr w14:paraId="6B75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1BABC451">
            <w:pPr>
              <w:jc w:val="left"/>
              <w:rPr>
                <w:rFonts w:hint="eastAsia" w:ascii="宋体" w:hAnsi="宋体" w:eastAsia="宋体" w:cs="宋体"/>
                <w:color w:val="auto"/>
                <w:highlight w:val="none"/>
              </w:rPr>
            </w:pPr>
            <w:r>
              <w:rPr>
                <w:rFonts w:hint="eastAsia" w:ascii="宋体" w:hAnsi="宋体" w:eastAsia="宋体" w:cs="宋体"/>
                <w:color w:val="auto"/>
                <w:highlight w:val="none"/>
              </w:rPr>
              <w:t>三、各类人员证书</w:t>
            </w:r>
          </w:p>
        </w:tc>
        <w:tc>
          <w:tcPr>
            <w:tcW w:w="771" w:type="pct"/>
            <w:tcBorders>
              <w:left w:val="single" w:color="auto" w:sz="4" w:space="0"/>
            </w:tcBorders>
            <w:noWrap w:val="0"/>
            <w:vAlign w:val="top"/>
          </w:tcPr>
          <w:p w14:paraId="5EA82276">
            <w:pPr>
              <w:jc w:val="left"/>
              <w:rPr>
                <w:rFonts w:hint="eastAsia" w:ascii="宋体" w:hAnsi="宋体" w:eastAsia="宋体" w:cs="宋体"/>
                <w:color w:val="auto"/>
                <w:highlight w:val="none"/>
              </w:rPr>
            </w:pPr>
          </w:p>
        </w:tc>
        <w:tc>
          <w:tcPr>
            <w:tcW w:w="963" w:type="pct"/>
            <w:noWrap w:val="0"/>
            <w:vAlign w:val="top"/>
          </w:tcPr>
          <w:p w14:paraId="5782621E">
            <w:pPr>
              <w:jc w:val="center"/>
              <w:rPr>
                <w:rFonts w:hint="eastAsia" w:ascii="宋体" w:hAnsi="宋体" w:eastAsia="宋体" w:cs="宋体"/>
                <w:color w:val="auto"/>
                <w:highlight w:val="none"/>
              </w:rPr>
            </w:pPr>
          </w:p>
        </w:tc>
        <w:tc>
          <w:tcPr>
            <w:tcW w:w="2083" w:type="pct"/>
            <w:gridSpan w:val="2"/>
            <w:noWrap w:val="0"/>
            <w:vAlign w:val="top"/>
          </w:tcPr>
          <w:p w14:paraId="6B6CF00A">
            <w:pPr>
              <w:jc w:val="center"/>
              <w:rPr>
                <w:rFonts w:hint="eastAsia" w:ascii="宋体" w:hAnsi="宋体" w:eastAsia="宋体" w:cs="宋体"/>
                <w:color w:val="auto"/>
                <w:highlight w:val="none"/>
              </w:rPr>
            </w:pPr>
          </w:p>
        </w:tc>
      </w:tr>
      <w:tr w14:paraId="23976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437398CC">
            <w:pPr>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p>
        </w:tc>
        <w:tc>
          <w:tcPr>
            <w:tcW w:w="771" w:type="pct"/>
            <w:tcBorders>
              <w:left w:val="single" w:color="auto" w:sz="4" w:space="0"/>
            </w:tcBorders>
            <w:noWrap w:val="0"/>
            <w:vAlign w:val="top"/>
          </w:tcPr>
          <w:p w14:paraId="230FA837">
            <w:pPr>
              <w:jc w:val="left"/>
              <w:rPr>
                <w:rFonts w:hint="eastAsia" w:ascii="宋体" w:hAnsi="宋体" w:eastAsia="宋体" w:cs="宋体"/>
                <w:color w:val="auto"/>
                <w:highlight w:val="none"/>
              </w:rPr>
            </w:pPr>
          </w:p>
        </w:tc>
        <w:tc>
          <w:tcPr>
            <w:tcW w:w="963" w:type="pct"/>
            <w:noWrap w:val="0"/>
            <w:vAlign w:val="top"/>
          </w:tcPr>
          <w:p w14:paraId="0195B42A">
            <w:pPr>
              <w:jc w:val="center"/>
              <w:rPr>
                <w:rFonts w:hint="eastAsia" w:ascii="宋体" w:hAnsi="宋体" w:eastAsia="宋体" w:cs="宋体"/>
                <w:color w:val="auto"/>
                <w:highlight w:val="none"/>
              </w:rPr>
            </w:pPr>
          </w:p>
        </w:tc>
        <w:tc>
          <w:tcPr>
            <w:tcW w:w="2083" w:type="pct"/>
            <w:gridSpan w:val="2"/>
            <w:noWrap w:val="0"/>
            <w:vAlign w:val="top"/>
          </w:tcPr>
          <w:p w14:paraId="60196A2A">
            <w:pPr>
              <w:jc w:val="center"/>
              <w:rPr>
                <w:rFonts w:hint="eastAsia" w:ascii="宋体" w:hAnsi="宋体" w:eastAsia="宋体" w:cs="宋体"/>
                <w:color w:val="auto"/>
                <w:highlight w:val="none"/>
              </w:rPr>
            </w:pPr>
          </w:p>
        </w:tc>
      </w:tr>
      <w:tr w14:paraId="26CF9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2434D5A3">
            <w:pPr>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p>
        </w:tc>
        <w:tc>
          <w:tcPr>
            <w:tcW w:w="771" w:type="pct"/>
            <w:tcBorders>
              <w:left w:val="single" w:color="auto" w:sz="4" w:space="0"/>
            </w:tcBorders>
            <w:noWrap w:val="0"/>
            <w:vAlign w:val="top"/>
          </w:tcPr>
          <w:p w14:paraId="58AC29A5">
            <w:pPr>
              <w:jc w:val="left"/>
              <w:rPr>
                <w:rFonts w:hint="eastAsia" w:ascii="宋体" w:hAnsi="宋体" w:eastAsia="宋体" w:cs="宋体"/>
                <w:color w:val="auto"/>
                <w:highlight w:val="none"/>
              </w:rPr>
            </w:pPr>
          </w:p>
        </w:tc>
        <w:tc>
          <w:tcPr>
            <w:tcW w:w="963" w:type="pct"/>
            <w:noWrap w:val="0"/>
            <w:vAlign w:val="top"/>
          </w:tcPr>
          <w:p w14:paraId="61E5D059">
            <w:pPr>
              <w:jc w:val="center"/>
              <w:rPr>
                <w:rFonts w:hint="eastAsia" w:ascii="宋体" w:hAnsi="宋体" w:eastAsia="宋体" w:cs="宋体"/>
                <w:color w:val="auto"/>
                <w:highlight w:val="none"/>
              </w:rPr>
            </w:pPr>
          </w:p>
        </w:tc>
        <w:tc>
          <w:tcPr>
            <w:tcW w:w="2083" w:type="pct"/>
            <w:gridSpan w:val="2"/>
            <w:noWrap w:val="0"/>
            <w:vAlign w:val="top"/>
          </w:tcPr>
          <w:p w14:paraId="1C8DC653">
            <w:pPr>
              <w:jc w:val="center"/>
              <w:rPr>
                <w:rFonts w:hint="eastAsia" w:ascii="宋体" w:hAnsi="宋体" w:eastAsia="宋体" w:cs="宋体"/>
                <w:color w:val="auto"/>
                <w:highlight w:val="none"/>
              </w:rPr>
            </w:pPr>
          </w:p>
        </w:tc>
      </w:tr>
      <w:tr w14:paraId="2FF64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509FA9C2">
            <w:pPr>
              <w:jc w:val="left"/>
              <w:rPr>
                <w:rFonts w:hint="eastAsia" w:ascii="宋体" w:hAnsi="宋体" w:eastAsia="宋体" w:cs="宋体"/>
                <w:color w:val="auto"/>
                <w:highlight w:val="none"/>
              </w:rPr>
            </w:pPr>
            <w:r>
              <w:rPr>
                <w:rFonts w:hint="eastAsia" w:ascii="宋体" w:hAnsi="宋体" w:eastAsia="宋体" w:cs="宋体"/>
                <w:color w:val="auto"/>
                <w:highlight w:val="none"/>
              </w:rPr>
              <w:t>四、其他客观分评审内容（如有）</w:t>
            </w:r>
          </w:p>
        </w:tc>
        <w:tc>
          <w:tcPr>
            <w:tcW w:w="771" w:type="pct"/>
            <w:tcBorders>
              <w:left w:val="single" w:color="auto" w:sz="4" w:space="0"/>
            </w:tcBorders>
            <w:noWrap w:val="0"/>
            <w:vAlign w:val="top"/>
          </w:tcPr>
          <w:p w14:paraId="5E3AA9EA">
            <w:pPr>
              <w:jc w:val="left"/>
              <w:rPr>
                <w:rFonts w:hint="eastAsia" w:ascii="宋体" w:hAnsi="宋体" w:eastAsia="宋体" w:cs="宋体"/>
                <w:color w:val="auto"/>
                <w:highlight w:val="none"/>
              </w:rPr>
            </w:pPr>
          </w:p>
        </w:tc>
        <w:tc>
          <w:tcPr>
            <w:tcW w:w="963" w:type="pct"/>
            <w:noWrap w:val="0"/>
            <w:vAlign w:val="top"/>
          </w:tcPr>
          <w:p w14:paraId="29B197E4">
            <w:pPr>
              <w:jc w:val="center"/>
              <w:rPr>
                <w:rFonts w:hint="eastAsia" w:ascii="宋体" w:hAnsi="宋体" w:eastAsia="宋体" w:cs="宋体"/>
                <w:color w:val="auto"/>
                <w:highlight w:val="none"/>
              </w:rPr>
            </w:pPr>
          </w:p>
        </w:tc>
        <w:tc>
          <w:tcPr>
            <w:tcW w:w="2083" w:type="pct"/>
            <w:gridSpan w:val="2"/>
            <w:noWrap w:val="0"/>
            <w:vAlign w:val="top"/>
          </w:tcPr>
          <w:p w14:paraId="5EEF5413">
            <w:pPr>
              <w:jc w:val="center"/>
              <w:rPr>
                <w:rFonts w:hint="eastAsia" w:ascii="宋体" w:hAnsi="宋体" w:eastAsia="宋体" w:cs="宋体"/>
                <w:color w:val="auto"/>
                <w:highlight w:val="none"/>
              </w:rPr>
            </w:pPr>
          </w:p>
        </w:tc>
      </w:tr>
      <w:tr w14:paraId="7B38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50AC2403">
            <w:pPr>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p>
        </w:tc>
        <w:tc>
          <w:tcPr>
            <w:tcW w:w="771" w:type="pct"/>
            <w:tcBorders>
              <w:left w:val="single" w:color="auto" w:sz="4" w:space="0"/>
            </w:tcBorders>
            <w:noWrap w:val="0"/>
            <w:vAlign w:val="top"/>
          </w:tcPr>
          <w:p w14:paraId="6CC32DD4">
            <w:pPr>
              <w:jc w:val="left"/>
              <w:rPr>
                <w:rFonts w:hint="eastAsia" w:ascii="宋体" w:hAnsi="宋体" w:eastAsia="宋体" w:cs="宋体"/>
                <w:color w:val="auto"/>
                <w:highlight w:val="none"/>
              </w:rPr>
            </w:pPr>
          </w:p>
        </w:tc>
        <w:tc>
          <w:tcPr>
            <w:tcW w:w="963" w:type="pct"/>
            <w:noWrap w:val="0"/>
            <w:vAlign w:val="top"/>
          </w:tcPr>
          <w:p w14:paraId="66862480">
            <w:pPr>
              <w:jc w:val="center"/>
              <w:rPr>
                <w:rFonts w:hint="eastAsia" w:ascii="宋体" w:hAnsi="宋体" w:eastAsia="宋体" w:cs="宋体"/>
                <w:color w:val="auto"/>
                <w:highlight w:val="none"/>
              </w:rPr>
            </w:pPr>
          </w:p>
        </w:tc>
        <w:tc>
          <w:tcPr>
            <w:tcW w:w="2083" w:type="pct"/>
            <w:gridSpan w:val="2"/>
            <w:noWrap w:val="0"/>
            <w:vAlign w:val="top"/>
          </w:tcPr>
          <w:p w14:paraId="4788818C">
            <w:pPr>
              <w:jc w:val="center"/>
              <w:rPr>
                <w:rFonts w:hint="eastAsia" w:ascii="宋体" w:hAnsi="宋体" w:eastAsia="宋体" w:cs="宋体"/>
                <w:color w:val="auto"/>
                <w:highlight w:val="none"/>
              </w:rPr>
            </w:pPr>
          </w:p>
        </w:tc>
      </w:tr>
      <w:tr w14:paraId="4CB5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1" w:type="pct"/>
            <w:tcBorders>
              <w:right w:val="single" w:color="auto" w:sz="4" w:space="0"/>
            </w:tcBorders>
            <w:noWrap w:val="0"/>
            <w:vAlign w:val="top"/>
          </w:tcPr>
          <w:p w14:paraId="4A81EDB6">
            <w:pPr>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p>
        </w:tc>
        <w:tc>
          <w:tcPr>
            <w:tcW w:w="771" w:type="pct"/>
            <w:tcBorders>
              <w:left w:val="single" w:color="auto" w:sz="4" w:space="0"/>
            </w:tcBorders>
            <w:noWrap w:val="0"/>
            <w:vAlign w:val="top"/>
          </w:tcPr>
          <w:p w14:paraId="0B06F095">
            <w:pPr>
              <w:jc w:val="left"/>
              <w:rPr>
                <w:rFonts w:hint="eastAsia" w:ascii="宋体" w:hAnsi="宋体" w:eastAsia="宋体" w:cs="宋体"/>
                <w:color w:val="auto"/>
                <w:highlight w:val="none"/>
              </w:rPr>
            </w:pPr>
          </w:p>
        </w:tc>
        <w:tc>
          <w:tcPr>
            <w:tcW w:w="963" w:type="pct"/>
            <w:noWrap w:val="0"/>
            <w:vAlign w:val="top"/>
          </w:tcPr>
          <w:p w14:paraId="351D857C">
            <w:pPr>
              <w:jc w:val="center"/>
              <w:rPr>
                <w:rFonts w:hint="eastAsia" w:ascii="宋体" w:hAnsi="宋体" w:eastAsia="宋体" w:cs="宋体"/>
                <w:color w:val="auto"/>
                <w:highlight w:val="none"/>
              </w:rPr>
            </w:pPr>
          </w:p>
        </w:tc>
        <w:tc>
          <w:tcPr>
            <w:tcW w:w="2083" w:type="pct"/>
            <w:gridSpan w:val="2"/>
            <w:noWrap w:val="0"/>
            <w:vAlign w:val="top"/>
          </w:tcPr>
          <w:p w14:paraId="1A1AFEFC">
            <w:pPr>
              <w:jc w:val="center"/>
              <w:rPr>
                <w:rFonts w:hint="eastAsia" w:ascii="宋体" w:hAnsi="宋体" w:eastAsia="宋体" w:cs="宋体"/>
                <w:color w:val="auto"/>
                <w:highlight w:val="none"/>
              </w:rPr>
            </w:pPr>
          </w:p>
        </w:tc>
      </w:tr>
    </w:tbl>
    <w:p w14:paraId="6E3CD90C">
      <w:pPr>
        <w:rPr>
          <w:rFonts w:hint="eastAsia" w:ascii="宋体" w:hAnsi="宋体" w:eastAsia="宋体" w:cs="宋体"/>
          <w:color w:val="auto"/>
          <w:spacing w:val="20"/>
          <w:highlight w:val="none"/>
          <w:u w:val="single"/>
        </w:rPr>
      </w:pPr>
      <w:r>
        <w:rPr>
          <w:rFonts w:hint="eastAsia" w:ascii="宋体" w:hAnsi="宋体" w:eastAsia="宋体" w:cs="宋体"/>
          <w:b/>
          <w:bCs/>
          <w:color w:val="auto"/>
          <w:highlight w:val="none"/>
        </w:rPr>
        <w:t>注：对照招标文件中的评分办法，如供应商针对客观分评审内容提供了对应的证明材料，请根据自身的投标文件将各项材料一一列明，并明确假设中标（成交）后可通过什么方式进行核验。</w:t>
      </w:r>
    </w:p>
    <w:p w14:paraId="162386B6">
      <w:pPr>
        <w:rPr>
          <w:rFonts w:hint="eastAsia" w:ascii="宋体" w:hAnsi="宋体" w:eastAsia="宋体" w:cs="宋体"/>
          <w:color w:val="auto"/>
          <w:highlight w:val="none"/>
        </w:rPr>
      </w:pPr>
    </w:p>
    <w:p w14:paraId="48F21BFE">
      <w:pPr>
        <w:rPr>
          <w:rFonts w:hint="eastAsia" w:ascii="宋体" w:hAnsi="宋体" w:eastAsia="宋体" w:cs="宋体"/>
          <w:color w:val="auto"/>
          <w:highlight w:val="none"/>
        </w:rPr>
      </w:pPr>
    </w:p>
    <w:sectPr>
      <w:headerReference r:id="rId3" w:type="default"/>
      <w:footerReference r:id="rId4" w:type="default"/>
      <w:pgSz w:w="11906" w:h="16838"/>
      <w:pgMar w:top="1440" w:right="1080" w:bottom="1440" w:left="1080" w:header="851"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14ADC">
    <w:pPr>
      <w:pStyle w:val="18"/>
      <w:ind w:right="359" w:rightChars="17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a:effectLst/>
                    </wps:spPr>
                    <wps:txbx>
                      <w:txbxContent>
                        <w:p w14:paraId="30783ADC">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4384;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JRAk3RAAAAAwEAAA8AAAAAAAAAAQAgAAAAIgAAAGRycy9kb3ducmV2Lnht&#10;bFBLAQIUABQAAAAIAIdO4kAsEcd1xwEAAKcDAAAOAAAAAAAAAAEAIAAAACABAABkcnMvZTJvRG9j&#10;LnhtbFBLBQYAAAAABgAGAFkBAABZBQAAAAA=&#10;">
              <v:fill on="f" focussize="0,0"/>
              <v:stroke on="f"/>
              <v:imagedata o:title=""/>
              <o:lock v:ext="edit" aspectratio="f"/>
              <v:textbox inset="0mm,0mm,0mm,0mm" style="mso-fit-shape-to-text:t;">
                <w:txbxContent>
                  <w:p w14:paraId="30783ADC">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739C">
    <w:pPr>
      <w:pStyle w:val="19"/>
      <w:pBdr>
        <w:bottom w:val="single" w:color="auto" w:sz="4" w:space="1"/>
      </w:pBdr>
      <w:tabs>
        <w:tab w:val="left" w:pos="8115"/>
        <w:tab w:val="clear" w:pos="4153"/>
        <w:tab w:val="clear" w:pos="8306"/>
      </w:tabs>
      <w:jc w:val="right"/>
    </w:pPr>
    <w:r>
      <w:rPr>
        <w:rFonts w:hint="eastAsia"/>
      </w:rPr>
      <w:t>浙江乐诚工程咨询有限公司招标文件</w:t>
    </w:r>
    <w:r>
      <w:rPr>
        <w:rFonts w:hint="eastAsia" w:ascii="Arial" w:hAnsi="宋体" w:cs="Arial"/>
        <w:b/>
        <w:szCs w:val="21"/>
      </w:rPr>
      <w:drawing>
        <wp:inline distT="0" distB="0" distL="114300" distR="114300">
          <wp:extent cx="381000" cy="3429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3810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1C4D4"/>
    <w:multiLevelType w:val="singleLevel"/>
    <w:tmpl w:val="9011C4D4"/>
    <w:lvl w:ilvl="0" w:tentative="0">
      <w:start w:val="1"/>
      <w:numFmt w:val="decimal"/>
      <w:suff w:val="nothing"/>
      <w:lvlText w:val="%1．"/>
      <w:lvlJc w:val="left"/>
      <w:pPr>
        <w:ind w:left="0" w:firstLine="400"/>
      </w:pPr>
      <w:rPr>
        <w:rFonts w:hint="default"/>
      </w:rPr>
    </w:lvl>
  </w:abstractNum>
  <w:abstractNum w:abstractNumId="1">
    <w:nsid w:val="926DFA4E"/>
    <w:multiLevelType w:val="singleLevel"/>
    <w:tmpl w:val="926DFA4E"/>
    <w:lvl w:ilvl="0" w:tentative="0">
      <w:start w:val="1"/>
      <w:numFmt w:val="decimal"/>
      <w:suff w:val="nothing"/>
      <w:lvlText w:val="%1)"/>
      <w:lvlJc w:val="left"/>
      <w:pPr>
        <w:ind w:left="425" w:hanging="425"/>
      </w:pPr>
      <w:rPr>
        <w:rFonts w:hint="default"/>
      </w:rPr>
    </w:lvl>
  </w:abstractNum>
  <w:abstractNum w:abstractNumId="2">
    <w:nsid w:val="B0692622"/>
    <w:multiLevelType w:val="multilevel"/>
    <w:tmpl w:val="B069262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BB6616B5"/>
    <w:multiLevelType w:val="singleLevel"/>
    <w:tmpl w:val="BB6616B5"/>
    <w:lvl w:ilvl="0" w:tentative="0">
      <w:start w:val="1"/>
      <w:numFmt w:val="decimal"/>
      <w:lvlText w:val="(%1)"/>
      <w:lvlJc w:val="left"/>
      <w:pPr>
        <w:ind w:left="425" w:hanging="425"/>
      </w:pPr>
      <w:rPr>
        <w:rFonts w:hint="default"/>
      </w:rPr>
    </w:lvl>
  </w:abstractNum>
  <w:abstractNum w:abstractNumId="5">
    <w:nsid w:val="C8B16661"/>
    <w:multiLevelType w:val="singleLevel"/>
    <w:tmpl w:val="C8B16661"/>
    <w:lvl w:ilvl="0" w:tentative="0">
      <w:start w:val="1"/>
      <w:numFmt w:val="chineseCounting"/>
      <w:suff w:val="nothing"/>
      <w:lvlText w:val="%1、"/>
      <w:lvlJc w:val="left"/>
      <w:rPr>
        <w:rFonts w:hint="eastAsia"/>
      </w:rPr>
    </w:lvl>
  </w:abstractNum>
  <w:abstractNum w:abstractNumId="6">
    <w:nsid w:val="D6CDA49D"/>
    <w:multiLevelType w:val="singleLevel"/>
    <w:tmpl w:val="D6CDA49D"/>
    <w:lvl w:ilvl="0" w:tentative="0">
      <w:start w:val="1"/>
      <w:numFmt w:val="decimalEnclosedCircleChinese"/>
      <w:suff w:val="nothing"/>
      <w:lvlText w:val="%1　"/>
      <w:lvlJc w:val="left"/>
      <w:pPr>
        <w:ind w:left="0" w:firstLine="400"/>
      </w:pPr>
      <w:rPr>
        <w:rFonts w:hint="eastAsia"/>
      </w:rPr>
    </w:lvl>
  </w:abstractNum>
  <w:abstractNum w:abstractNumId="7">
    <w:nsid w:val="049CED9B"/>
    <w:multiLevelType w:val="multilevel"/>
    <w:tmpl w:val="049CED9B"/>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6190976"/>
    <w:multiLevelType w:val="singleLevel"/>
    <w:tmpl w:val="06190976"/>
    <w:lvl w:ilvl="0" w:tentative="0">
      <w:start w:val="1"/>
      <w:numFmt w:val="decimal"/>
      <w:suff w:val="nothing"/>
      <w:lvlText w:val="%1．"/>
      <w:lvlJc w:val="left"/>
      <w:pPr>
        <w:ind w:left="0" w:firstLine="400"/>
      </w:pPr>
      <w:rPr>
        <w:rFonts w:hint="default"/>
      </w:rPr>
    </w:lvl>
  </w:abstractNum>
  <w:abstractNum w:abstractNumId="9">
    <w:nsid w:val="1455434C"/>
    <w:multiLevelType w:val="multilevel"/>
    <w:tmpl w:val="1455434C"/>
    <w:lvl w:ilvl="0" w:tentative="0">
      <w:start w:val="1"/>
      <w:numFmt w:val="decimal"/>
      <w:pStyle w:val="100"/>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E656AF1"/>
    <w:multiLevelType w:val="multilevel"/>
    <w:tmpl w:val="3E656AF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C59000B"/>
    <w:multiLevelType w:val="singleLevel"/>
    <w:tmpl w:val="4C59000B"/>
    <w:lvl w:ilvl="0" w:tentative="0">
      <w:start w:val="1"/>
      <w:numFmt w:val="decimal"/>
      <w:suff w:val="nothing"/>
      <w:lvlText w:val="%1、"/>
      <w:lvlJc w:val="left"/>
    </w:lvl>
  </w:abstractNum>
  <w:abstractNum w:abstractNumId="12">
    <w:nsid w:val="557FD3DA"/>
    <w:multiLevelType w:val="singleLevel"/>
    <w:tmpl w:val="557FD3DA"/>
    <w:lvl w:ilvl="0" w:tentative="0">
      <w:start w:val="3"/>
      <w:numFmt w:val="chineseCounting"/>
      <w:suff w:val="nothing"/>
      <w:lvlText w:val="%1、"/>
      <w:lvlJc w:val="left"/>
      <w:rPr>
        <w:rFonts w:cs="Times New Roman"/>
      </w:rPr>
    </w:lvl>
  </w:abstractNum>
  <w:num w:numId="1">
    <w:abstractNumId w:val="3"/>
  </w:num>
  <w:num w:numId="2">
    <w:abstractNumId w:val="9"/>
  </w:num>
  <w:num w:numId="3">
    <w:abstractNumId w:val="4"/>
  </w:num>
  <w:num w:numId="4">
    <w:abstractNumId w:val="6"/>
  </w:num>
  <w:num w:numId="5">
    <w:abstractNumId w:val="1"/>
  </w:num>
  <w:num w:numId="6">
    <w:abstractNumId w:val="0"/>
  </w:num>
  <w:num w:numId="7">
    <w:abstractNumId w:val="8"/>
  </w:num>
  <w:num w:numId="8">
    <w:abstractNumId w:val="11"/>
  </w:num>
  <w:num w:numId="9">
    <w:abstractNumId w:val="7"/>
  </w:num>
  <w:num w:numId="10">
    <w:abstractNumId w:val="10"/>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NzAyZDRkZGZkYjFiMGUxYTU1ODBiMjc1ZDBkMTM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5BE"/>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4A89"/>
    <w:rsid w:val="000B53F4"/>
    <w:rsid w:val="000B565E"/>
    <w:rsid w:val="000B6159"/>
    <w:rsid w:val="000B7DB9"/>
    <w:rsid w:val="000C2533"/>
    <w:rsid w:val="000C25F3"/>
    <w:rsid w:val="000C28D0"/>
    <w:rsid w:val="000C2A04"/>
    <w:rsid w:val="000C3755"/>
    <w:rsid w:val="000C6819"/>
    <w:rsid w:val="000C6AE1"/>
    <w:rsid w:val="000C7072"/>
    <w:rsid w:val="000D021B"/>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6D0D"/>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6AB"/>
    <w:rsid w:val="0015078E"/>
    <w:rsid w:val="00150A0F"/>
    <w:rsid w:val="001518ED"/>
    <w:rsid w:val="00151DD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5425"/>
    <w:rsid w:val="00186A6C"/>
    <w:rsid w:val="00193285"/>
    <w:rsid w:val="00194CCA"/>
    <w:rsid w:val="0019571A"/>
    <w:rsid w:val="00196379"/>
    <w:rsid w:val="001A5952"/>
    <w:rsid w:val="001B0609"/>
    <w:rsid w:val="001B0883"/>
    <w:rsid w:val="001B0DFB"/>
    <w:rsid w:val="001B32B4"/>
    <w:rsid w:val="001B5603"/>
    <w:rsid w:val="001C094A"/>
    <w:rsid w:val="001C1E7D"/>
    <w:rsid w:val="001C2259"/>
    <w:rsid w:val="001C636B"/>
    <w:rsid w:val="001C6DFA"/>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133"/>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0E1C"/>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1D8"/>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3367"/>
    <w:rsid w:val="004648E3"/>
    <w:rsid w:val="00466555"/>
    <w:rsid w:val="00467D8E"/>
    <w:rsid w:val="00470721"/>
    <w:rsid w:val="00472430"/>
    <w:rsid w:val="00472601"/>
    <w:rsid w:val="00472977"/>
    <w:rsid w:val="00473D55"/>
    <w:rsid w:val="004745D3"/>
    <w:rsid w:val="00474C58"/>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4F7EFB"/>
    <w:rsid w:val="0050061C"/>
    <w:rsid w:val="00503552"/>
    <w:rsid w:val="00504F25"/>
    <w:rsid w:val="0050638A"/>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B0870"/>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36D3"/>
    <w:rsid w:val="00684BAC"/>
    <w:rsid w:val="00684F2E"/>
    <w:rsid w:val="0069034C"/>
    <w:rsid w:val="00690534"/>
    <w:rsid w:val="00696113"/>
    <w:rsid w:val="006A3DD1"/>
    <w:rsid w:val="006A6830"/>
    <w:rsid w:val="006B1563"/>
    <w:rsid w:val="006B1607"/>
    <w:rsid w:val="006B25DD"/>
    <w:rsid w:val="006B282E"/>
    <w:rsid w:val="006B29E3"/>
    <w:rsid w:val="006B31C3"/>
    <w:rsid w:val="006B4822"/>
    <w:rsid w:val="006B4F71"/>
    <w:rsid w:val="006C14BA"/>
    <w:rsid w:val="006C20F4"/>
    <w:rsid w:val="006C3030"/>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0A3D"/>
    <w:rsid w:val="0077105C"/>
    <w:rsid w:val="007725AC"/>
    <w:rsid w:val="0077266A"/>
    <w:rsid w:val="00772770"/>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226E"/>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5614"/>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21FB"/>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436"/>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1A0E"/>
    <w:rsid w:val="00A0237C"/>
    <w:rsid w:val="00A05AC1"/>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DC1"/>
    <w:rsid w:val="00A95A22"/>
    <w:rsid w:val="00A95C2C"/>
    <w:rsid w:val="00AA3B5C"/>
    <w:rsid w:val="00AA4306"/>
    <w:rsid w:val="00AA5144"/>
    <w:rsid w:val="00AB076C"/>
    <w:rsid w:val="00AB2053"/>
    <w:rsid w:val="00AB395A"/>
    <w:rsid w:val="00AB4661"/>
    <w:rsid w:val="00AB76EC"/>
    <w:rsid w:val="00AB7FC6"/>
    <w:rsid w:val="00AC0190"/>
    <w:rsid w:val="00AC2457"/>
    <w:rsid w:val="00AC3D2A"/>
    <w:rsid w:val="00AC3DFC"/>
    <w:rsid w:val="00AC446B"/>
    <w:rsid w:val="00AC6990"/>
    <w:rsid w:val="00AC6A48"/>
    <w:rsid w:val="00AD281B"/>
    <w:rsid w:val="00AD641A"/>
    <w:rsid w:val="00AD6820"/>
    <w:rsid w:val="00AE5895"/>
    <w:rsid w:val="00AF149F"/>
    <w:rsid w:val="00AF1809"/>
    <w:rsid w:val="00AF3567"/>
    <w:rsid w:val="00AF3CA1"/>
    <w:rsid w:val="00AF3D82"/>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56693"/>
    <w:rsid w:val="00B60CB1"/>
    <w:rsid w:val="00B61E79"/>
    <w:rsid w:val="00B6210E"/>
    <w:rsid w:val="00B62450"/>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71FF"/>
    <w:rsid w:val="00B97D6F"/>
    <w:rsid w:val="00B97DEA"/>
    <w:rsid w:val="00B97EE9"/>
    <w:rsid w:val="00BA098F"/>
    <w:rsid w:val="00BA0A8D"/>
    <w:rsid w:val="00BA0FB6"/>
    <w:rsid w:val="00BA2509"/>
    <w:rsid w:val="00BA382A"/>
    <w:rsid w:val="00BA49B1"/>
    <w:rsid w:val="00BA63ED"/>
    <w:rsid w:val="00BA7B27"/>
    <w:rsid w:val="00BB2A32"/>
    <w:rsid w:val="00BB39C9"/>
    <w:rsid w:val="00BB46CD"/>
    <w:rsid w:val="00BB548C"/>
    <w:rsid w:val="00BB75F1"/>
    <w:rsid w:val="00BC0A28"/>
    <w:rsid w:val="00BC1DB5"/>
    <w:rsid w:val="00BC2425"/>
    <w:rsid w:val="00BC3F6D"/>
    <w:rsid w:val="00BC6651"/>
    <w:rsid w:val="00BC74DD"/>
    <w:rsid w:val="00BC7C5E"/>
    <w:rsid w:val="00BD3986"/>
    <w:rsid w:val="00BD3B0C"/>
    <w:rsid w:val="00BD5735"/>
    <w:rsid w:val="00BD7AA0"/>
    <w:rsid w:val="00BE1545"/>
    <w:rsid w:val="00BE22AB"/>
    <w:rsid w:val="00BE5F5D"/>
    <w:rsid w:val="00BF0E19"/>
    <w:rsid w:val="00BF0FEE"/>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C6177"/>
    <w:rsid w:val="00CD0D1A"/>
    <w:rsid w:val="00CD2B23"/>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1E1C"/>
    <w:rsid w:val="00D142C1"/>
    <w:rsid w:val="00D14F91"/>
    <w:rsid w:val="00D1527F"/>
    <w:rsid w:val="00D15FA1"/>
    <w:rsid w:val="00D16E0D"/>
    <w:rsid w:val="00D225A2"/>
    <w:rsid w:val="00D2310D"/>
    <w:rsid w:val="00D254A7"/>
    <w:rsid w:val="00D273F6"/>
    <w:rsid w:val="00D27A0A"/>
    <w:rsid w:val="00D31327"/>
    <w:rsid w:val="00D31376"/>
    <w:rsid w:val="00D348C5"/>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4C3"/>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0D2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23C4"/>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1611"/>
    <w:rsid w:val="00E6284A"/>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3156"/>
    <w:rsid w:val="00EE4354"/>
    <w:rsid w:val="00EE612D"/>
    <w:rsid w:val="00EF2A61"/>
    <w:rsid w:val="00EF5878"/>
    <w:rsid w:val="00F029F6"/>
    <w:rsid w:val="00F05042"/>
    <w:rsid w:val="00F05A18"/>
    <w:rsid w:val="00F061E5"/>
    <w:rsid w:val="00F072B0"/>
    <w:rsid w:val="00F10386"/>
    <w:rsid w:val="00F11672"/>
    <w:rsid w:val="00F12540"/>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00390C"/>
    <w:rsid w:val="01074CB6"/>
    <w:rsid w:val="010A29DC"/>
    <w:rsid w:val="01171293"/>
    <w:rsid w:val="013C6B15"/>
    <w:rsid w:val="0144054E"/>
    <w:rsid w:val="016F45ED"/>
    <w:rsid w:val="0174421B"/>
    <w:rsid w:val="018717BE"/>
    <w:rsid w:val="01BD06D2"/>
    <w:rsid w:val="01BF097B"/>
    <w:rsid w:val="01CF32DE"/>
    <w:rsid w:val="01D105CE"/>
    <w:rsid w:val="01D34AC7"/>
    <w:rsid w:val="01E73C24"/>
    <w:rsid w:val="021A76DB"/>
    <w:rsid w:val="02380E83"/>
    <w:rsid w:val="023B2304"/>
    <w:rsid w:val="02497F4C"/>
    <w:rsid w:val="024B505A"/>
    <w:rsid w:val="025B1344"/>
    <w:rsid w:val="02766999"/>
    <w:rsid w:val="02791447"/>
    <w:rsid w:val="02A46433"/>
    <w:rsid w:val="02AA30B8"/>
    <w:rsid w:val="02B0317D"/>
    <w:rsid w:val="02BC18B0"/>
    <w:rsid w:val="02C961E4"/>
    <w:rsid w:val="02E1151B"/>
    <w:rsid w:val="02EA7AB7"/>
    <w:rsid w:val="02F07097"/>
    <w:rsid w:val="030147B7"/>
    <w:rsid w:val="032A0016"/>
    <w:rsid w:val="033243A8"/>
    <w:rsid w:val="033C4F4D"/>
    <w:rsid w:val="035442EC"/>
    <w:rsid w:val="03564F29"/>
    <w:rsid w:val="035B707C"/>
    <w:rsid w:val="036208AE"/>
    <w:rsid w:val="037126EF"/>
    <w:rsid w:val="03773C2D"/>
    <w:rsid w:val="0386205B"/>
    <w:rsid w:val="03AA5705"/>
    <w:rsid w:val="03B44E81"/>
    <w:rsid w:val="03B66B9F"/>
    <w:rsid w:val="03E73237"/>
    <w:rsid w:val="03ED283A"/>
    <w:rsid w:val="03EE5F1E"/>
    <w:rsid w:val="03FF3CD8"/>
    <w:rsid w:val="04017C6E"/>
    <w:rsid w:val="04041965"/>
    <w:rsid w:val="0417709F"/>
    <w:rsid w:val="042711AF"/>
    <w:rsid w:val="0439004F"/>
    <w:rsid w:val="04455AD9"/>
    <w:rsid w:val="04484C5C"/>
    <w:rsid w:val="044F0734"/>
    <w:rsid w:val="04870DDC"/>
    <w:rsid w:val="049031F8"/>
    <w:rsid w:val="04B067CA"/>
    <w:rsid w:val="04B15AAC"/>
    <w:rsid w:val="04B7013D"/>
    <w:rsid w:val="04BA4A58"/>
    <w:rsid w:val="04BB3243"/>
    <w:rsid w:val="04BE14C0"/>
    <w:rsid w:val="04BF5738"/>
    <w:rsid w:val="04EE55EA"/>
    <w:rsid w:val="04EF3205"/>
    <w:rsid w:val="04FF4FC2"/>
    <w:rsid w:val="050220C5"/>
    <w:rsid w:val="051427D6"/>
    <w:rsid w:val="05143E2A"/>
    <w:rsid w:val="05212BF6"/>
    <w:rsid w:val="05213A64"/>
    <w:rsid w:val="052E7653"/>
    <w:rsid w:val="05445D91"/>
    <w:rsid w:val="05466142"/>
    <w:rsid w:val="0549108E"/>
    <w:rsid w:val="05502A1B"/>
    <w:rsid w:val="05573D16"/>
    <w:rsid w:val="05622BC6"/>
    <w:rsid w:val="056441D3"/>
    <w:rsid w:val="056563FC"/>
    <w:rsid w:val="056D178C"/>
    <w:rsid w:val="05744508"/>
    <w:rsid w:val="05A3216A"/>
    <w:rsid w:val="05A50F26"/>
    <w:rsid w:val="05A7222B"/>
    <w:rsid w:val="05B92DB0"/>
    <w:rsid w:val="05BB42A5"/>
    <w:rsid w:val="05ED7B89"/>
    <w:rsid w:val="05EF765E"/>
    <w:rsid w:val="05F3389E"/>
    <w:rsid w:val="0601511F"/>
    <w:rsid w:val="060B54D3"/>
    <w:rsid w:val="06102D2E"/>
    <w:rsid w:val="061F2A86"/>
    <w:rsid w:val="063B2D6C"/>
    <w:rsid w:val="06503F20"/>
    <w:rsid w:val="06506B03"/>
    <w:rsid w:val="06584A82"/>
    <w:rsid w:val="065F4FD4"/>
    <w:rsid w:val="06602BCE"/>
    <w:rsid w:val="06623584"/>
    <w:rsid w:val="06712BB6"/>
    <w:rsid w:val="067601CC"/>
    <w:rsid w:val="06781F28"/>
    <w:rsid w:val="068428E9"/>
    <w:rsid w:val="068C6142"/>
    <w:rsid w:val="069627A6"/>
    <w:rsid w:val="06974875"/>
    <w:rsid w:val="069D39AB"/>
    <w:rsid w:val="06AA7299"/>
    <w:rsid w:val="06CF225A"/>
    <w:rsid w:val="06DE46EF"/>
    <w:rsid w:val="06E426D9"/>
    <w:rsid w:val="06F33957"/>
    <w:rsid w:val="06F86FDF"/>
    <w:rsid w:val="07012726"/>
    <w:rsid w:val="07055E73"/>
    <w:rsid w:val="07075397"/>
    <w:rsid w:val="07155AF2"/>
    <w:rsid w:val="071D449A"/>
    <w:rsid w:val="07204C15"/>
    <w:rsid w:val="073014CF"/>
    <w:rsid w:val="07302A71"/>
    <w:rsid w:val="07307513"/>
    <w:rsid w:val="07373DFF"/>
    <w:rsid w:val="07485900"/>
    <w:rsid w:val="07660E57"/>
    <w:rsid w:val="076A763A"/>
    <w:rsid w:val="076E7CC1"/>
    <w:rsid w:val="076F1972"/>
    <w:rsid w:val="07846919"/>
    <w:rsid w:val="079C6989"/>
    <w:rsid w:val="07AB216C"/>
    <w:rsid w:val="07B33BC8"/>
    <w:rsid w:val="07C139DE"/>
    <w:rsid w:val="07CA07CF"/>
    <w:rsid w:val="07DE064D"/>
    <w:rsid w:val="07E25679"/>
    <w:rsid w:val="07EA463D"/>
    <w:rsid w:val="07FF1049"/>
    <w:rsid w:val="081B727D"/>
    <w:rsid w:val="084C5688"/>
    <w:rsid w:val="08525629"/>
    <w:rsid w:val="08591333"/>
    <w:rsid w:val="0870518C"/>
    <w:rsid w:val="087F1B50"/>
    <w:rsid w:val="088722D5"/>
    <w:rsid w:val="0898267C"/>
    <w:rsid w:val="089867F5"/>
    <w:rsid w:val="08A7269C"/>
    <w:rsid w:val="08B102DB"/>
    <w:rsid w:val="08BB5CE2"/>
    <w:rsid w:val="08BE70FF"/>
    <w:rsid w:val="08CF49EB"/>
    <w:rsid w:val="08DB5652"/>
    <w:rsid w:val="08E65F3C"/>
    <w:rsid w:val="08EE4992"/>
    <w:rsid w:val="08EE786F"/>
    <w:rsid w:val="08F100D7"/>
    <w:rsid w:val="08F32F2D"/>
    <w:rsid w:val="08FA50E4"/>
    <w:rsid w:val="08FB0BD0"/>
    <w:rsid w:val="08FD0FC1"/>
    <w:rsid w:val="09045F63"/>
    <w:rsid w:val="09063F40"/>
    <w:rsid w:val="0913033A"/>
    <w:rsid w:val="09141087"/>
    <w:rsid w:val="091C14FF"/>
    <w:rsid w:val="093476F1"/>
    <w:rsid w:val="093700E7"/>
    <w:rsid w:val="09420CC2"/>
    <w:rsid w:val="09437AA9"/>
    <w:rsid w:val="094457E8"/>
    <w:rsid w:val="094D16B8"/>
    <w:rsid w:val="095306DD"/>
    <w:rsid w:val="096802A0"/>
    <w:rsid w:val="09695409"/>
    <w:rsid w:val="096A15E2"/>
    <w:rsid w:val="096F2833"/>
    <w:rsid w:val="09717093"/>
    <w:rsid w:val="097C1EFD"/>
    <w:rsid w:val="0993275B"/>
    <w:rsid w:val="09AE6768"/>
    <w:rsid w:val="09CB2254"/>
    <w:rsid w:val="09DF2389"/>
    <w:rsid w:val="09E21DFC"/>
    <w:rsid w:val="09EE5A33"/>
    <w:rsid w:val="09F33BC2"/>
    <w:rsid w:val="0A005A8E"/>
    <w:rsid w:val="0A005B38"/>
    <w:rsid w:val="0A012F12"/>
    <w:rsid w:val="0A020289"/>
    <w:rsid w:val="0A46002E"/>
    <w:rsid w:val="0A59542B"/>
    <w:rsid w:val="0A5A21CE"/>
    <w:rsid w:val="0A600644"/>
    <w:rsid w:val="0A63046B"/>
    <w:rsid w:val="0A655977"/>
    <w:rsid w:val="0A664758"/>
    <w:rsid w:val="0A6F0F60"/>
    <w:rsid w:val="0A6F30BC"/>
    <w:rsid w:val="0A714A90"/>
    <w:rsid w:val="0A7E6C48"/>
    <w:rsid w:val="0A8670D2"/>
    <w:rsid w:val="0A8A6649"/>
    <w:rsid w:val="0A8D0F9E"/>
    <w:rsid w:val="0AAA3E13"/>
    <w:rsid w:val="0AAB6B91"/>
    <w:rsid w:val="0AB440F8"/>
    <w:rsid w:val="0AC26356"/>
    <w:rsid w:val="0AC94A97"/>
    <w:rsid w:val="0AD2601C"/>
    <w:rsid w:val="0AD84D58"/>
    <w:rsid w:val="0AF41E04"/>
    <w:rsid w:val="0B085950"/>
    <w:rsid w:val="0B0D0CC4"/>
    <w:rsid w:val="0B212BCE"/>
    <w:rsid w:val="0B283234"/>
    <w:rsid w:val="0B2E3B34"/>
    <w:rsid w:val="0B2E72C7"/>
    <w:rsid w:val="0B446FEB"/>
    <w:rsid w:val="0B454985"/>
    <w:rsid w:val="0B4921D2"/>
    <w:rsid w:val="0B72156E"/>
    <w:rsid w:val="0B740F32"/>
    <w:rsid w:val="0B756CA4"/>
    <w:rsid w:val="0B8213C1"/>
    <w:rsid w:val="0B914FAE"/>
    <w:rsid w:val="0B944AB5"/>
    <w:rsid w:val="0B963D2B"/>
    <w:rsid w:val="0B9948AC"/>
    <w:rsid w:val="0B9E7162"/>
    <w:rsid w:val="0BAD6DE0"/>
    <w:rsid w:val="0BBD289A"/>
    <w:rsid w:val="0BBF7527"/>
    <w:rsid w:val="0BC35643"/>
    <w:rsid w:val="0BC6115D"/>
    <w:rsid w:val="0BD939C5"/>
    <w:rsid w:val="0BF76D62"/>
    <w:rsid w:val="0BFE4036"/>
    <w:rsid w:val="0C06030F"/>
    <w:rsid w:val="0C0E0E49"/>
    <w:rsid w:val="0C0F3E0E"/>
    <w:rsid w:val="0C13125D"/>
    <w:rsid w:val="0C232562"/>
    <w:rsid w:val="0C2F1549"/>
    <w:rsid w:val="0C2F5309"/>
    <w:rsid w:val="0C317521"/>
    <w:rsid w:val="0C34750C"/>
    <w:rsid w:val="0C443217"/>
    <w:rsid w:val="0C5A518D"/>
    <w:rsid w:val="0C5B44D7"/>
    <w:rsid w:val="0C6C43F7"/>
    <w:rsid w:val="0C6F15EF"/>
    <w:rsid w:val="0C8F646D"/>
    <w:rsid w:val="0C9C13C4"/>
    <w:rsid w:val="0CD56D9C"/>
    <w:rsid w:val="0CDB6FDB"/>
    <w:rsid w:val="0D060C4A"/>
    <w:rsid w:val="0D0A5801"/>
    <w:rsid w:val="0D0C1474"/>
    <w:rsid w:val="0D117CD7"/>
    <w:rsid w:val="0D1261B4"/>
    <w:rsid w:val="0D40004C"/>
    <w:rsid w:val="0D4508F8"/>
    <w:rsid w:val="0D496472"/>
    <w:rsid w:val="0D50453F"/>
    <w:rsid w:val="0D660F9A"/>
    <w:rsid w:val="0D6B0D0F"/>
    <w:rsid w:val="0D6D2583"/>
    <w:rsid w:val="0D7E5526"/>
    <w:rsid w:val="0D8867AE"/>
    <w:rsid w:val="0D8E5096"/>
    <w:rsid w:val="0D9A0A2B"/>
    <w:rsid w:val="0DC55EA8"/>
    <w:rsid w:val="0DC70E1E"/>
    <w:rsid w:val="0DD37DB4"/>
    <w:rsid w:val="0DDC2BA3"/>
    <w:rsid w:val="0DE242A5"/>
    <w:rsid w:val="0DF465A6"/>
    <w:rsid w:val="0DFE5677"/>
    <w:rsid w:val="0E1409F6"/>
    <w:rsid w:val="0E220B89"/>
    <w:rsid w:val="0E3039A1"/>
    <w:rsid w:val="0E333E3A"/>
    <w:rsid w:val="0E3D2E6B"/>
    <w:rsid w:val="0E401B23"/>
    <w:rsid w:val="0E492FAF"/>
    <w:rsid w:val="0E803068"/>
    <w:rsid w:val="0E850CF5"/>
    <w:rsid w:val="0E862ED2"/>
    <w:rsid w:val="0E8A18A4"/>
    <w:rsid w:val="0E9E3EDE"/>
    <w:rsid w:val="0EC518EB"/>
    <w:rsid w:val="0ECF454E"/>
    <w:rsid w:val="0EE22D8A"/>
    <w:rsid w:val="0EF735EC"/>
    <w:rsid w:val="0EF9511D"/>
    <w:rsid w:val="0F03003B"/>
    <w:rsid w:val="0F127DDC"/>
    <w:rsid w:val="0F1B3A81"/>
    <w:rsid w:val="0F225395"/>
    <w:rsid w:val="0F2A7991"/>
    <w:rsid w:val="0F31231F"/>
    <w:rsid w:val="0F3D077C"/>
    <w:rsid w:val="0F450599"/>
    <w:rsid w:val="0F5229B3"/>
    <w:rsid w:val="0F57276C"/>
    <w:rsid w:val="0F7A251E"/>
    <w:rsid w:val="0F7B2B4A"/>
    <w:rsid w:val="0F7D22E5"/>
    <w:rsid w:val="0F9E2313"/>
    <w:rsid w:val="0FAE55CB"/>
    <w:rsid w:val="0FB27A39"/>
    <w:rsid w:val="0FBC37E4"/>
    <w:rsid w:val="0FC31192"/>
    <w:rsid w:val="0FC63F72"/>
    <w:rsid w:val="0FDD1FAF"/>
    <w:rsid w:val="0FEB5787"/>
    <w:rsid w:val="0FF33AF6"/>
    <w:rsid w:val="0FF857CC"/>
    <w:rsid w:val="0FFA6644"/>
    <w:rsid w:val="0FFD0711"/>
    <w:rsid w:val="100E0CEE"/>
    <w:rsid w:val="10233173"/>
    <w:rsid w:val="10284C2D"/>
    <w:rsid w:val="102B2962"/>
    <w:rsid w:val="102C006F"/>
    <w:rsid w:val="104D6442"/>
    <w:rsid w:val="105E772A"/>
    <w:rsid w:val="106164CC"/>
    <w:rsid w:val="10737E0E"/>
    <w:rsid w:val="107F4121"/>
    <w:rsid w:val="10864BC6"/>
    <w:rsid w:val="10961B97"/>
    <w:rsid w:val="10A71E01"/>
    <w:rsid w:val="10AB4F16"/>
    <w:rsid w:val="10B1734A"/>
    <w:rsid w:val="10BA0075"/>
    <w:rsid w:val="10C85AC8"/>
    <w:rsid w:val="10CC21FA"/>
    <w:rsid w:val="10EA4AB2"/>
    <w:rsid w:val="10EC2887"/>
    <w:rsid w:val="10F72164"/>
    <w:rsid w:val="10FE773C"/>
    <w:rsid w:val="110D5CB2"/>
    <w:rsid w:val="11112249"/>
    <w:rsid w:val="111F377F"/>
    <w:rsid w:val="114E14F4"/>
    <w:rsid w:val="114F61E9"/>
    <w:rsid w:val="115A1E29"/>
    <w:rsid w:val="115E3F3F"/>
    <w:rsid w:val="11621A79"/>
    <w:rsid w:val="116846B2"/>
    <w:rsid w:val="116A035F"/>
    <w:rsid w:val="116A6B46"/>
    <w:rsid w:val="11765524"/>
    <w:rsid w:val="11834E46"/>
    <w:rsid w:val="118539B9"/>
    <w:rsid w:val="11875444"/>
    <w:rsid w:val="118827D9"/>
    <w:rsid w:val="1188798D"/>
    <w:rsid w:val="11970C4B"/>
    <w:rsid w:val="11995F6C"/>
    <w:rsid w:val="11A95278"/>
    <w:rsid w:val="11AF44DF"/>
    <w:rsid w:val="11B97418"/>
    <w:rsid w:val="11C852FC"/>
    <w:rsid w:val="11DB2975"/>
    <w:rsid w:val="11DE6695"/>
    <w:rsid w:val="11E525D9"/>
    <w:rsid w:val="11EA322C"/>
    <w:rsid w:val="11F72CE6"/>
    <w:rsid w:val="11FC0DFE"/>
    <w:rsid w:val="11FF2D51"/>
    <w:rsid w:val="120F3BE5"/>
    <w:rsid w:val="122431D2"/>
    <w:rsid w:val="122951DD"/>
    <w:rsid w:val="12356DF0"/>
    <w:rsid w:val="123B7DDD"/>
    <w:rsid w:val="127759F8"/>
    <w:rsid w:val="127777A6"/>
    <w:rsid w:val="12C0114D"/>
    <w:rsid w:val="12CF0657"/>
    <w:rsid w:val="12DE1A1A"/>
    <w:rsid w:val="12E95249"/>
    <w:rsid w:val="12EC7F09"/>
    <w:rsid w:val="12F1671E"/>
    <w:rsid w:val="12F428BA"/>
    <w:rsid w:val="12F44FF7"/>
    <w:rsid w:val="12FE2ECF"/>
    <w:rsid w:val="13022D63"/>
    <w:rsid w:val="13200CAC"/>
    <w:rsid w:val="13426006"/>
    <w:rsid w:val="134C3F41"/>
    <w:rsid w:val="134E40D7"/>
    <w:rsid w:val="13511013"/>
    <w:rsid w:val="135C3DD4"/>
    <w:rsid w:val="135C7002"/>
    <w:rsid w:val="137C6674"/>
    <w:rsid w:val="137D7A57"/>
    <w:rsid w:val="13802370"/>
    <w:rsid w:val="13840695"/>
    <w:rsid w:val="13962258"/>
    <w:rsid w:val="139A6D7A"/>
    <w:rsid w:val="13AF2F6F"/>
    <w:rsid w:val="13AF6871"/>
    <w:rsid w:val="13BD3CAF"/>
    <w:rsid w:val="13D50C28"/>
    <w:rsid w:val="13DA5DE9"/>
    <w:rsid w:val="13E7075D"/>
    <w:rsid w:val="13EA1322"/>
    <w:rsid w:val="13EC5F71"/>
    <w:rsid w:val="13EF0A3E"/>
    <w:rsid w:val="13F33946"/>
    <w:rsid w:val="14042263"/>
    <w:rsid w:val="141745DC"/>
    <w:rsid w:val="141C5347"/>
    <w:rsid w:val="14326E04"/>
    <w:rsid w:val="144072C9"/>
    <w:rsid w:val="14454B8B"/>
    <w:rsid w:val="14593607"/>
    <w:rsid w:val="145F2E2A"/>
    <w:rsid w:val="14702016"/>
    <w:rsid w:val="147142B4"/>
    <w:rsid w:val="14725E70"/>
    <w:rsid w:val="148E0ACB"/>
    <w:rsid w:val="149F31A0"/>
    <w:rsid w:val="14A95C11"/>
    <w:rsid w:val="14AB1989"/>
    <w:rsid w:val="14B118C5"/>
    <w:rsid w:val="14B415E1"/>
    <w:rsid w:val="14C8253B"/>
    <w:rsid w:val="14CA62B3"/>
    <w:rsid w:val="14D43BDB"/>
    <w:rsid w:val="14D92F35"/>
    <w:rsid w:val="14DD4590"/>
    <w:rsid w:val="14DE4E22"/>
    <w:rsid w:val="14E40FC0"/>
    <w:rsid w:val="14F57E7D"/>
    <w:rsid w:val="150D257F"/>
    <w:rsid w:val="15152C81"/>
    <w:rsid w:val="151B44F0"/>
    <w:rsid w:val="152E2DCC"/>
    <w:rsid w:val="152F512D"/>
    <w:rsid w:val="153017B9"/>
    <w:rsid w:val="153674A4"/>
    <w:rsid w:val="153B570B"/>
    <w:rsid w:val="153D79E2"/>
    <w:rsid w:val="15557480"/>
    <w:rsid w:val="15574E0D"/>
    <w:rsid w:val="155D79E7"/>
    <w:rsid w:val="157506FC"/>
    <w:rsid w:val="15787ABD"/>
    <w:rsid w:val="15914050"/>
    <w:rsid w:val="15997A33"/>
    <w:rsid w:val="159D5775"/>
    <w:rsid w:val="15A46B04"/>
    <w:rsid w:val="15C251DC"/>
    <w:rsid w:val="15C56A7A"/>
    <w:rsid w:val="15D54884"/>
    <w:rsid w:val="15D90517"/>
    <w:rsid w:val="15F1546C"/>
    <w:rsid w:val="160547D6"/>
    <w:rsid w:val="16192B5E"/>
    <w:rsid w:val="161C40B5"/>
    <w:rsid w:val="1620626D"/>
    <w:rsid w:val="162177DE"/>
    <w:rsid w:val="16287BB0"/>
    <w:rsid w:val="16290510"/>
    <w:rsid w:val="162C71B2"/>
    <w:rsid w:val="16436BE6"/>
    <w:rsid w:val="16445414"/>
    <w:rsid w:val="16467CC8"/>
    <w:rsid w:val="165D579D"/>
    <w:rsid w:val="165F2BDF"/>
    <w:rsid w:val="16606B2E"/>
    <w:rsid w:val="16615188"/>
    <w:rsid w:val="16720653"/>
    <w:rsid w:val="16730A7D"/>
    <w:rsid w:val="16740020"/>
    <w:rsid w:val="167A2080"/>
    <w:rsid w:val="168E46B6"/>
    <w:rsid w:val="168F7E12"/>
    <w:rsid w:val="16A87CE1"/>
    <w:rsid w:val="16B7318B"/>
    <w:rsid w:val="16CB4564"/>
    <w:rsid w:val="16CB6312"/>
    <w:rsid w:val="16CB7408"/>
    <w:rsid w:val="16E021C2"/>
    <w:rsid w:val="16EA49EA"/>
    <w:rsid w:val="16EA7343"/>
    <w:rsid w:val="16F969DB"/>
    <w:rsid w:val="16FA2B66"/>
    <w:rsid w:val="17082F16"/>
    <w:rsid w:val="17133B9F"/>
    <w:rsid w:val="17213D1A"/>
    <w:rsid w:val="17233A58"/>
    <w:rsid w:val="172C4239"/>
    <w:rsid w:val="173739A8"/>
    <w:rsid w:val="174D3358"/>
    <w:rsid w:val="175956CC"/>
    <w:rsid w:val="176214A7"/>
    <w:rsid w:val="176A780D"/>
    <w:rsid w:val="1780366E"/>
    <w:rsid w:val="17845DA0"/>
    <w:rsid w:val="179E277E"/>
    <w:rsid w:val="179E3336"/>
    <w:rsid w:val="17A34B99"/>
    <w:rsid w:val="17BC177E"/>
    <w:rsid w:val="17BE3B1C"/>
    <w:rsid w:val="17CF3BE0"/>
    <w:rsid w:val="17E02D31"/>
    <w:rsid w:val="17EC76E6"/>
    <w:rsid w:val="17F14C98"/>
    <w:rsid w:val="17F66A50"/>
    <w:rsid w:val="18061007"/>
    <w:rsid w:val="18074726"/>
    <w:rsid w:val="18080A9E"/>
    <w:rsid w:val="18296253"/>
    <w:rsid w:val="182A7068"/>
    <w:rsid w:val="18395DE4"/>
    <w:rsid w:val="186711FD"/>
    <w:rsid w:val="188D1AD1"/>
    <w:rsid w:val="18954E2A"/>
    <w:rsid w:val="18A56142"/>
    <w:rsid w:val="18AC23B2"/>
    <w:rsid w:val="18AF38AF"/>
    <w:rsid w:val="18C1177B"/>
    <w:rsid w:val="18C72EE1"/>
    <w:rsid w:val="18D32287"/>
    <w:rsid w:val="18D70F9E"/>
    <w:rsid w:val="18E47F7A"/>
    <w:rsid w:val="18ED538B"/>
    <w:rsid w:val="18F06F9F"/>
    <w:rsid w:val="18FA7903"/>
    <w:rsid w:val="18FC0A05"/>
    <w:rsid w:val="18FC3FD1"/>
    <w:rsid w:val="18FF73A6"/>
    <w:rsid w:val="190F698A"/>
    <w:rsid w:val="19115C01"/>
    <w:rsid w:val="19144AA9"/>
    <w:rsid w:val="191A45C5"/>
    <w:rsid w:val="19266DE4"/>
    <w:rsid w:val="192F2566"/>
    <w:rsid w:val="193B777F"/>
    <w:rsid w:val="193F7065"/>
    <w:rsid w:val="194E0081"/>
    <w:rsid w:val="195818CC"/>
    <w:rsid w:val="19581DBC"/>
    <w:rsid w:val="195B397D"/>
    <w:rsid w:val="195F6609"/>
    <w:rsid w:val="197D7D98"/>
    <w:rsid w:val="19904D7A"/>
    <w:rsid w:val="19A215AC"/>
    <w:rsid w:val="19AF15A8"/>
    <w:rsid w:val="19CC4C5A"/>
    <w:rsid w:val="19D706F0"/>
    <w:rsid w:val="19D83035"/>
    <w:rsid w:val="19D87710"/>
    <w:rsid w:val="19EF7068"/>
    <w:rsid w:val="19FB0CBC"/>
    <w:rsid w:val="1A101888"/>
    <w:rsid w:val="1A1D6E85"/>
    <w:rsid w:val="1A2A3728"/>
    <w:rsid w:val="1A31307B"/>
    <w:rsid w:val="1A341559"/>
    <w:rsid w:val="1A3F329F"/>
    <w:rsid w:val="1A441CBC"/>
    <w:rsid w:val="1A4E6B9D"/>
    <w:rsid w:val="1A512009"/>
    <w:rsid w:val="1A512FD2"/>
    <w:rsid w:val="1A566CC7"/>
    <w:rsid w:val="1A6D5C1B"/>
    <w:rsid w:val="1A7A6085"/>
    <w:rsid w:val="1A8644CD"/>
    <w:rsid w:val="1A870F73"/>
    <w:rsid w:val="1A9234DA"/>
    <w:rsid w:val="1A9B2530"/>
    <w:rsid w:val="1A9F3D3E"/>
    <w:rsid w:val="1AA569B7"/>
    <w:rsid w:val="1AAB190A"/>
    <w:rsid w:val="1AAE000B"/>
    <w:rsid w:val="1AB3650A"/>
    <w:rsid w:val="1ABD5F72"/>
    <w:rsid w:val="1ACB1C1D"/>
    <w:rsid w:val="1ADA6788"/>
    <w:rsid w:val="1AE41750"/>
    <w:rsid w:val="1AF71484"/>
    <w:rsid w:val="1AF916A0"/>
    <w:rsid w:val="1AFA2B1C"/>
    <w:rsid w:val="1AFC48D2"/>
    <w:rsid w:val="1B057A55"/>
    <w:rsid w:val="1B216501"/>
    <w:rsid w:val="1B261D1F"/>
    <w:rsid w:val="1B285AE1"/>
    <w:rsid w:val="1B397CEE"/>
    <w:rsid w:val="1B481CDF"/>
    <w:rsid w:val="1B666609"/>
    <w:rsid w:val="1B68216E"/>
    <w:rsid w:val="1B6F77A7"/>
    <w:rsid w:val="1B704CD6"/>
    <w:rsid w:val="1B78673F"/>
    <w:rsid w:val="1B817D0B"/>
    <w:rsid w:val="1B8721E3"/>
    <w:rsid w:val="1B89014D"/>
    <w:rsid w:val="1B9736CA"/>
    <w:rsid w:val="1BA07D6D"/>
    <w:rsid w:val="1BB33E80"/>
    <w:rsid w:val="1BD05A6D"/>
    <w:rsid w:val="1BD208B0"/>
    <w:rsid w:val="1BD6575E"/>
    <w:rsid w:val="1BD85D3B"/>
    <w:rsid w:val="1BE7774A"/>
    <w:rsid w:val="1BED0AD9"/>
    <w:rsid w:val="1BF155D3"/>
    <w:rsid w:val="1C0301DF"/>
    <w:rsid w:val="1C041B50"/>
    <w:rsid w:val="1C0804E7"/>
    <w:rsid w:val="1C134F27"/>
    <w:rsid w:val="1C1B04AC"/>
    <w:rsid w:val="1C1E24F0"/>
    <w:rsid w:val="1C250273"/>
    <w:rsid w:val="1C4E77C9"/>
    <w:rsid w:val="1C4F3541"/>
    <w:rsid w:val="1C5115AF"/>
    <w:rsid w:val="1C59360F"/>
    <w:rsid w:val="1C5A616E"/>
    <w:rsid w:val="1C5B0F48"/>
    <w:rsid w:val="1C5E5533"/>
    <w:rsid w:val="1C7F44D1"/>
    <w:rsid w:val="1C8A6A1B"/>
    <w:rsid w:val="1CA069B8"/>
    <w:rsid w:val="1CA70C88"/>
    <w:rsid w:val="1CA73881"/>
    <w:rsid w:val="1CBA44B6"/>
    <w:rsid w:val="1CBC6A50"/>
    <w:rsid w:val="1CC15E4F"/>
    <w:rsid w:val="1D0716B9"/>
    <w:rsid w:val="1D1638A0"/>
    <w:rsid w:val="1D372DD4"/>
    <w:rsid w:val="1D386B0A"/>
    <w:rsid w:val="1D39665B"/>
    <w:rsid w:val="1D3F4E5A"/>
    <w:rsid w:val="1D453B92"/>
    <w:rsid w:val="1D49325F"/>
    <w:rsid w:val="1D54432D"/>
    <w:rsid w:val="1D581B14"/>
    <w:rsid w:val="1D682B0D"/>
    <w:rsid w:val="1D7066B8"/>
    <w:rsid w:val="1D781AB8"/>
    <w:rsid w:val="1D7E40DE"/>
    <w:rsid w:val="1D7E5E8C"/>
    <w:rsid w:val="1D873EC6"/>
    <w:rsid w:val="1DA444AF"/>
    <w:rsid w:val="1DA9553A"/>
    <w:rsid w:val="1DAF4B38"/>
    <w:rsid w:val="1DB06DBB"/>
    <w:rsid w:val="1DC71769"/>
    <w:rsid w:val="1DCD2970"/>
    <w:rsid w:val="1DD4347C"/>
    <w:rsid w:val="1DD75FE1"/>
    <w:rsid w:val="1DD866A7"/>
    <w:rsid w:val="1DE51A7A"/>
    <w:rsid w:val="1DE83465"/>
    <w:rsid w:val="1DEC0FD1"/>
    <w:rsid w:val="1E055F60"/>
    <w:rsid w:val="1E0E6858"/>
    <w:rsid w:val="1E1862E1"/>
    <w:rsid w:val="1E1C5274"/>
    <w:rsid w:val="1E1F64E2"/>
    <w:rsid w:val="1E3E3F2B"/>
    <w:rsid w:val="1E3E73CA"/>
    <w:rsid w:val="1E4273A0"/>
    <w:rsid w:val="1E4708BE"/>
    <w:rsid w:val="1E5368CC"/>
    <w:rsid w:val="1E5B402C"/>
    <w:rsid w:val="1E72251E"/>
    <w:rsid w:val="1E7F3375"/>
    <w:rsid w:val="1E857EE0"/>
    <w:rsid w:val="1E9549C8"/>
    <w:rsid w:val="1E960FB4"/>
    <w:rsid w:val="1E9C0FD7"/>
    <w:rsid w:val="1EA27733"/>
    <w:rsid w:val="1EA71441"/>
    <w:rsid w:val="1EAC07D7"/>
    <w:rsid w:val="1EB06519"/>
    <w:rsid w:val="1EBB6C6C"/>
    <w:rsid w:val="1EC624AA"/>
    <w:rsid w:val="1ECF3BA1"/>
    <w:rsid w:val="1EDB57B8"/>
    <w:rsid w:val="1F137241"/>
    <w:rsid w:val="1F272EF3"/>
    <w:rsid w:val="1F354FC8"/>
    <w:rsid w:val="1F474417"/>
    <w:rsid w:val="1F6B41EE"/>
    <w:rsid w:val="1F703EFB"/>
    <w:rsid w:val="1F731164"/>
    <w:rsid w:val="1F7801F4"/>
    <w:rsid w:val="1F821D86"/>
    <w:rsid w:val="1F861028"/>
    <w:rsid w:val="1FA04A06"/>
    <w:rsid w:val="1FA051B1"/>
    <w:rsid w:val="1FA90B83"/>
    <w:rsid w:val="1FAA5281"/>
    <w:rsid w:val="1FBC5A21"/>
    <w:rsid w:val="1FBE4C66"/>
    <w:rsid w:val="1FC35DD8"/>
    <w:rsid w:val="1FD224BF"/>
    <w:rsid w:val="1FE01BF2"/>
    <w:rsid w:val="1FE673DA"/>
    <w:rsid w:val="1FE741BD"/>
    <w:rsid w:val="1FF05A00"/>
    <w:rsid w:val="1FF103F0"/>
    <w:rsid w:val="20005C3E"/>
    <w:rsid w:val="2003689F"/>
    <w:rsid w:val="200C1FD7"/>
    <w:rsid w:val="2013229F"/>
    <w:rsid w:val="202A0BEF"/>
    <w:rsid w:val="204B3BA5"/>
    <w:rsid w:val="205E77A8"/>
    <w:rsid w:val="20665ACC"/>
    <w:rsid w:val="20676614"/>
    <w:rsid w:val="207035BF"/>
    <w:rsid w:val="207672EF"/>
    <w:rsid w:val="20780877"/>
    <w:rsid w:val="208F1E42"/>
    <w:rsid w:val="20B1574E"/>
    <w:rsid w:val="20B87907"/>
    <w:rsid w:val="20BB3BCD"/>
    <w:rsid w:val="20BD49E5"/>
    <w:rsid w:val="20C02A8E"/>
    <w:rsid w:val="20C12A4D"/>
    <w:rsid w:val="20C938C2"/>
    <w:rsid w:val="20D719F1"/>
    <w:rsid w:val="20DF4E94"/>
    <w:rsid w:val="21026DD4"/>
    <w:rsid w:val="210466A8"/>
    <w:rsid w:val="21066A24"/>
    <w:rsid w:val="210E7DC4"/>
    <w:rsid w:val="211803A6"/>
    <w:rsid w:val="211C60E8"/>
    <w:rsid w:val="21210FCF"/>
    <w:rsid w:val="212906CA"/>
    <w:rsid w:val="2129448C"/>
    <w:rsid w:val="212E3396"/>
    <w:rsid w:val="21336F8E"/>
    <w:rsid w:val="21400B25"/>
    <w:rsid w:val="214F070A"/>
    <w:rsid w:val="21504889"/>
    <w:rsid w:val="21511091"/>
    <w:rsid w:val="21644AD8"/>
    <w:rsid w:val="216A59FA"/>
    <w:rsid w:val="21716238"/>
    <w:rsid w:val="21867BCC"/>
    <w:rsid w:val="218D304A"/>
    <w:rsid w:val="219043E0"/>
    <w:rsid w:val="219915D3"/>
    <w:rsid w:val="219C4B33"/>
    <w:rsid w:val="219D45B2"/>
    <w:rsid w:val="21A53EDC"/>
    <w:rsid w:val="21A672A2"/>
    <w:rsid w:val="21AD6D40"/>
    <w:rsid w:val="21B34A0E"/>
    <w:rsid w:val="21B92F19"/>
    <w:rsid w:val="21BC28A6"/>
    <w:rsid w:val="21C329A3"/>
    <w:rsid w:val="21C61BB0"/>
    <w:rsid w:val="21D73DBD"/>
    <w:rsid w:val="21D97A24"/>
    <w:rsid w:val="21DE15EF"/>
    <w:rsid w:val="21E56FBC"/>
    <w:rsid w:val="21FA005D"/>
    <w:rsid w:val="21FB12EC"/>
    <w:rsid w:val="2200396C"/>
    <w:rsid w:val="220137C3"/>
    <w:rsid w:val="221A1C96"/>
    <w:rsid w:val="222608A0"/>
    <w:rsid w:val="224F6446"/>
    <w:rsid w:val="225861FF"/>
    <w:rsid w:val="2269726E"/>
    <w:rsid w:val="226C4FAD"/>
    <w:rsid w:val="22737F8A"/>
    <w:rsid w:val="2277389B"/>
    <w:rsid w:val="22943A5C"/>
    <w:rsid w:val="229F47AE"/>
    <w:rsid w:val="22A27797"/>
    <w:rsid w:val="22BA517B"/>
    <w:rsid w:val="22C22251"/>
    <w:rsid w:val="22C8691D"/>
    <w:rsid w:val="22D017AB"/>
    <w:rsid w:val="22D3233B"/>
    <w:rsid w:val="22E25839"/>
    <w:rsid w:val="22F050FA"/>
    <w:rsid w:val="22F62FD0"/>
    <w:rsid w:val="22FF181D"/>
    <w:rsid w:val="22FF2F4A"/>
    <w:rsid w:val="231C1D57"/>
    <w:rsid w:val="231F40E3"/>
    <w:rsid w:val="232C7632"/>
    <w:rsid w:val="2333170A"/>
    <w:rsid w:val="234731C4"/>
    <w:rsid w:val="234A2DC3"/>
    <w:rsid w:val="235A6F13"/>
    <w:rsid w:val="237F1E99"/>
    <w:rsid w:val="23BC6D45"/>
    <w:rsid w:val="23D438D3"/>
    <w:rsid w:val="23FA6243"/>
    <w:rsid w:val="23FC16C5"/>
    <w:rsid w:val="23FD21A6"/>
    <w:rsid w:val="24096C1E"/>
    <w:rsid w:val="240B41F2"/>
    <w:rsid w:val="241124F4"/>
    <w:rsid w:val="2432073F"/>
    <w:rsid w:val="243454F7"/>
    <w:rsid w:val="243C25FD"/>
    <w:rsid w:val="2442787A"/>
    <w:rsid w:val="24493ED0"/>
    <w:rsid w:val="244B45EE"/>
    <w:rsid w:val="2452597D"/>
    <w:rsid w:val="245F009A"/>
    <w:rsid w:val="247450BF"/>
    <w:rsid w:val="247C0C4C"/>
    <w:rsid w:val="248458D3"/>
    <w:rsid w:val="248C2B1F"/>
    <w:rsid w:val="2492221D"/>
    <w:rsid w:val="24922F33"/>
    <w:rsid w:val="2494490F"/>
    <w:rsid w:val="249E2A8A"/>
    <w:rsid w:val="24AF30EF"/>
    <w:rsid w:val="24B55C66"/>
    <w:rsid w:val="24B959FC"/>
    <w:rsid w:val="24C31ACA"/>
    <w:rsid w:val="24C37822"/>
    <w:rsid w:val="24C979B7"/>
    <w:rsid w:val="24CD065E"/>
    <w:rsid w:val="24D228AC"/>
    <w:rsid w:val="24DA05C1"/>
    <w:rsid w:val="24DD793C"/>
    <w:rsid w:val="24DE282F"/>
    <w:rsid w:val="24F133E8"/>
    <w:rsid w:val="2502156D"/>
    <w:rsid w:val="250234C2"/>
    <w:rsid w:val="250B5C95"/>
    <w:rsid w:val="2516370B"/>
    <w:rsid w:val="25180EB9"/>
    <w:rsid w:val="251B09CD"/>
    <w:rsid w:val="252C2926"/>
    <w:rsid w:val="25427164"/>
    <w:rsid w:val="254774AC"/>
    <w:rsid w:val="254C6870"/>
    <w:rsid w:val="25525D92"/>
    <w:rsid w:val="25527D56"/>
    <w:rsid w:val="255B191F"/>
    <w:rsid w:val="2560231B"/>
    <w:rsid w:val="2563572A"/>
    <w:rsid w:val="25637736"/>
    <w:rsid w:val="256B521B"/>
    <w:rsid w:val="25876A82"/>
    <w:rsid w:val="258E0C37"/>
    <w:rsid w:val="25A26B04"/>
    <w:rsid w:val="25AE478C"/>
    <w:rsid w:val="25B74631"/>
    <w:rsid w:val="25B90919"/>
    <w:rsid w:val="25BD5676"/>
    <w:rsid w:val="25E62821"/>
    <w:rsid w:val="262E41C8"/>
    <w:rsid w:val="26301CEE"/>
    <w:rsid w:val="263B2C60"/>
    <w:rsid w:val="26411C1D"/>
    <w:rsid w:val="264F4D24"/>
    <w:rsid w:val="264F6F26"/>
    <w:rsid w:val="265453C2"/>
    <w:rsid w:val="26567ACD"/>
    <w:rsid w:val="266876DA"/>
    <w:rsid w:val="2673570E"/>
    <w:rsid w:val="267C5888"/>
    <w:rsid w:val="26812549"/>
    <w:rsid w:val="269D649F"/>
    <w:rsid w:val="26A175D7"/>
    <w:rsid w:val="26A716AA"/>
    <w:rsid w:val="26B464FA"/>
    <w:rsid w:val="26BE379D"/>
    <w:rsid w:val="26C16DEA"/>
    <w:rsid w:val="26C94FDE"/>
    <w:rsid w:val="26D3098E"/>
    <w:rsid w:val="26DA7CB3"/>
    <w:rsid w:val="26E50D2A"/>
    <w:rsid w:val="26EA5725"/>
    <w:rsid w:val="26EF599B"/>
    <w:rsid w:val="2714160F"/>
    <w:rsid w:val="271E227A"/>
    <w:rsid w:val="2724421E"/>
    <w:rsid w:val="272D5531"/>
    <w:rsid w:val="272F1AD3"/>
    <w:rsid w:val="27363334"/>
    <w:rsid w:val="273643E9"/>
    <w:rsid w:val="2741157D"/>
    <w:rsid w:val="2741315F"/>
    <w:rsid w:val="276111FD"/>
    <w:rsid w:val="27637EA1"/>
    <w:rsid w:val="277A6660"/>
    <w:rsid w:val="27914A0E"/>
    <w:rsid w:val="279B1B14"/>
    <w:rsid w:val="27A249CA"/>
    <w:rsid w:val="27C77490"/>
    <w:rsid w:val="27E93443"/>
    <w:rsid w:val="27F64177"/>
    <w:rsid w:val="27F81D1A"/>
    <w:rsid w:val="27FA6D9B"/>
    <w:rsid w:val="28046D84"/>
    <w:rsid w:val="28211030"/>
    <w:rsid w:val="28324128"/>
    <w:rsid w:val="28463A4A"/>
    <w:rsid w:val="28486025"/>
    <w:rsid w:val="286B5532"/>
    <w:rsid w:val="28723EDB"/>
    <w:rsid w:val="287560DE"/>
    <w:rsid w:val="287D0A7D"/>
    <w:rsid w:val="288F52D5"/>
    <w:rsid w:val="28C3509B"/>
    <w:rsid w:val="28C55E0E"/>
    <w:rsid w:val="28CF3A40"/>
    <w:rsid w:val="28E5527A"/>
    <w:rsid w:val="28ED30E6"/>
    <w:rsid w:val="29162571"/>
    <w:rsid w:val="29193321"/>
    <w:rsid w:val="291D38AE"/>
    <w:rsid w:val="29216A36"/>
    <w:rsid w:val="29225D1F"/>
    <w:rsid w:val="29234A57"/>
    <w:rsid w:val="29321FE3"/>
    <w:rsid w:val="29476C8B"/>
    <w:rsid w:val="294E725A"/>
    <w:rsid w:val="294F58C1"/>
    <w:rsid w:val="29526C4F"/>
    <w:rsid w:val="29551B41"/>
    <w:rsid w:val="295558E1"/>
    <w:rsid w:val="29572E0D"/>
    <w:rsid w:val="29654128"/>
    <w:rsid w:val="297E7D49"/>
    <w:rsid w:val="29803570"/>
    <w:rsid w:val="298A7BDE"/>
    <w:rsid w:val="299F78B6"/>
    <w:rsid w:val="29AC3EFF"/>
    <w:rsid w:val="29B95570"/>
    <w:rsid w:val="29CA2459"/>
    <w:rsid w:val="29CF4CDE"/>
    <w:rsid w:val="29DB69C4"/>
    <w:rsid w:val="29E40114"/>
    <w:rsid w:val="29E40CC9"/>
    <w:rsid w:val="29EE601C"/>
    <w:rsid w:val="29FE32E9"/>
    <w:rsid w:val="2A0D1602"/>
    <w:rsid w:val="2A107869"/>
    <w:rsid w:val="2A141291"/>
    <w:rsid w:val="2A1425C1"/>
    <w:rsid w:val="2A17665E"/>
    <w:rsid w:val="2A27165A"/>
    <w:rsid w:val="2A2B1C4F"/>
    <w:rsid w:val="2A2E1A72"/>
    <w:rsid w:val="2A3519F9"/>
    <w:rsid w:val="2A35592E"/>
    <w:rsid w:val="2A470BC4"/>
    <w:rsid w:val="2A4724D2"/>
    <w:rsid w:val="2A557F75"/>
    <w:rsid w:val="2A5F5F98"/>
    <w:rsid w:val="2A707F39"/>
    <w:rsid w:val="2A7279D5"/>
    <w:rsid w:val="2A750617"/>
    <w:rsid w:val="2A77613D"/>
    <w:rsid w:val="2A7B5DC7"/>
    <w:rsid w:val="2A825F5D"/>
    <w:rsid w:val="2A862EB1"/>
    <w:rsid w:val="2A9747B3"/>
    <w:rsid w:val="2AAA6513"/>
    <w:rsid w:val="2AC221EF"/>
    <w:rsid w:val="2ACB1A84"/>
    <w:rsid w:val="2ACB7330"/>
    <w:rsid w:val="2AD479BA"/>
    <w:rsid w:val="2AD970ED"/>
    <w:rsid w:val="2AEA3820"/>
    <w:rsid w:val="2AEC01AB"/>
    <w:rsid w:val="2AEDA948"/>
    <w:rsid w:val="2B06250A"/>
    <w:rsid w:val="2B0D274B"/>
    <w:rsid w:val="2B0D5CD3"/>
    <w:rsid w:val="2B0D6AA1"/>
    <w:rsid w:val="2B17347C"/>
    <w:rsid w:val="2B451595"/>
    <w:rsid w:val="2B4D50E5"/>
    <w:rsid w:val="2B504399"/>
    <w:rsid w:val="2B5A2BD3"/>
    <w:rsid w:val="2B5D3585"/>
    <w:rsid w:val="2B720F78"/>
    <w:rsid w:val="2B78175F"/>
    <w:rsid w:val="2B853912"/>
    <w:rsid w:val="2B9039C7"/>
    <w:rsid w:val="2BBB64FD"/>
    <w:rsid w:val="2BBE72BF"/>
    <w:rsid w:val="2BBF5FEE"/>
    <w:rsid w:val="2BC359F4"/>
    <w:rsid w:val="2BC44D33"/>
    <w:rsid w:val="2BCC24B9"/>
    <w:rsid w:val="2BE772F2"/>
    <w:rsid w:val="2BF87E7B"/>
    <w:rsid w:val="2BFA65AF"/>
    <w:rsid w:val="2BFF422E"/>
    <w:rsid w:val="2C02412C"/>
    <w:rsid w:val="2C134AC9"/>
    <w:rsid w:val="2C2119A9"/>
    <w:rsid w:val="2C273B03"/>
    <w:rsid w:val="2C315922"/>
    <w:rsid w:val="2C3B063C"/>
    <w:rsid w:val="2C487112"/>
    <w:rsid w:val="2C51791C"/>
    <w:rsid w:val="2C6375F7"/>
    <w:rsid w:val="2C6D06DB"/>
    <w:rsid w:val="2C7F42D3"/>
    <w:rsid w:val="2C815D81"/>
    <w:rsid w:val="2C8D59A4"/>
    <w:rsid w:val="2C9438FF"/>
    <w:rsid w:val="2C9841CC"/>
    <w:rsid w:val="2C9D7CDC"/>
    <w:rsid w:val="2CA04AAC"/>
    <w:rsid w:val="2CA1763D"/>
    <w:rsid w:val="2CA74D32"/>
    <w:rsid w:val="2CAC4218"/>
    <w:rsid w:val="2CC075E0"/>
    <w:rsid w:val="2CD37E94"/>
    <w:rsid w:val="2CDF46B1"/>
    <w:rsid w:val="2CED0939"/>
    <w:rsid w:val="2CF15EED"/>
    <w:rsid w:val="2CF319CD"/>
    <w:rsid w:val="2CF55EFF"/>
    <w:rsid w:val="2D106A69"/>
    <w:rsid w:val="2D3044ED"/>
    <w:rsid w:val="2D3C0623"/>
    <w:rsid w:val="2D406CBA"/>
    <w:rsid w:val="2D4A2971"/>
    <w:rsid w:val="2D4D54EC"/>
    <w:rsid w:val="2D5A0EBB"/>
    <w:rsid w:val="2D5B265D"/>
    <w:rsid w:val="2D811BCE"/>
    <w:rsid w:val="2D83147A"/>
    <w:rsid w:val="2D8F14A1"/>
    <w:rsid w:val="2D8F3AF9"/>
    <w:rsid w:val="2D94069C"/>
    <w:rsid w:val="2DA5032C"/>
    <w:rsid w:val="2DA60EEA"/>
    <w:rsid w:val="2DAA06FA"/>
    <w:rsid w:val="2DB63420"/>
    <w:rsid w:val="2DB7125F"/>
    <w:rsid w:val="2DB87D8C"/>
    <w:rsid w:val="2DD51E07"/>
    <w:rsid w:val="2DDD275B"/>
    <w:rsid w:val="2DDE357F"/>
    <w:rsid w:val="2DE735DA"/>
    <w:rsid w:val="2DF43E01"/>
    <w:rsid w:val="2DFC2B75"/>
    <w:rsid w:val="2E03773F"/>
    <w:rsid w:val="2E304F81"/>
    <w:rsid w:val="2E336E30"/>
    <w:rsid w:val="2E3D31FA"/>
    <w:rsid w:val="2E4909D4"/>
    <w:rsid w:val="2E586EFC"/>
    <w:rsid w:val="2E5909BE"/>
    <w:rsid w:val="2E625C96"/>
    <w:rsid w:val="2E644C2A"/>
    <w:rsid w:val="2E697834"/>
    <w:rsid w:val="2E6C063D"/>
    <w:rsid w:val="2E731A57"/>
    <w:rsid w:val="2E772BB0"/>
    <w:rsid w:val="2E823302"/>
    <w:rsid w:val="2E901932"/>
    <w:rsid w:val="2E975000"/>
    <w:rsid w:val="2E982B26"/>
    <w:rsid w:val="2EC57A49"/>
    <w:rsid w:val="2ECB3349"/>
    <w:rsid w:val="2ECE02F6"/>
    <w:rsid w:val="2ED40002"/>
    <w:rsid w:val="2EDC20CB"/>
    <w:rsid w:val="2EDE49DD"/>
    <w:rsid w:val="2EED4C20"/>
    <w:rsid w:val="2F235B39"/>
    <w:rsid w:val="2F236C79"/>
    <w:rsid w:val="2F2D3DF4"/>
    <w:rsid w:val="2F302550"/>
    <w:rsid w:val="2F324D29"/>
    <w:rsid w:val="2F4319EA"/>
    <w:rsid w:val="2F45327D"/>
    <w:rsid w:val="2F45680A"/>
    <w:rsid w:val="2F487110"/>
    <w:rsid w:val="2F603644"/>
    <w:rsid w:val="2F716EE2"/>
    <w:rsid w:val="2F735768"/>
    <w:rsid w:val="2F7610B9"/>
    <w:rsid w:val="2F7964B4"/>
    <w:rsid w:val="2F8A1AC8"/>
    <w:rsid w:val="2F963509"/>
    <w:rsid w:val="2FA808A6"/>
    <w:rsid w:val="2FA8676C"/>
    <w:rsid w:val="2FAD4710"/>
    <w:rsid w:val="2FBB7BA1"/>
    <w:rsid w:val="2FD0497E"/>
    <w:rsid w:val="2FD23E16"/>
    <w:rsid w:val="2FD25B53"/>
    <w:rsid w:val="2FD6409B"/>
    <w:rsid w:val="2FEE50F3"/>
    <w:rsid w:val="30010B58"/>
    <w:rsid w:val="300A56D7"/>
    <w:rsid w:val="30133F8A"/>
    <w:rsid w:val="301E4C05"/>
    <w:rsid w:val="30226B4B"/>
    <w:rsid w:val="302774A3"/>
    <w:rsid w:val="303871AF"/>
    <w:rsid w:val="303A0349"/>
    <w:rsid w:val="303A11D8"/>
    <w:rsid w:val="304112AF"/>
    <w:rsid w:val="30566F21"/>
    <w:rsid w:val="30710A41"/>
    <w:rsid w:val="307917C8"/>
    <w:rsid w:val="308B6CE7"/>
    <w:rsid w:val="30A5072E"/>
    <w:rsid w:val="30AB5338"/>
    <w:rsid w:val="30AE767C"/>
    <w:rsid w:val="30AF4FF7"/>
    <w:rsid w:val="30C3638E"/>
    <w:rsid w:val="30D43636"/>
    <w:rsid w:val="30D836AE"/>
    <w:rsid w:val="30DC0F43"/>
    <w:rsid w:val="30DC13F0"/>
    <w:rsid w:val="30F23983"/>
    <w:rsid w:val="30F92FE5"/>
    <w:rsid w:val="30FD40AA"/>
    <w:rsid w:val="30FD429A"/>
    <w:rsid w:val="310A5189"/>
    <w:rsid w:val="311914B1"/>
    <w:rsid w:val="311E37B6"/>
    <w:rsid w:val="313127A2"/>
    <w:rsid w:val="31314B0F"/>
    <w:rsid w:val="314174A5"/>
    <w:rsid w:val="31443D36"/>
    <w:rsid w:val="314A1D82"/>
    <w:rsid w:val="314A464F"/>
    <w:rsid w:val="315947EF"/>
    <w:rsid w:val="31611217"/>
    <w:rsid w:val="316B62D0"/>
    <w:rsid w:val="3171695A"/>
    <w:rsid w:val="31794E91"/>
    <w:rsid w:val="318159BF"/>
    <w:rsid w:val="3195152F"/>
    <w:rsid w:val="319544E8"/>
    <w:rsid w:val="31975348"/>
    <w:rsid w:val="31993A22"/>
    <w:rsid w:val="319A0EEB"/>
    <w:rsid w:val="319C62F4"/>
    <w:rsid w:val="31A517E2"/>
    <w:rsid w:val="31AA48F6"/>
    <w:rsid w:val="31B47C77"/>
    <w:rsid w:val="31C01998"/>
    <w:rsid w:val="31C559E0"/>
    <w:rsid w:val="31CB175F"/>
    <w:rsid w:val="31D66C4B"/>
    <w:rsid w:val="31F369F1"/>
    <w:rsid w:val="32020D32"/>
    <w:rsid w:val="320414AA"/>
    <w:rsid w:val="3204479C"/>
    <w:rsid w:val="320F30FF"/>
    <w:rsid w:val="32180206"/>
    <w:rsid w:val="32182B20"/>
    <w:rsid w:val="321B46AA"/>
    <w:rsid w:val="32226669"/>
    <w:rsid w:val="32261F27"/>
    <w:rsid w:val="322A6639"/>
    <w:rsid w:val="324B3F89"/>
    <w:rsid w:val="3250264F"/>
    <w:rsid w:val="325B4596"/>
    <w:rsid w:val="32703589"/>
    <w:rsid w:val="32726352"/>
    <w:rsid w:val="32785148"/>
    <w:rsid w:val="329C2BEC"/>
    <w:rsid w:val="32A4579C"/>
    <w:rsid w:val="32C642FC"/>
    <w:rsid w:val="32C8504E"/>
    <w:rsid w:val="32D40438"/>
    <w:rsid w:val="32DE682A"/>
    <w:rsid w:val="32E04E37"/>
    <w:rsid w:val="32F26CE9"/>
    <w:rsid w:val="330E191A"/>
    <w:rsid w:val="33156AA8"/>
    <w:rsid w:val="33207E7D"/>
    <w:rsid w:val="332335D3"/>
    <w:rsid w:val="332B21BB"/>
    <w:rsid w:val="33304B62"/>
    <w:rsid w:val="33371696"/>
    <w:rsid w:val="33483B2E"/>
    <w:rsid w:val="334D447C"/>
    <w:rsid w:val="33782B6F"/>
    <w:rsid w:val="337E770A"/>
    <w:rsid w:val="33833DA5"/>
    <w:rsid w:val="33875D9F"/>
    <w:rsid w:val="33883049"/>
    <w:rsid w:val="33896EE1"/>
    <w:rsid w:val="338B56E0"/>
    <w:rsid w:val="338D69D1"/>
    <w:rsid w:val="339F6079"/>
    <w:rsid w:val="33AC0475"/>
    <w:rsid w:val="33B026C0"/>
    <w:rsid w:val="33B60C44"/>
    <w:rsid w:val="33B73A4E"/>
    <w:rsid w:val="33CA19D4"/>
    <w:rsid w:val="33D952B5"/>
    <w:rsid w:val="33DE367A"/>
    <w:rsid w:val="33E10ACB"/>
    <w:rsid w:val="33E95046"/>
    <w:rsid w:val="33F53850"/>
    <w:rsid w:val="33F95E15"/>
    <w:rsid w:val="33FB0C02"/>
    <w:rsid w:val="3406659D"/>
    <w:rsid w:val="34066F3C"/>
    <w:rsid w:val="340B3A53"/>
    <w:rsid w:val="340B4EF1"/>
    <w:rsid w:val="340C3D9A"/>
    <w:rsid w:val="341D068F"/>
    <w:rsid w:val="343018AE"/>
    <w:rsid w:val="34316959"/>
    <w:rsid w:val="34337579"/>
    <w:rsid w:val="343B467F"/>
    <w:rsid w:val="34441786"/>
    <w:rsid w:val="344D6161"/>
    <w:rsid w:val="344E2731"/>
    <w:rsid w:val="345B6BC1"/>
    <w:rsid w:val="34621C0C"/>
    <w:rsid w:val="346516EC"/>
    <w:rsid w:val="34685AE6"/>
    <w:rsid w:val="347A51A8"/>
    <w:rsid w:val="349B2BDB"/>
    <w:rsid w:val="34AB3B17"/>
    <w:rsid w:val="34B15BC4"/>
    <w:rsid w:val="34B95D31"/>
    <w:rsid w:val="34BB131C"/>
    <w:rsid w:val="34C630A6"/>
    <w:rsid w:val="34DE1EC7"/>
    <w:rsid w:val="34E40E8C"/>
    <w:rsid w:val="34F115F0"/>
    <w:rsid w:val="35183915"/>
    <w:rsid w:val="35192255"/>
    <w:rsid w:val="351D3437"/>
    <w:rsid w:val="35287FAE"/>
    <w:rsid w:val="352B46F4"/>
    <w:rsid w:val="353E11C4"/>
    <w:rsid w:val="354C0701"/>
    <w:rsid w:val="35581B81"/>
    <w:rsid w:val="356E2833"/>
    <w:rsid w:val="357B7805"/>
    <w:rsid w:val="35896F5C"/>
    <w:rsid w:val="358A2DE4"/>
    <w:rsid w:val="359315F8"/>
    <w:rsid w:val="35933EA8"/>
    <w:rsid w:val="35AA1AF8"/>
    <w:rsid w:val="35AC6D6C"/>
    <w:rsid w:val="35BA32B8"/>
    <w:rsid w:val="35C13050"/>
    <w:rsid w:val="35E429BA"/>
    <w:rsid w:val="35FE4C86"/>
    <w:rsid w:val="3608233F"/>
    <w:rsid w:val="363362DB"/>
    <w:rsid w:val="363B2715"/>
    <w:rsid w:val="363E657D"/>
    <w:rsid w:val="36473A40"/>
    <w:rsid w:val="36510EAD"/>
    <w:rsid w:val="366A5161"/>
    <w:rsid w:val="366F1AE0"/>
    <w:rsid w:val="36706BB8"/>
    <w:rsid w:val="3674012D"/>
    <w:rsid w:val="367852F0"/>
    <w:rsid w:val="368E39AF"/>
    <w:rsid w:val="36910587"/>
    <w:rsid w:val="36930C84"/>
    <w:rsid w:val="36932551"/>
    <w:rsid w:val="369A304A"/>
    <w:rsid w:val="369E0BFD"/>
    <w:rsid w:val="369F433B"/>
    <w:rsid w:val="36A56302"/>
    <w:rsid w:val="36AD47C6"/>
    <w:rsid w:val="36B349A1"/>
    <w:rsid w:val="36D04A11"/>
    <w:rsid w:val="36F275DB"/>
    <w:rsid w:val="36F823B4"/>
    <w:rsid w:val="37093120"/>
    <w:rsid w:val="37134BE4"/>
    <w:rsid w:val="371948C9"/>
    <w:rsid w:val="371A057C"/>
    <w:rsid w:val="373321D9"/>
    <w:rsid w:val="373B14E6"/>
    <w:rsid w:val="37403A90"/>
    <w:rsid w:val="375A0A59"/>
    <w:rsid w:val="37691FF5"/>
    <w:rsid w:val="376B4967"/>
    <w:rsid w:val="377E4B13"/>
    <w:rsid w:val="3788775C"/>
    <w:rsid w:val="379762ED"/>
    <w:rsid w:val="37A22AA5"/>
    <w:rsid w:val="37C849B6"/>
    <w:rsid w:val="37D30067"/>
    <w:rsid w:val="37DA5CEB"/>
    <w:rsid w:val="37E37A5F"/>
    <w:rsid w:val="37EE0D14"/>
    <w:rsid w:val="37F61973"/>
    <w:rsid w:val="37F62926"/>
    <w:rsid w:val="37F74366"/>
    <w:rsid w:val="37FEB1B5"/>
    <w:rsid w:val="384D4981"/>
    <w:rsid w:val="3855691C"/>
    <w:rsid w:val="385B1ACA"/>
    <w:rsid w:val="386C755C"/>
    <w:rsid w:val="386F0D9D"/>
    <w:rsid w:val="3881100D"/>
    <w:rsid w:val="388D741D"/>
    <w:rsid w:val="38975BFC"/>
    <w:rsid w:val="389B032D"/>
    <w:rsid w:val="389B749B"/>
    <w:rsid w:val="38A01DEE"/>
    <w:rsid w:val="38A51D7C"/>
    <w:rsid w:val="38AA793D"/>
    <w:rsid w:val="38B277DA"/>
    <w:rsid w:val="38B76041"/>
    <w:rsid w:val="38BB5D8F"/>
    <w:rsid w:val="38BD1295"/>
    <w:rsid w:val="38BE5301"/>
    <w:rsid w:val="38CC1D4A"/>
    <w:rsid w:val="38DC1FD6"/>
    <w:rsid w:val="38E17B53"/>
    <w:rsid w:val="38F01AA4"/>
    <w:rsid w:val="38FC4711"/>
    <w:rsid w:val="38FF3ECD"/>
    <w:rsid w:val="390069EE"/>
    <w:rsid w:val="39203E44"/>
    <w:rsid w:val="393E3771"/>
    <w:rsid w:val="394D47A6"/>
    <w:rsid w:val="3961704A"/>
    <w:rsid w:val="39677EBF"/>
    <w:rsid w:val="397228F1"/>
    <w:rsid w:val="397D60AA"/>
    <w:rsid w:val="3988529E"/>
    <w:rsid w:val="398D24B2"/>
    <w:rsid w:val="399A1496"/>
    <w:rsid w:val="399D1DD6"/>
    <w:rsid w:val="39B42F70"/>
    <w:rsid w:val="39B63ECD"/>
    <w:rsid w:val="39BA1BA2"/>
    <w:rsid w:val="39BF540B"/>
    <w:rsid w:val="39C40C73"/>
    <w:rsid w:val="39D32C64"/>
    <w:rsid w:val="39D52796"/>
    <w:rsid w:val="39D6051A"/>
    <w:rsid w:val="39EB1191"/>
    <w:rsid w:val="39ED1F78"/>
    <w:rsid w:val="39FC65CC"/>
    <w:rsid w:val="39FE6F59"/>
    <w:rsid w:val="3A0D4436"/>
    <w:rsid w:val="3A1A0893"/>
    <w:rsid w:val="3A1E3FB3"/>
    <w:rsid w:val="3A2B2AA0"/>
    <w:rsid w:val="3A345DF9"/>
    <w:rsid w:val="3A4526F1"/>
    <w:rsid w:val="3A4B615A"/>
    <w:rsid w:val="3A52002D"/>
    <w:rsid w:val="3A701AE7"/>
    <w:rsid w:val="3A750E6E"/>
    <w:rsid w:val="3A816893"/>
    <w:rsid w:val="3A941C32"/>
    <w:rsid w:val="3AA10BBD"/>
    <w:rsid w:val="3AA83C87"/>
    <w:rsid w:val="3AAA751A"/>
    <w:rsid w:val="3AB5507E"/>
    <w:rsid w:val="3AB67AB0"/>
    <w:rsid w:val="3ABF0579"/>
    <w:rsid w:val="3AC54CA3"/>
    <w:rsid w:val="3AC628CD"/>
    <w:rsid w:val="3AD155DE"/>
    <w:rsid w:val="3AD603BE"/>
    <w:rsid w:val="3ADE7B13"/>
    <w:rsid w:val="3AEF76EC"/>
    <w:rsid w:val="3AF2384C"/>
    <w:rsid w:val="3B002605"/>
    <w:rsid w:val="3B0859D5"/>
    <w:rsid w:val="3B0E070B"/>
    <w:rsid w:val="3B0E7276"/>
    <w:rsid w:val="3B1F2605"/>
    <w:rsid w:val="3B464991"/>
    <w:rsid w:val="3B5A0033"/>
    <w:rsid w:val="3B5C7C11"/>
    <w:rsid w:val="3B6E3567"/>
    <w:rsid w:val="3B744E3E"/>
    <w:rsid w:val="3B8A2A10"/>
    <w:rsid w:val="3B90709B"/>
    <w:rsid w:val="3BA34E54"/>
    <w:rsid w:val="3BA42B0A"/>
    <w:rsid w:val="3BA743A8"/>
    <w:rsid w:val="3BAD45C9"/>
    <w:rsid w:val="3BB80364"/>
    <w:rsid w:val="3BC27434"/>
    <w:rsid w:val="3BC477EF"/>
    <w:rsid w:val="3BD54ECE"/>
    <w:rsid w:val="3BD70EE7"/>
    <w:rsid w:val="3BDA7FB9"/>
    <w:rsid w:val="3BE26336"/>
    <w:rsid w:val="3BF71CBE"/>
    <w:rsid w:val="3BF910A8"/>
    <w:rsid w:val="3BFB25FD"/>
    <w:rsid w:val="3C136345"/>
    <w:rsid w:val="3C1F6635"/>
    <w:rsid w:val="3C260152"/>
    <w:rsid w:val="3C355E58"/>
    <w:rsid w:val="3C452863"/>
    <w:rsid w:val="3C475ECD"/>
    <w:rsid w:val="3C4F3ADC"/>
    <w:rsid w:val="3C5C187A"/>
    <w:rsid w:val="3C7F4555"/>
    <w:rsid w:val="3C853325"/>
    <w:rsid w:val="3C9963E7"/>
    <w:rsid w:val="3C9B5744"/>
    <w:rsid w:val="3CA1704A"/>
    <w:rsid w:val="3CA36B67"/>
    <w:rsid w:val="3CB036B4"/>
    <w:rsid w:val="3CB44FCF"/>
    <w:rsid w:val="3CB939B5"/>
    <w:rsid w:val="3CBC3E83"/>
    <w:rsid w:val="3CC276DE"/>
    <w:rsid w:val="3CD236A7"/>
    <w:rsid w:val="3CEF41BB"/>
    <w:rsid w:val="3CF32FDE"/>
    <w:rsid w:val="3CF570D5"/>
    <w:rsid w:val="3CF61143"/>
    <w:rsid w:val="3CF65D41"/>
    <w:rsid w:val="3CFF78D5"/>
    <w:rsid w:val="3D0113DD"/>
    <w:rsid w:val="3D071835"/>
    <w:rsid w:val="3D0C6BB9"/>
    <w:rsid w:val="3D1141CF"/>
    <w:rsid w:val="3D146A2C"/>
    <w:rsid w:val="3D1D0DC6"/>
    <w:rsid w:val="3D1F4B70"/>
    <w:rsid w:val="3D2427C1"/>
    <w:rsid w:val="3D251A29"/>
    <w:rsid w:val="3D3706E1"/>
    <w:rsid w:val="3D3F3B51"/>
    <w:rsid w:val="3D4A629D"/>
    <w:rsid w:val="3D4C5425"/>
    <w:rsid w:val="3D535A71"/>
    <w:rsid w:val="3D5B0736"/>
    <w:rsid w:val="3D5E0789"/>
    <w:rsid w:val="3D6A1E76"/>
    <w:rsid w:val="3D741468"/>
    <w:rsid w:val="3D944C04"/>
    <w:rsid w:val="3DA908AC"/>
    <w:rsid w:val="3DB14E75"/>
    <w:rsid w:val="3DC276A8"/>
    <w:rsid w:val="3DD00851"/>
    <w:rsid w:val="3DD6037B"/>
    <w:rsid w:val="3DF862BE"/>
    <w:rsid w:val="3DFB09DB"/>
    <w:rsid w:val="3E016DE0"/>
    <w:rsid w:val="3E2524B0"/>
    <w:rsid w:val="3E3B7B31"/>
    <w:rsid w:val="3E407EB6"/>
    <w:rsid w:val="3E41147F"/>
    <w:rsid w:val="3E481508"/>
    <w:rsid w:val="3E522CC8"/>
    <w:rsid w:val="3E5C192C"/>
    <w:rsid w:val="3E6C53A7"/>
    <w:rsid w:val="3E79740F"/>
    <w:rsid w:val="3E826A0A"/>
    <w:rsid w:val="3E854E17"/>
    <w:rsid w:val="3E935747"/>
    <w:rsid w:val="3EA1776C"/>
    <w:rsid w:val="3EB06511"/>
    <w:rsid w:val="3EBC1C11"/>
    <w:rsid w:val="3EC84D62"/>
    <w:rsid w:val="3ECC2AA4"/>
    <w:rsid w:val="3ECD2378"/>
    <w:rsid w:val="3ED9341F"/>
    <w:rsid w:val="3EDDF4FA"/>
    <w:rsid w:val="3EDE239F"/>
    <w:rsid w:val="3EE8198D"/>
    <w:rsid w:val="3EF5367D"/>
    <w:rsid w:val="3EF6D5F8"/>
    <w:rsid w:val="3F001701"/>
    <w:rsid w:val="3F01199F"/>
    <w:rsid w:val="3F014834"/>
    <w:rsid w:val="3F0561CC"/>
    <w:rsid w:val="3F1028FD"/>
    <w:rsid w:val="3F4168C2"/>
    <w:rsid w:val="3F4E21EB"/>
    <w:rsid w:val="3F4F2BC5"/>
    <w:rsid w:val="3F650802"/>
    <w:rsid w:val="3F6F342F"/>
    <w:rsid w:val="3F7B1879"/>
    <w:rsid w:val="3F8C0042"/>
    <w:rsid w:val="3F996DE7"/>
    <w:rsid w:val="3FA47313"/>
    <w:rsid w:val="3FA473F1"/>
    <w:rsid w:val="3FB07CE1"/>
    <w:rsid w:val="3FB92206"/>
    <w:rsid w:val="3FC24032"/>
    <w:rsid w:val="3FCD4E02"/>
    <w:rsid w:val="3FE0008D"/>
    <w:rsid w:val="3FE27F44"/>
    <w:rsid w:val="3FE44DB0"/>
    <w:rsid w:val="402428D4"/>
    <w:rsid w:val="40295C55"/>
    <w:rsid w:val="402B1A4C"/>
    <w:rsid w:val="40300A76"/>
    <w:rsid w:val="4042335E"/>
    <w:rsid w:val="40434D3C"/>
    <w:rsid w:val="40461D6E"/>
    <w:rsid w:val="404F327E"/>
    <w:rsid w:val="40680015"/>
    <w:rsid w:val="406B3BF6"/>
    <w:rsid w:val="406B5A06"/>
    <w:rsid w:val="406F1751"/>
    <w:rsid w:val="40764F3C"/>
    <w:rsid w:val="40BB07EC"/>
    <w:rsid w:val="40BB2DD0"/>
    <w:rsid w:val="40C75330"/>
    <w:rsid w:val="40CA7613"/>
    <w:rsid w:val="40ED7B88"/>
    <w:rsid w:val="40F40090"/>
    <w:rsid w:val="4119401A"/>
    <w:rsid w:val="411D26E5"/>
    <w:rsid w:val="412D35A2"/>
    <w:rsid w:val="41305C04"/>
    <w:rsid w:val="4134318C"/>
    <w:rsid w:val="413E130B"/>
    <w:rsid w:val="414420D7"/>
    <w:rsid w:val="41497185"/>
    <w:rsid w:val="414B6138"/>
    <w:rsid w:val="414C3521"/>
    <w:rsid w:val="41557FD3"/>
    <w:rsid w:val="416430E7"/>
    <w:rsid w:val="41662610"/>
    <w:rsid w:val="416C7A6E"/>
    <w:rsid w:val="417D70A3"/>
    <w:rsid w:val="418740B0"/>
    <w:rsid w:val="419844D8"/>
    <w:rsid w:val="419A0D89"/>
    <w:rsid w:val="41A2034E"/>
    <w:rsid w:val="41A979CC"/>
    <w:rsid w:val="41B240A7"/>
    <w:rsid w:val="41BD4926"/>
    <w:rsid w:val="41BF1229"/>
    <w:rsid w:val="41D536E3"/>
    <w:rsid w:val="41D66AFC"/>
    <w:rsid w:val="41D95FE8"/>
    <w:rsid w:val="41E11CA7"/>
    <w:rsid w:val="41F1648E"/>
    <w:rsid w:val="41F67E38"/>
    <w:rsid w:val="41F8600A"/>
    <w:rsid w:val="41FB544E"/>
    <w:rsid w:val="420014A1"/>
    <w:rsid w:val="420039B6"/>
    <w:rsid w:val="42075BA1"/>
    <w:rsid w:val="421F113C"/>
    <w:rsid w:val="422D2160"/>
    <w:rsid w:val="42396A7D"/>
    <w:rsid w:val="423A69AA"/>
    <w:rsid w:val="423C1CEE"/>
    <w:rsid w:val="42580183"/>
    <w:rsid w:val="426D552C"/>
    <w:rsid w:val="42761FD0"/>
    <w:rsid w:val="427E2307"/>
    <w:rsid w:val="42992FED"/>
    <w:rsid w:val="42A31D6D"/>
    <w:rsid w:val="42AA0088"/>
    <w:rsid w:val="42AF54D9"/>
    <w:rsid w:val="42B51AA1"/>
    <w:rsid w:val="42C03D90"/>
    <w:rsid w:val="42C35F6C"/>
    <w:rsid w:val="42D337E1"/>
    <w:rsid w:val="42EC7954"/>
    <w:rsid w:val="42EF4FB3"/>
    <w:rsid w:val="42F9254F"/>
    <w:rsid w:val="430420E0"/>
    <w:rsid w:val="43090FD9"/>
    <w:rsid w:val="430D0D7E"/>
    <w:rsid w:val="43313A24"/>
    <w:rsid w:val="433C7ACC"/>
    <w:rsid w:val="433D10E2"/>
    <w:rsid w:val="43416A49"/>
    <w:rsid w:val="434E5862"/>
    <w:rsid w:val="43571F15"/>
    <w:rsid w:val="435C75F3"/>
    <w:rsid w:val="43605C65"/>
    <w:rsid w:val="43607C5E"/>
    <w:rsid w:val="43715308"/>
    <w:rsid w:val="439E241F"/>
    <w:rsid w:val="43AA5F6D"/>
    <w:rsid w:val="43B34232"/>
    <w:rsid w:val="43B97DAC"/>
    <w:rsid w:val="43BB6864"/>
    <w:rsid w:val="43C551B1"/>
    <w:rsid w:val="43E01243"/>
    <w:rsid w:val="43F00510"/>
    <w:rsid w:val="440A152E"/>
    <w:rsid w:val="440E76BA"/>
    <w:rsid w:val="44133386"/>
    <w:rsid w:val="44136A7F"/>
    <w:rsid w:val="441427F7"/>
    <w:rsid w:val="442858E1"/>
    <w:rsid w:val="442A5A15"/>
    <w:rsid w:val="4431474F"/>
    <w:rsid w:val="44321313"/>
    <w:rsid w:val="443F7636"/>
    <w:rsid w:val="44466E54"/>
    <w:rsid w:val="44496945"/>
    <w:rsid w:val="445304A3"/>
    <w:rsid w:val="4456696C"/>
    <w:rsid w:val="445A46AE"/>
    <w:rsid w:val="446C6E24"/>
    <w:rsid w:val="447E2A0F"/>
    <w:rsid w:val="448734FB"/>
    <w:rsid w:val="448A411E"/>
    <w:rsid w:val="44915828"/>
    <w:rsid w:val="449920DE"/>
    <w:rsid w:val="449A30DE"/>
    <w:rsid w:val="44A47695"/>
    <w:rsid w:val="44A92F3F"/>
    <w:rsid w:val="44B03A3B"/>
    <w:rsid w:val="44B87626"/>
    <w:rsid w:val="44BE666B"/>
    <w:rsid w:val="44CB735A"/>
    <w:rsid w:val="44D426B2"/>
    <w:rsid w:val="44D9550F"/>
    <w:rsid w:val="4509045F"/>
    <w:rsid w:val="450918B6"/>
    <w:rsid w:val="450A3653"/>
    <w:rsid w:val="450B1E4C"/>
    <w:rsid w:val="45132AAF"/>
    <w:rsid w:val="45137772"/>
    <w:rsid w:val="452717E6"/>
    <w:rsid w:val="452F4F26"/>
    <w:rsid w:val="453F45E2"/>
    <w:rsid w:val="45405345"/>
    <w:rsid w:val="4541761C"/>
    <w:rsid w:val="45463295"/>
    <w:rsid w:val="45473E68"/>
    <w:rsid w:val="456A4DC4"/>
    <w:rsid w:val="45700009"/>
    <w:rsid w:val="457349F1"/>
    <w:rsid w:val="45766101"/>
    <w:rsid w:val="457D2D5C"/>
    <w:rsid w:val="4585575A"/>
    <w:rsid w:val="45875321"/>
    <w:rsid w:val="4588590C"/>
    <w:rsid w:val="459A48A3"/>
    <w:rsid w:val="45A02594"/>
    <w:rsid w:val="45AA3413"/>
    <w:rsid w:val="45AA6CD7"/>
    <w:rsid w:val="45AB5E98"/>
    <w:rsid w:val="45C33153"/>
    <w:rsid w:val="45C513B0"/>
    <w:rsid w:val="45C861FB"/>
    <w:rsid w:val="45CF30C1"/>
    <w:rsid w:val="46014259"/>
    <w:rsid w:val="46027B5A"/>
    <w:rsid w:val="46162856"/>
    <w:rsid w:val="461C5622"/>
    <w:rsid w:val="462678CF"/>
    <w:rsid w:val="463D6035"/>
    <w:rsid w:val="46602401"/>
    <w:rsid w:val="46624B86"/>
    <w:rsid w:val="4664056C"/>
    <w:rsid w:val="4668035E"/>
    <w:rsid w:val="46690BD8"/>
    <w:rsid w:val="46762255"/>
    <w:rsid w:val="4677642B"/>
    <w:rsid w:val="46883415"/>
    <w:rsid w:val="468F73FE"/>
    <w:rsid w:val="469A0BA6"/>
    <w:rsid w:val="46A4761C"/>
    <w:rsid w:val="46AE7BBD"/>
    <w:rsid w:val="46BD0001"/>
    <w:rsid w:val="46CF3BB8"/>
    <w:rsid w:val="46D5626E"/>
    <w:rsid w:val="46D77EAB"/>
    <w:rsid w:val="46E045A5"/>
    <w:rsid w:val="46F45B46"/>
    <w:rsid w:val="46F62080"/>
    <w:rsid w:val="46FC4F20"/>
    <w:rsid w:val="470244D1"/>
    <w:rsid w:val="47270310"/>
    <w:rsid w:val="472C3517"/>
    <w:rsid w:val="473D0A63"/>
    <w:rsid w:val="473F5DDD"/>
    <w:rsid w:val="4740402F"/>
    <w:rsid w:val="47423AE4"/>
    <w:rsid w:val="474412BE"/>
    <w:rsid w:val="474749AC"/>
    <w:rsid w:val="474E7DCE"/>
    <w:rsid w:val="47680E90"/>
    <w:rsid w:val="477517FF"/>
    <w:rsid w:val="4779309D"/>
    <w:rsid w:val="47872571"/>
    <w:rsid w:val="478E4E27"/>
    <w:rsid w:val="479D61EA"/>
    <w:rsid w:val="47B570E5"/>
    <w:rsid w:val="47B922E9"/>
    <w:rsid w:val="47BD2B2E"/>
    <w:rsid w:val="47C36A0E"/>
    <w:rsid w:val="47CC29CB"/>
    <w:rsid w:val="47CC540F"/>
    <w:rsid w:val="47DB229D"/>
    <w:rsid w:val="47FD4576"/>
    <w:rsid w:val="48042B34"/>
    <w:rsid w:val="480745B8"/>
    <w:rsid w:val="48150631"/>
    <w:rsid w:val="4815134F"/>
    <w:rsid w:val="482228FB"/>
    <w:rsid w:val="48271F17"/>
    <w:rsid w:val="48284AC3"/>
    <w:rsid w:val="48304BEE"/>
    <w:rsid w:val="48403BBB"/>
    <w:rsid w:val="48524B0F"/>
    <w:rsid w:val="4867383D"/>
    <w:rsid w:val="48777D12"/>
    <w:rsid w:val="4879081E"/>
    <w:rsid w:val="488F4366"/>
    <w:rsid w:val="489542F3"/>
    <w:rsid w:val="48BD345D"/>
    <w:rsid w:val="48C66FAD"/>
    <w:rsid w:val="48D64530"/>
    <w:rsid w:val="48D86719"/>
    <w:rsid w:val="48E42798"/>
    <w:rsid w:val="48E67994"/>
    <w:rsid w:val="48F32F3B"/>
    <w:rsid w:val="490259A8"/>
    <w:rsid w:val="490C0FD4"/>
    <w:rsid w:val="49132D3B"/>
    <w:rsid w:val="49213FFC"/>
    <w:rsid w:val="49321B27"/>
    <w:rsid w:val="49336632"/>
    <w:rsid w:val="4935600E"/>
    <w:rsid w:val="493D7267"/>
    <w:rsid w:val="49490D50"/>
    <w:rsid w:val="497425E1"/>
    <w:rsid w:val="49767270"/>
    <w:rsid w:val="497C73A0"/>
    <w:rsid w:val="498116C1"/>
    <w:rsid w:val="49976419"/>
    <w:rsid w:val="49997A26"/>
    <w:rsid w:val="499F1C25"/>
    <w:rsid w:val="49A34340"/>
    <w:rsid w:val="49AC50DE"/>
    <w:rsid w:val="49B101C9"/>
    <w:rsid w:val="49B71636"/>
    <w:rsid w:val="49C05A4A"/>
    <w:rsid w:val="49C663D9"/>
    <w:rsid w:val="49E36EF3"/>
    <w:rsid w:val="49E4340C"/>
    <w:rsid w:val="49E83A1E"/>
    <w:rsid w:val="49EA64D4"/>
    <w:rsid w:val="49F673AD"/>
    <w:rsid w:val="49FC1036"/>
    <w:rsid w:val="4A050C18"/>
    <w:rsid w:val="4A171FDA"/>
    <w:rsid w:val="4A194BEE"/>
    <w:rsid w:val="4A1F34F0"/>
    <w:rsid w:val="4A203CA4"/>
    <w:rsid w:val="4A2D2BC2"/>
    <w:rsid w:val="4A3E1DFE"/>
    <w:rsid w:val="4A4E6A63"/>
    <w:rsid w:val="4A4F3F3B"/>
    <w:rsid w:val="4A525E27"/>
    <w:rsid w:val="4A557DC9"/>
    <w:rsid w:val="4A571D1F"/>
    <w:rsid w:val="4A5859B6"/>
    <w:rsid w:val="4A592677"/>
    <w:rsid w:val="4A5E5A7F"/>
    <w:rsid w:val="4A616836"/>
    <w:rsid w:val="4A6F5CAB"/>
    <w:rsid w:val="4A7A61DE"/>
    <w:rsid w:val="4A7B361B"/>
    <w:rsid w:val="4A871F75"/>
    <w:rsid w:val="4A8E24A5"/>
    <w:rsid w:val="4A951FC0"/>
    <w:rsid w:val="4A9B157C"/>
    <w:rsid w:val="4AA523FB"/>
    <w:rsid w:val="4AA85AA1"/>
    <w:rsid w:val="4AAC3CC5"/>
    <w:rsid w:val="4AB074A4"/>
    <w:rsid w:val="4AB8212E"/>
    <w:rsid w:val="4AB859D6"/>
    <w:rsid w:val="4AB97F8F"/>
    <w:rsid w:val="4ABD1BD3"/>
    <w:rsid w:val="4AC170F4"/>
    <w:rsid w:val="4ACE54AE"/>
    <w:rsid w:val="4ADC18E8"/>
    <w:rsid w:val="4ADF520B"/>
    <w:rsid w:val="4AEF530D"/>
    <w:rsid w:val="4B012F2C"/>
    <w:rsid w:val="4B1650A7"/>
    <w:rsid w:val="4B182BCD"/>
    <w:rsid w:val="4B217CD3"/>
    <w:rsid w:val="4B245A16"/>
    <w:rsid w:val="4B3012BB"/>
    <w:rsid w:val="4B4F2A61"/>
    <w:rsid w:val="4B59658C"/>
    <w:rsid w:val="4B6206BA"/>
    <w:rsid w:val="4B7D6ED4"/>
    <w:rsid w:val="4B902655"/>
    <w:rsid w:val="4BA14318"/>
    <w:rsid w:val="4BA426B2"/>
    <w:rsid w:val="4BB5666E"/>
    <w:rsid w:val="4BBD1C23"/>
    <w:rsid w:val="4BC62629"/>
    <w:rsid w:val="4BC75FB4"/>
    <w:rsid w:val="4BCD4F56"/>
    <w:rsid w:val="4BCE3C21"/>
    <w:rsid w:val="4BD73EC3"/>
    <w:rsid w:val="4BDE0179"/>
    <w:rsid w:val="4BE15EC5"/>
    <w:rsid w:val="4BF278C2"/>
    <w:rsid w:val="4BF5731E"/>
    <w:rsid w:val="4C033F52"/>
    <w:rsid w:val="4C0575F5"/>
    <w:rsid w:val="4C3B48FD"/>
    <w:rsid w:val="4C457A46"/>
    <w:rsid w:val="4C57618A"/>
    <w:rsid w:val="4C64349E"/>
    <w:rsid w:val="4C645F0E"/>
    <w:rsid w:val="4C671475"/>
    <w:rsid w:val="4C7B3413"/>
    <w:rsid w:val="4C7E2F03"/>
    <w:rsid w:val="4CA502E9"/>
    <w:rsid w:val="4CB4245A"/>
    <w:rsid w:val="4CBD6FDE"/>
    <w:rsid w:val="4CE87073"/>
    <w:rsid w:val="4CF71222"/>
    <w:rsid w:val="4D0F1C84"/>
    <w:rsid w:val="4D1A1D0C"/>
    <w:rsid w:val="4D2D61FC"/>
    <w:rsid w:val="4D5679DC"/>
    <w:rsid w:val="4D583754"/>
    <w:rsid w:val="4D600014"/>
    <w:rsid w:val="4D891B60"/>
    <w:rsid w:val="4D896B49"/>
    <w:rsid w:val="4D956F49"/>
    <w:rsid w:val="4D9661D8"/>
    <w:rsid w:val="4D97655C"/>
    <w:rsid w:val="4D9F06AB"/>
    <w:rsid w:val="4DB45FFA"/>
    <w:rsid w:val="4DB97072"/>
    <w:rsid w:val="4DBF1A26"/>
    <w:rsid w:val="4DC261D4"/>
    <w:rsid w:val="4DD62336"/>
    <w:rsid w:val="4DE107E9"/>
    <w:rsid w:val="4DE72A77"/>
    <w:rsid w:val="4DEB5A29"/>
    <w:rsid w:val="4E144BA8"/>
    <w:rsid w:val="4E163B5A"/>
    <w:rsid w:val="4E1E674C"/>
    <w:rsid w:val="4E2F0959"/>
    <w:rsid w:val="4E324158"/>
    <w:rsid w:val="4E332FE3"/>
    <w:rsid w:val="4E355844"/>
    <w:rsid w:val="4E57075F"/>
    <w:rsid w:val="4E697FB9"/>
    <w:rsid w:val="4E717CB1"/>
    <w:rsid w:val="4E846B0F"/>
    <w:rsid w:val="4E984774"/>
    <w:rsid w:val="4E9A4715"/>
    <w:rsid w:val="4E9F1C96"/>
    <w:rsid w:val="4EA62F7D"/>
    <w:rsid w:val="4EAD77FE"/>
    <w:rsid w:val="4EAF0CD3"/>
    <w:rsid w:val="4EB4138B"/>
    <w:rsid w:val="4EBC506D"/>
    <w:rsid w:val="4EC15329"/>
    <w:rsid w:val="4EE5527D"/>
    <w:rsid w:val="4EF76B75"/>
    <w:rsid w:val="4EF94AC3"/>
    <w:rsid w:val="4F21030D"/>
    <w:rsid w:val="4F307F99"/>
    <w:rsid w:val="4F38383D"/>
    <w:rsid w:val="4F3A5808"/>
    <w:rsid w:val="4F3B1580"/>
    <w:rsid w:val="4F532425"/>
    <w:rsid w:val="4F5712D6"/>
    <w:rsid w:val="4F602D94"/>
    <w:rsid w:val="4F61758B"/>
    <w:rsid w:val="4F6A776F"/>
    <w:rsid w:val="4F6F18D7"/>
    <w:rsid w:val="4F717CEE"/>
    <w:rsid w:val="4F8365E5"/>
    <w:rsid w:val="4F9B0FCB"/>
    <w:rsid w:val="4FA8171A"/>
    <w:rsid w:val="4FAD422B"/>
    <w:rsid w:val="4FB9185A"/>
    <w:rsid w:val="4FC11A85"/>
    <w:rsid w:val="4FE02CC7"/>
    <w:rsid w:val="4FE35DF0"/>
    <w:rsid w:val="4FE94B64"/>
    <w:rsid w:val="501C56B7"/>
    <w:rsid w:val="50250EA7"/>
    <w:rsid w:val="503F29AA"/>
    <w:rsid w:val="50433835"/>
    <w:rsid w:val="50454196"/>
    <w:rsid w:val="50487AB0"/>
    <w:rsid w:val="50530BC8"/>
    <w:rsid w:val="506F39D9"/>
    <w:rsid w:val="50760AC1"/>
    <w:rsid w:val="507C24B7"/>
    <w:rsid w:val="508906D9"/>
    <w:rsid w:val="508C01A9"/>
    <w:rsid w:val="509C048A"/>
    <w:rsid w:val="50A32F39"/>
    <w:rsid w:val="50A54FE5"/>
    <w:rsid w:val="50B0253B"/>
    <w:rsid w:val="50C15033"/>
    <w:rsid w:val="50C87830"/>
    <w:rsid w:val="50CF3D2E"/>
    <w:rsid w:val="50DD421D"/>
    <w:rsid w:val="50F32A32"/>
    <w:rsid w:val="50FA20DB"/>
    <w:rsid w:val="510065DD"/>
    <w:rsid w:val="51187221"/>
    <w:rsid w:val="51264FF3"/>
    <w:rsid w:val="5131350C"/>
    <w:rsid w:val="51324305"/>
    <w:rsid w:val="513872E4"/>
    <w:rsid w:val="513C2EDD"/>
    <w:rsid w:val="51575861"/>
    <w:rsid w:val="517A3D20"/>
    <w:rsid w:val="51833443"/>
    <w:rsid w:val="51906B62"/>
    <w:rsid w:val="519311FF"/>
    <w:rsid w:val="51991247"/>
    <w:rsid w:val="519949CA"/>
    <w:rsid w:val="5199796C"/>
    <w:rsid w:val="519B00B4"/>
    <w:rsid w:val="51A05888"/>
    <w:rsid w:val="51AC1C3D"/>
    <w:rsid w:val="51BB4F4F"/>
    <w:rsid w:val="51DE196A"/>
    <w:rsid w:val="51E273BE"/>
    <w:rsid w:val="51E61FD0"/>
    <w:rsid w:val="51E932DA"/>
    <w:rsid w:val="51EF26CD"/>
    <w:rsid w:val="52244CE0"/>
    <w:rsid w:val="522A03F2"/>
    <w:rsid w:val="52341AFD"/>
    <w:rsid w:val="523830D8"/>
    <w:rsid w:val="523B5CD2"/>
    <w:rsid w:val="523F4EE3"/>
    <w:rsid w:val="524312E3"/>
    <w:rsid w:val="52541547"/>
    <w:rsid w:val="52597C66"/>
    <w:rsid w:val="526D37FE"/>
    <w:rsid w:val="52847CC6"/>
    <w:rsid w:val="528F40DE"/>
    <w:rsid w:val="529D3D17"/>
    <w:rsid w:val="52A00879"/>
    <w:rsid w:val="52A511EA"/>
    <w:rsid w:val="52AC2F40"/>
    <w:rsid w:val="52B17872"/>
    <w:rsid w:val="52BA0C9C"/>
    <w:rsid w:val="52C06C9F"/>
    <w:rsid w:val="52DC2732"/>
    <w:rsid w:val="52EA3083"/>
    <w:rsid w:val="52F81F7A"/>
    <w:rsid w:val="52F932E4"/>
    <w:rsid w:val="53074673"/>
    <w:rsid w:val="53187152"/>
    <w:rsid w:val="532B17C9"/>
    <w:rsid w:val="5349236F"/>
    <w:rsid w:val="534C5B64"/>
    <w:rsid w:val="534D7F42"/>
    <w:rsid w:val="53515CAE"/>
    <w:rsid w:val="535B1C8C"/>
    <w:rsid w:val="536107A3"/>
    <w:rsid w:val="537868FE"/>
    <w:rsid w:val="538240B5"/>
    <w:rsid w:val="538E7ED0"/>
    <w:rsid w:val="539820CE"/>
    <w:rsid w:val="539A4AC7"/>
    <w:rsid w:val="53A800FC"/>
    <w:rsid w:val="53AD440C"/>
    <w:rsid w:val="53B32720"/>
    <w:rsid w:val="53B412EE"/>
    <w:rsid w:val="53BA6B1C"/>
    <w:rsid w:val="53C9715A"/>
    <w:rsid w:val="53D26796"/>
    <w:rsid w:val="53DE163D"/>
    <w:rsid w:val="53E61ABA"/>
    <w:rsid w:val="53EB70D0"/>
    <w:rsid w:val="540A651D"/>
    <w:rsid w:val="541455EA"/>
    <w:rsid w:val="542303F8"/>
    <w:rsid w:val="54387E3C"/>
    <w:rsid w:val="54444A33"/>
    <w:rsid w:val="544E4CEE"/>
    <w:rsid w:val="545D2753"/>
    <w:rsid w:val="54604F80"/>
    <w:rsid w:val="54612EE1"/>
    <w:rsid w:val="546209B4"/>
    <w:rsid w:val="54666D10"/>
    <w:rsid w:val="546A2322"/>
    <w:rsid w:val="546F3220"/>
    <w:rsid w:val="54712252"/>
    <w:rsid w:val="54725317"/>
    <w:rsid w:val="5478407C"/>
    <w:rsid w:val="5481397B"/>
    <w:rsid w:val="5490425F"/>
    <w:rsid w:val="54961B6C"/>
    <w:rsid w:val="54967355"/>
    <w:rsid w:val="54B03545"/>
    <w:rsid w:val="54B86DB3"/>
    <w:rsid w:val="54BF40B9"/>
    <w:rsid w:val="54C449A0"/>
    <w:rsid w:val="54DB5397"/>
    <w:rsid w:val="54E21A6C"/>
    <w:rsid w:val="54EC26DD"/>
    <w:rsid w:val="54FC355F"/>
    <w:rsid w:val="55051CE9"/>
    <w:rsid w:val="55090217"/>
    <w:rsid w:val="55186EDC"/>
    <w:rsid w:val="551A29AD"/>
    <w:rsid w:val="551B1E19"/>
    <w:rsid w:val="551B5793"/>
    <w:rsid w:val="552A59D6"/>
    <w:rsid w:val="552D3354"/>
    <w:rsid w:val="55320D2F"/>
    <w:rsid w:val="55364E1B"/>
    <w:rsid w:val="5543118E"/>
    <w:rsid w:val="55437EFB"/>
    <w:rsid w:val="554C0043"/>
    <w:rsid w:val="55567CC4"/>
    <w:rsid w:val="55627866"/>
    <w:rsid w:val="55726A2F"/>
    <w:rsid w:val="557F0572"/>
    <w:rsid w:val="55844014"/>
    <w:rsid w:val="558F536E"/>
    <w:rsid w:val="55913CA7"/>
    <w:rsid w:val="55933792"/>
    <w:rsid w:val="55983288"/>
    <w:rsid w:val="559D264C"/>
    <w:rsid w:val="55AC05AB"/>
    <w:rsid w:val="55C34E73"/>
    <w:rsid w:val="55C85F40"/>
    <w:rsid w:val="55DA386B"/>
    <w:rsid w:val="55EB1088"/>
    <w:rsid w:val="55ED2060"/>
    <w:rsid w:val="55FC2402"/>
    <w:rsid w:val="55FC6482"/>
    <w:rsid w:val="55FD2356"/>
    <w:rsid w:val="561624E4"/>
    <w:rsid w:val="56247648"/>
    <w:rsid w:val="563C1E65"/>
    <w:rsid w:val="56433506"/>
    <w:rsid w:val="56445968"/>
    <w:rsid w:val="56617DD7"/>
    <w:rsid w:val="5664771C"/>
    <w:rsid w:val="566A45B4"/>
    <w:rsid w:val="568238F3"/>
    <w:rsid w:val="5685552E"/>
    <w:rsid w:val="56A54C32"/>
    <w:rsid w:val="56A8690E"/>
    <w:rsid w:val="56AB71DB"/>
    <w:rsid w:val="56BD2924"/>
    <w:rsid w:val="56CA3F6A"/>
    <w:rsid w:val="56CB4F97"/>
    <w:rsid w:val="56D71B8E"/>
    <w:rsid w:val="56DC0F52"/>
    <w:rsid w:val="56EF4355"/>
    <w:rsid w:val="56FA587C"/>
    <w:rsid w:val="57085EE4"/>
    <w:rsid w:val="570B3E02"/>
    <w:rsid w:val="570F6AE4"/>
    <w:rsid w:val="571BFF49"/>
    <w:rsid w:val="573BFCE9"/>
    <w:rsid w:val="573F5101"/>
    <w:rsid w:val="57440643"/>
    <w:rsid w:val="574D00A2"/>
    <w:rsid w:val="575546F8"/>
    <w:rsid w:val="57560D05"/>
    <w:rsid w:val="57580F21"/>
    <w:rsid w:val="5768671C"/>
    <w:rsid w:val="576D37A4"/>
    <w:rsid w:val="5774562F"/>
    <w:rsid w:val="577B22E1"/>
    <w:rsid w:val="577D2735"/>
    <w:rsid w:val="577E4A64"/>
    <w:rsid w:val="578E65D4"/>
    <w:rsid w:val="57964E19"/>
    <w:rsid w:val="579722C0"/>
    <w:rsid w:val="57B049BA"/>
    <w:rsid w:val="57B958F8"/>
    <w:rsid w:val="57BB500C"/>
    <w:rsid w:val="57C05CCD"/>
    <w:rsid w:val="57C413A5"/>
    <w:rsid w:val="57CE11E3"/>
    <w:rsid w:val="57D01F01"/>
    <w:rsid w:val="57DB7DE8"/>
    <w:rsid w:val="57E767A6"/>
    <w:rsid w:val="57EE3484"/>
    <w:rsid w:val="57F10A2D"/>
    <w:rsid w:val="57F14EDF"/>
    <w:rsid w:val="57F80C60"/>
    <w:rsid w:val="58215AB6"/>
    <w:rsid w:val="582B0154"/>
    <w:rsid w:val="58300956"/>
    <w:rsid w:val="58566410"/>
    <w:rsid w:val="585941E3"/>
    <w:rsid w:val="585F534A"/>
    <w:rsid w:val="586C0F0B"/>
    <w:rsid w:val="58705DF6"/>
    <w:rsid w:val="587F6039"/>
    <w:rsid w:val="58862B72"/>
    <w:rsid w:val="588A5AE9"/>
    <w:rsid w:val="588C2839"/>
    <w:rsid w:val="588D3DDF"/>
    <w:rsid w:val="58900C95"/>
    <w:rsid w:val="589C50B7"/>
    <w:rsid w:val="589E625B"/>
    <w:rsid w:val="58B20AEC"/>
    <w:rsid w:val="58BF52A9"/>
    <w:rsid w:val="58C62A12"/>
    <w:rsid w:val="58D87F55"/>
    <w:rsid w:val="58DF4FEC"/>
    <w:rsid w:val="58FE49B7"/>
    <w:rsid w:val="58FEAF7A"/>
    <w:rsid w:val="59021FD2"/>
    <w:rsid w:val="591A3FB4"/>
    <w:rsid w:val="59260BAB"/>
    <w:rsid w:val="59267B33"/>
    <w:rsid w:val="59296DD4"/>
    <w:rsid w:val="592B4373"/>
    <w:rsid w:val="5932754F"/>
    <w:rsid w:val="5943350B"/>
    <w:rsid w:val="595B4CF8"/>
    <w:rsid w:val="59615283"/>
    <w:rsid w:val="596662A5"/>
    <w:rsid w:val="596671F9"/>
    <w:rsid w:val="59684557"/>
    <w:rsid w:val="59902F35"/>
    <w:rsid w:val="5994238E"/>
    <w:rsid w:val="5995052F"/>
    <w:rsid w:val="599C52A8"/>
    <w:rsid w:val="59BE0DE3"/>
    <w:rsid w:val="59BE5287"/>
    <w:rsid w:val="59D165F0"/>
    <w:rsid w:val="59E04505"/>
    <w:rsid w:val="59E85E60"/>
    <w:rsid w:val="59FA3177"/>
    <w:rsid w:val="5A143B8D"/>
    <w:rsid w:val="5A252C10"/>
    <w:rsid w:val="5A3A0AA5"/>
    <w:rsid w:val="5A477E06"/>
    <w:rsid w:val="5A490FF5"/>
    <w:rsid w:val="5A4C73F4"/>
    <w:rsid w:val="5A4E0252"/>
    <w:rsid w:val="5A4F554A"/>
    <w:rsid w:val="5A506F3E"/>
    <w:rsid w:val="5A61633E"/>
    <w:rsid w:val="5A751DEA"/>
    <w:rsid w:val="5A7526C4"/>
    <w:rsid w:val="5A940D72"/>
    <w:rsid w:val="5AA47504"/>
    <w:rsid w:val="5AB41DB0"/>
    <w:rsid w:val="5ABA20FF"/>
    <w:rsid w:val="5ABE6409"/>
    <w:rsid w:val="5AD34E9F"/>
    <w:rsid w:val="5AD732CB"/>
    <w:rsid w:val="5AE25520"/>
    <w:rsid w:val="5AF2343A"/>
    <w:rsid w:val="5AF46232"/>
    <w:rsid w:val="5AF8553E"/>
    <w:rsid w:val="5B0024BF"/>
    <w:rsid w:val="5B305D11"/>
    <w:rsid w:val="5B405D31"/>
    <w:rsid w:val="5B411CCC"/>
    <w:rsid w:val="5B462BE7"/>
    <w:rsid w:val="5B506E2B"/>
    <w:rsid w:val="5B525C87"/>
    <w:rsid w:val="5B6441D3"/>
    <w:rsid w:val="5B6B430D"/>
    <w:rsid w:val="5B6F4A8F"/>
    <w:rsid w:val="5B7B31A9"/>
    <w:rsid w:val="5B7B5EA0"/>
    <w:rsid w:val="5B815166"/>
    <w:rsid w:val="5B83592D"/>
    <w:rsid w:val="5BA33C64"/>
    <w:rsid w:val="5BC528FD"/>
    <w:rsid w:val="5BCA278D"/>
    <w:rsid w:val="5BDD7F38"/>
    <w:rsid w:val="5C047B83"/>
    <w:rsid w:val="5C074CC3"/>
    <w:rsid w:val="5C1D4690"/>
    <w:rsid w:val="5C267747"/>
    <w:rsid w:val="5C2A2760"/>
    <w:rsid w:val="5C2D6D40"/>
    <w:rsid w:val="5C317F92"/>
    <w:rsid w:val="5C414134"/>
    <w:rsid w:val="5C4D667C"/>
    <w:rsid w:val="5C550687"/>
    <w:rsid w:val="5C575779"/>
    <w:rsid w:val="5C594DF3"/>
    <w:rsid w:val="5C5E7D82"/>
    <w:rsid w:val="5C677510"/>
    <w:rsid w:val="5C7F0CFE"/>
    <w:rsid w:val="5C9121A2"/>
    <w:rsid w:val="5C9A3C1D"/>
    <w:rsid w:val="5C9F6CAA"/>
    <w:rsid w:val="5CA4066E"/>
    <w:rsid w:val="5CA7BEF0"/>
    <w:rsid w:val="5CA95D7B"/>
    <w:rsid w:val="5CC24565"/>
    <w:rsid w:val="5CC77665"/>
    <w:rsid w:val="5CD37506"/>
    <w:rsid w:val="5CEC1798"/>
    <w:rsid w:val="5CF54B1C"/>
    <w:rsid w:val="5D050023"/>
    <w:rsid w:val="5D077BAE"/>
    <w:rsid w:val="5D1B4EFD"/>
    <w:rsid w:val="5D232C38"/>
    <w:rsid w:val="5D276BDB"/>
    <w:rsid w:val="5D2D075A"/>
    <w:rsid w:val="5D2E7780"/>
    <w:rsid w:val="5D302E54"/>
    <w:rsid w:val="5D3A51D4"/>
    <w:rsid w:val="5D4B107A"/>
    <w:rsid w:val="5D513264"/>
    <w:rsid w:val="5D5419F5"/>
    <w:rsid w:val="5D5A745E"/>
    <w:rsid w:val="5D5C2DED"/>
    <w:rsid w:val="5D779D4D"/>
    <w:rsid w:val="5D787B8A"/>
    <w:rsid w:val="5D93642D"/>
    <w:rsid w:val="5D956205"/>
    <w:rsid w:val="5D983E4F"/>
    <w:rsid w:val="5DA0717E"/>
    <w:rsid w:val="5DC9660D"/>
    <w:rsid w:val="5DCB48EE"/>
    <w:rsid w:val="5DCC7F73"/>
    <w:rsid w:val="5DCF5602"/>
    <w:rsid w:val="5DD62B9F"/>
    <w:rsid w:val="5DE648B2"/>
    <w:rsid w:val="5DEC23C3"/>
    <w:rsid w:val="5DF448E5"/>
    <w:rsid w:val="5DFC1EDA"/>
    <w:rsid w:val="5E203C1A"/>
    <w:rsid w:val="5E2C3A7D"/>
    <w:rsid w:val="5E390CAF"/>
    <w:rsid w:val="5E3C6D30"/>
    <w:rsid w:val="5E4E37AD"/>
    <w:rsid w:val="5E59732C"/>
    <w:rsid w:val="5E5D157D"/>
    <w:rsid w:val="5E5F5EF7"/>
    <w:rsid w:val="5E64706B"/>
    <w:rsid w:val="5E697D49"/>
    <w:rsid w:val="5E6D720A"/>
    <w:rsid w:val="5E7F4FE5"/>
    <w:rsid w:val="5E8720EC"/>
    <w:rsid w:val="5E9E7B40"/>
    <w:rsid w:val="5EB23E2B"/>
    <w:rsid w:val="5EC26CA6"/>
    <w:rsid w:val="5EC272D5"/>
    <w:rsid w:val="5EC5386C"/>
    <w:rsid w:val="5ED55185"/>
    <w:rsid w:val="5EDA419A"/>
    <w:rsid w:val="5EE51AE4"/>
    <w:rsid w:val="5EF048AB"/>
    <w:rsid w:val="5F036FBE"/>
    <w:rsid w:val="5F0A15F3"/>
    <w:rsid w:val="5F0C439F"/>
    <w:rsid w:val="5F100333"/>
    <w:rsid w:val="5F28482B"/>
    <w:rsid w:val="5F2A4498"/>
    <w:rsid w:val="5F433247"/>
    <w:rsid w:val="5F45258B"/>
    <w:rsid w:val="5F5226F9"/>
    <w:rsid w:val="5F5C1C5B"/>
    <w:rsid w:val="5F5D5201"/>
    <w:rsid w:val="5F690130"/>
    <w:rsid w:val="5F73BD68"/>
    <w:rsid w:val="5F7A755A"/>
    <w:rsid w:val="5F7B11ED"/>
    <w:rsid w:val="5F7E34EF"/>
    <w:rsid w:val="5F87675C"/>
    <w:rsid w:val="5F966E18"/>
    <w:rsid w:val="5F970059"/>
    <w:rsid w:val="5F9A70E8"/>
    <w:rsid w:val="5FA36AB1"/>
    <w:rsid w:val="5FAD1249"/>
    <w:rsid w:val="5FB0093D"/>
    <w:rsid w:val="5FC66C44"/>
    <w:rsid w:val="5FD41360"/>
    <w:rsid w:val="5FD72BFF"/>
    <w:rsid w:val="5FE65556"/>
    <w:rsid w:val="5FF02488"/>
    <w:rsid w:val="601E660F"/>
    <w:rsid w:val="603363E4"/>
    <w:rsid w:val="60345021"/>
    <w:rsid w:val="604A49A2"/>
    <w:rsid w:val="60555325"/>
    <w:rsid w:val="60634492"/>
    <w:rsid w:val="606D5D36"/>
    <w:rsid w:val="60766FD7"/>
    <w:rsid w:val="608D150F"/>
    <w:rsid w:val="6094289E"/>
    <w:rsid w:val="609C6B9A"/>
    <w:rsid w:val="60A52CFD"/>
    <w:rsid w:val="60B52778"/>
    <w:rsid w:val="60CE5DB0"/>
    <w:rsid w:val="60D90292"/>
    <w:rsid w:val="60FF240D"/>
    <w:rsid w:val="61022FB1"/>
    <w:rsid w:val="61031113"/>
    <w:rsid w:val="610D4A3C"/>
    <w:rsid w:val="610E2650"/>
    <w:rsid w:val="6113529D"/>
    <w:rsid w:val="61166383"/>
    <w:rsid w:val="613A080B"/>
    <w:rsid w:val="613A7352"/>
    <w:rsid w:val="613D732D"/>
    <w:rsid w:val="614A63D5"/>
    <w:rsid w:val="614B4412"/>
    <w:rsid w:val="6155317E"/>
    <w:rsid w:val="615A7643"/>
    <w:rsid w:val="615F1B75"/>
    <w:rsid w:val="61707DCC"/>
    <w:rsid w:val="617D7BD4"/>
    <w:rsid w:val="618F4EB2"/>
    <w:rsid w:val="6194720F"/>
    <w:rsid w:val="61AB3132"/>
    <w:rsid w:val="61B72CE8"/>
    <w:rsid w:val="61B81164"/>
    <w:rsid w:val="61BB2FCE"/>
    <w:rsid w:val="61D57BE4"/>
    <w:rsid w:val="6200214A"/>
    <w:rsid w:val="621C0D9D"/>
    <w:rsid w:val="622F4B23"/>
    <w:rsid w:val="623D5568"/>
    <w:rsid w:val="62400EAD"/>
    <w:rsid w:val="62521141"/>
    <w:rsid w:val="626544F2"/>
    <w:rsid w:val="627C0B43"/>
    <w:rsid w:val="62820A69"/>
    <w:rsid w:val="629A0A03"/>
    <w:rsid w:val="629C62A1"/>
    <w:rsid w:val="62A102F6"/>
    <w:rsid w:val="62A15832"/>
    <w:rsid w:val="62A872C5"/>
    <w:rsid w:val="62AA45FB"/>
    <w:rsid w:val="62B84231"/>
    <w:rsid w:val="62C448B5"/>
    <w:rsid w:val="62C47FC5"/>
    <w:rsid w:val="62D31681"/>
    <w:rsid w:val="62D50185"/>
    <w:rsid w:val="62D87F39"/>
    <w:rsid w:val="62DF110A"/>
    <w:rsid w:val="62F449E2"/>
    <w:rsid w:val="630E388B"/>
    <w:rsid w:val="63203565"/>
    <w:rsid w:val="63240F67"/>
    <w:rsid w:val="63247519"/>
    <w:rsid w:val="632717A7"/>
    <w:rsid w:val="63290D94"/>
    <w:rsid w:val="633120E2"/>
    <w:rsid w:val="63360D48"/>
    <w:rsid w:val="63516ABE"/>
    <w:rsid w:val="636649C5"/>
    <w:rsid w:val="63743FB7"/>
    <w:rsid w:val="63813D88"/>
    <w:rsid w:val="63896059"/>
    <w:rsid w:val="639343EA"/>
    <w:rsid w:val="63A75A25"/>
    <w:rsid w:val="63AA056F"/>
    <w:rsid w:val="63AE011A"/>
    <w:rsid w:val="63B81E84"/>
    <w:rsid w:val="63C139AA"/>
    <w:rsid w:val="63D153F7"/>
    <w:rsid w:val="63D43B3C"/>
    <w:rsid w:val="63D65836"/>
    <w:rsid w:val="63DD66AD"/>
    <w:rsid w:val="63E97377"/>
    <w:rsid w:val="63EA73A4"/>
    <w:rsid w:val="63FA14BE"/>
    <w:rsid w:val="640346A6"/>
    <w:rsid w:val="640516EE"/>
    <w:rsid w:val="641877E7"/>
    <w:rsid w:val="64257378"/>
    <w:rsid w:val="64284B5D"/>
    <w:rsid w:val="642E3C6C"/>
    <w:rsid w:val="644C3123"/>
    <w:rsid w:val="645C0C48"/>
    <w:rsid w:val="645E4092"/>
    <w:rsid w:val="646F5FDA"/>
    <w:rsid w:val="64732602"/>
    <w:rsid w:val="647629E6"/>
    <w:rsid w:val="64801276"/>
    <w:rsid w:val="64812F8F"/>
    <w:rsid w:val="64945730"/>
    <w:rsid w:val="649A23D0"/>
    <w:rsid w:val="64A05CB5"/>
    <w:rsid w:val="64AD121E"/>
    <w:rsid w:val="64B97A50"/>
    <w:rsid w:val="64BC7EC9"/>
    <w:rsid w:val="64C85EB7"/>
    <w:rsid w:val="64E04C97"/>
    <w:rsid w:val="64E472EC"/>
    <w:rsid w:val="64E57B6C"/>
    <w:rsid w:val="64F1387C"/>
    <w:rsid w:val="64FD041F"/>
    <w:rsid w:val="64FE7D01"/>
    <w:rsid w:val="64FF55AF"/>
    <w:rsid w:val="6510166A"/>
    <w:rsid w:val="6510790A"/>
    <w:rsid w:val="6511382D"/>
    <w:rsid w:val="654153AA"/>
    <w:rsid w:val="65577BA6"/>
    <w:rsid w:val="655D5D1D"/>
    <w:rsid w:val="65684079"/>
    <w:rsid w:val="657F4530"/>
    <w:rsid w:val="65847FCB"/>
    <w:rsid w:val="658D6CC0"/>
    <w:rsid w:val="659912BC"/>
    <w:rsid w:val="65A45331"/>
    <w:rsid w:val="65BD00F9"/>
    <w:rsid w:val="65D47B95"/>
    <w:rsid w:val="65E17F1D"/>
    <w:rsid w:val="65E850A7"/>
    <w:rsid w:val="65EC34E1"/>
    <w:rsid w:val="65F0083E"/>
    <w:rsid w:val="65F067C8"/>
    <w:rsid w:val="65F22F16"/>
    <w:rsid w:val="65F31E15"/>
    <w:rsid w:val="65F342CE"/>
    <w:rsid w:val="66154481"/>
    <w:rsid w:val="661B2FA3"/>
    <w:rsid w:val="661E50E3"/>
    <w:rsid w:val="66205162"/>
    <w:rsid w:val="662B29CB"/>
    <w:rsid w:val="663C214A"/>
    <w:rsid w:val="663F32AC"/>
    <w:rsid w:val="66474DDD"/>
    <w:rsid w:val="664B3CD4"/>
    <w:rsid w:val="66551A28"/>
    <w:rsid w:val="66552ACF"/>
    <w:rsid w:val="66577444"/>
    <w:rsid w:val="66630D48"/>
    <w:rsid w:val="666770BE"/>
    <w:rsid w:val="666A2BB2"/>
    <w:rsid w:val="666B550A"/>
    <w:rsid w:val="667D28FE"/>
    <w:rsid w:val="668A491E"/>
    <w:rsid w:val="66911D59"/>
    <w:rsid w:val="66A778CD"/>
    <w:rsid w:val="66BC2B4E"/>
    <w:rsid w:val="66CB08FB"/>
    <w:rsid w:val="66CC6427"/>
    <w:rsid w:val="66E65727"/>
    <w:rsid w:val="66E66872"/>
    <w:rsid w:val="66FA609B"/>
    <w:rsid w:val="67087745"/>
    <w:rsid w:val="67094037"/>
    <w:rsid w:val="670F2C7E"/>
    <w:rsid w:val="67255D99"/>
    <w:rsid w:val="672701F0"/>
    <w:rsid w:val="673646AF"/>
    <w:rsid w:val="67467301"/>
    <w:rsid w:val="674C0924"/>
    <w:rsid w:val="67512BB0"/>
    <w:rsid w:val="675D5843"/>
    <w:rsid w:val="675F3DC5"/>
    <w:rsid w:val="676315E8"/>
    <w:rsid w:val="67661064"/>
    <w:rsid w:val="676952A1"/>
    <w:rsid w:val="676B24FB"/>
    <w:rsid w:val="67701338"/>
    <w:rsid w:val="677124F5"/>
    <w:rsid w:val="67786092"/>
    <w:rsid w:val="677C1568"/>
    <w:rsid w:val="67820E60"/>
    <w:rsid w:val="67967A99"/>
    <w:rsid w:val="67A07D7A"/>
    <w:rsid w:val="67A26959"/>
    <w:rsid w:val="67AC671F"/>
    <w:rsid w:val="67AE1DF4"/>
    <w:rsid w:val="67C174B3"/>
    <w:rsid w:val="67D8681C"/>
    <w:rsid w:val="67F03263"/>
    <w:rsid w:val="67F72090"/>
    <w:rsid w:val="67F72DA8"/>
    <w:rsid w:val="67F73E3E"/>
    <w:rsid w:val="68012F0F"/>
    <w:rsid w:val="68114CB0"/>
    <w:rsid w:val="681A2772"/>
    <w:rsid w:val="681E5132"/>
    <w:rsid w:val="68421E34"/>
    <w:rsid w:val="684626D0"/>
    <w:rsid w:val="684C208C"/>
    <w:rsid w:val="686728C7"/>
    <w:rsid w:val="687C2595"/>
    <w:rsid w:val="688D02FE"/>
    <w:rsid w:val="68982479"/>
    <w:rsid w:val="689843A3"/>
    <w:rsid w:val="68AB5D80"/>
    <w:rsid w:val="68B02F4E"/>
    <w:rsid w:val="68B7181F"/>
    <w:rsid w:val="68BB1AC3"/>
    <w:rsid w:val="68CB7079"/>
    <w:rsid w:val="68CC22E3"/>
    <w:rsid w:val="68E0239E"/>
    <w:rsid w:val="68E82796"/>
    <w:rsid w:val="68EC55F7"/>
    <w:rsid w:val="690540BF"/>
    <w:rsid w:val="690560DF"/>
    <w:rsid w:val="69075C34"/>
    <w:rsid w:val="691A5EE6"/>
    <w:rsid w:val="691E5013"/>
    <w:rsid w:val="692B2574"/>
    <w:rsid w:val="69341349"/>
    <w:rsid w:val="693F23B7"/>
    <w:rsid w:val="694349FE"/>
    <w:rsid w:val="694B04DD"/>
    <w:rsid w:val="6956398A"/>
    <w:rsid w:val="69591DF9"/>
    <w:rsid w:val="696370F4"/>
    <w:rsid w:val="696C0310"/>
    <w:rsid w:val="69845C64"/>
    <w:rsid w:val="69A00505"/>
    <w:rsid w:val="69AE046D"/>
    <w:rsid w:val="69AE2C22"/>
    <w:rsid w:val="69B247C8"/>
    <w:rsid w:val="69C64714"/>
    <w:rsid w:val="69CA4852"/>
    <w:rsid w:val="69CC56B4"/>
    <w:rsid w:val="69EB7E54"/>
    <w:rsid w:val="69EE32B5"/>
    <w:rsid w:val="69EF59B1"/>
    <w:rsid w:val="6A0700E9"/>
    <w:rsid w:val="6A2B02B0"/>
    <w:rsid w:val="6A327563"/>
    <w:rsid w:val="6A392C22"/>
    <w:rsid w:val="6A3C0DC3"/>
    <w:rsid w:val="6A4109EA"/>
    <w:rsid w:val="6A431B35"/>
    <w:rsid w:val="6A4C7071"/>
    <w:rsid w:val="6A4E60B2"/>
    <w:rsid w:val="6A720D6F"/>
    <w:rsid w:val="6A7C062B"/>
    <w:rsid w:val="6AA81420"/>
    <w:rsid w:val="6AAA1233"/>
    <w:rsid w:val="6AAB7162"/>
    <w:rsid w:val="6AAF33C0"/>
    <w:rsid w:val="6AB3279C"/>
    <w:rsid w:val="6ABB6531"/>
    <w:rsid w:val="6AC57894"/>
    <w:rsid w:val="6AD448AF"/>
    <w:rsid w:val="6AD55F8D"/>
    <w:rsid w:val="6ADA35A3"/>
    <w:rsid w:val="6ADA4440"/>
    <w:rsid w:val="6AEF0F2B"/>
    <w:rsid w:val="6B0A032C"/>
    <w:rsid w:val="6B1E16E2"/>
    <w:rsid w:val="6B305546"/>
    <w:rsid w:val="6B3158B9"/>
    <w:rsid w:val="6B3525B5"/>
    <w:rsid w:val="6B39476E"/>
    <w:rsid w:val="6B421F06"/>
    <w:rsid w:val="6B4337DD"/>
    <w:rsid w:val="6B5B3A72"/>
    <w:rsid w:val="6B660CF5"/>
    <w:rsid w:val="6B6D5FC2"/>
    <w:rsid w:val="6B8B50DE"/>
    <w:rsid w:val="6B921BF0"/>
    <w:rsid w:val="6B976218"/>
    <w:rsid w:val="6BB564B9"/>
    <w:rsid w:val="6BC009EB"/>
    <w:rsid w:val="6BD07049"/>
    <w:rsid w:val="6BDD159D"/>
    <w:rsid w:val="6BDE07CA"/>
    <w:rsid w:val="6BE26A66"/>
    <w:rsid w:val="6BEA63A2"/>
    <w:rsid w:val="6BF151B1"/>
    <w:rsid w:val="6BF84629"/>
    <w:rsid w:val="6BFA1229"/>
    <w:rsid w:val="6BFE3D94"/>
    <w:rsid w:val="6C0E79A8"/>
    <w:rsid w:val="6C103720"/>
    <w:rsid w:val="6C171503"/>
    <w:rsid w:val="6C1A7210"/>
    <w:rsid w:val="6C1B6850"/>
    <w:rsid w:val="6C225448"/>
    <w:rsid w:val="6C2C6080"/>
    <w:rsid w:val="6C350AD4"/>
    <w:rsid w:val="6C465394"/>
    <w:rsid w:val="6C5555D7"/>
    <w:rsid w:val="6C757061"/>
    <w:rsid w:val="6C830396"/>
    <w:rsid w:val="6C832144"/>
    <w:rsid w:val="6C933EFE"/>
    <w:rsid w:val="6C9C5BD4"/>
    <w:rsid w:val="6CA251B2"/>
    <w:rsid w:val="6CB70040"/>
    <w:rsid w:val="6CB76C88"/>
    <w:rsid w:val="6CCB691F"/>
    <w:rsid w:val="6CD56718"/>
    <w:rsid w:val="6CEB1A97"/>
    <w:rsid w:val="6CF42ABF"/>
    <w:rsid w:val="6D0F67F9"/>
    <w:rsid w:val="6D1C298A"/>
    <w:rsid w:val="6D203E37"/>
    <w:rsid w:val="6D216851"/>
    <w:rsid w:val="6D317D6D"/>
    <w:rsid w:val="6D4713C4"/>
    <w:rsid w:val="6D5727E2"/>
    <w:rsid w:val="6D5D0BE7"/>
    <w:rsid w:val="6D5E2905"/>
    <w:rsid w:val="6D633D24"/>
    <w:rsid w:val="6D7C0AE9"/>
    <w:rsid w:val="6D827B16"/>
    <w:rsid w:val="6D8D4636"/>
    <w:rsid w:val="6D8E1695"/>
    <w:rsid w:val="6D9222C1"/>
    <w:rsid w:val="6D9803A2"/>
    <w:rsid w:val="6DA15995"/>
    <w:rsid w:val="6DA22A9E"/>
    <w:rsid w:val="6DCD28E3"/>
    <w:rsid w:val="6DD07F65"/>
    <w:rsid w:val="6DE5298B"/>
    <w:rsid w:val="6DE63790"/>
    <w:rsid w:val="6DEA4F8E"/>
    <w:rsid w:val="6DED208A"/>
    <w:rsid w:val="6DF710C0"/>
    <w:rsid w:val="6DFE7A4F"/>
    <w:rsid w:val="6E056B89"/>
    <w:rsid w:val="6E0C0136"/>
    <w:rsid w:val="6E0C43BB"/>
    <w:rsid w:val="6E130DE5"/>
    <w:rsid w:val="6E170762"/>
    <w:rsid w:val="6E1841F4"/>
    <w:rsid w:val="6E194716"/>
    <w:rsid w:val="6E1A6AD8"/>
    <w:rsid w:val="6E2F5CA7"/>
    <w:rsid w:val="6E5A1A5A"/>
    <w:rsid w:val="6E697118"/>
    <w:rsid w:val="6E6C37E0"/>
    <w:rsid w:val="6E6E31FD"/>
    <w:rsid w:val="6E7962F9"/>
    <w:rsid w:val="6E7A1325"/>
    <w:rsid w:val="6E7F06E9"/>
    <w:rsid w:val="6EAE2137"/>
    <w:rsid w:val="6EAE650B"/>
    <w:rsid w:val="6EB221A0"/>
    <w:rsid w:val="6EB44823"/>
    <w:rsid w:val="6ECF300F"/>
    <w:rsid w:val="6ED07197"/>
    <w:rsid w:val="6EDC1FE0"/>
    <w:rsid w:val="6EDD3B6E"/>
    <w:rsid w:val="6EEE712E"/>
    <w:rsid w:val="6F010C33"/>
    <w:rsid w:val="6F1E6154"/>
    <w:rsid w:val="6F2519C9"/>
    <w:rsid w:val="6F3275E5"/>
    <w:rsid w:val="6F4123F2"/>
    <w:rsid w:val="6F431348"/>
    <w:rsid w:val="6F58000D"/>
    <w:rsid w:val="6F797546"/>
    <w:rsid w:val="6F7C10CD"/>
    <w:rsid w:val="6F7C77BD"/>
    <w:rsid w:val="6F7DC595"/>
    <w:rsid w:val="6F7E7354"/>
    <w:rsid w:val="6F7F1B4B"/>
    <w:rsid w:val="6F8F5D24"/>
    <w:rsid w:val="6F9A4163"/>
    <w:rsid w:val="6FB645DF"/>
    <w:rsid w:val="6FB67229"/>
    <w:rsid w:val="6FC6216F"/>
    <w:rsid w:val="6FCC6066"/>
    <w:rsid w:val="6FCD1A6E"/>
    <w:rsid w:val="6FD77A28"/>
    <w:rsid w:val="6FD95849"/>
    <w:rsid w:val="6FE50A20"/>
    <w:rsid w:val="6FE975B5"/>
    <w:rsid w:val="6FF35895"/>
    <w:rsid w:val="6FFE5F86"/>
    <w:rsid w:val="6FFF5A7F"/>
    <w:rsid w:val="700804DA"/>
    <w:rsid w:val="70182BA3"/>
    <w:rsid w:val="701E0731"/>
    <w:rsid w:val="70291C46"/>
    <w:rsid w:val="702C664F"/>
    <w:rsid w:val="702F586E"/>
    <w:rsid w:val="70335C2F"/>
    <w:rsid w:val="70341DAC"/>
    <w:rsid w:val="70350C60"/>
    <w:rsid w:val="70504B54"/>
    <w:rsid w:val="7075685A"/>
    <w:rsid w:val="70800F28"/>
    <w:rsid w:val="70805004"/>
    <w:rsid w:val="70A30A11"/>
    <w:rsid w:val="70AC2981"/>
    <w:rsid w:val="70AE52B6"/>
    <w:rsid w:val="70B7547C"/>
    <w:rsid w:val="70B84DFB"/>
    <w:rsid w:val="70C04C1F"/>
    <w:rsid w:val="70CE4C96"/>
    <w:rsid w:val="70CF0B3D"/>
    <w:rsid w:val="70F24BB9"/>
    <w:rsid w:val="71000FCE"/>
    <w:rsid w:val="71290DE0"/>
    <w:rsid w:val="71314328"/>
    <w:rsid w:val="71327C95"/>
    <w:rsid w:val="71354387"/>
    <w:rsid w:val="713F1985"/>
    <w:rsid w:val="714317DD"/>
    <w:rsid w:val="71461078"/>
    <w:rsid w:val="715045BF"/>
    <w:rsid w:val="715116D2"/>
    <w:rsid w:val="71520337"/>
    <w:rsid w:val="715C2CB4"/>
    <w:rsid w:val="7162408D"/>
    <w:rsid w:val="71625915"/>
    <w:rsid w:val="716470AE"/>
    <w:rsid w:val="71772542"/>
    <w:rsid w:val="717C3606"/>
    <w:rsid w:val="718C7D8D"/>
    <w:rsid w:val="71900BD9"/>
    <w:rsid w:val="71A92215"/>
    <w:rsid w:val="71AF7711"/>
    <w:rsid w:val="71B21069"/>
    <w:rsid w:val="71B66B18"/>
    <w:rsid w:val="71C8601E"/>
    <w:rsid w:val="71CA73EC"/>
    <w:rsid w:val="71CC3CC0"/>
    <w:rsid w:val="71DB24DA"/>
    <w:rsid w:val="71E37A5C"/>
    <w:rsid w:val="71F633F8"/>
    <w:rsid w:val="71F744F2"/>
    <w:rsid w:val="720A113E"/>
    <w:rsid w:val="72126C7F"/>
    <w:rsid w:val="7218415A"/>
    <w:rsid w:val="721F5CC8"/>
    <w:rsid w:val="72431297"/>
    <w:rsid w:val="72450106"/>
    <w:rsid w:val="72A22DBE"/>
    <w:rsid w:val="72A33D69"/>
    <w:rsid w:val="72BB1F0C"/>
    <w:rsid w:val="72C2233B"/>
    <w:rsid w:val="72C708B1"/>
    <w:rsid w:val="72CC5EC7"/>
    <w:rsid w:val="72D76045"/>
    <w:rsid w:val="72DE9038"/>
    <w:rsid w:val="72E51264"/>
    <w:rsid w:val="72F767B3"/>
    <w:rsid w:val="730F3394"/>
    <w:rsid w:val="731A697D"/>
    <w:rsid w:val="733D4CBA"/>
    <w:rsid w:val="73410663"/>
    <w:rsid w:val="73426189"/>
    <w:rsid w:val="734C2EB7"/>
    <w:rsid w:val="734D40C3"/>
    <w:rsid w:val="735A2220"/>
    <w:rsid w:val="735C7F5D"/>
    <w:rsid w:val="73632A7E"/>
    <w:rsid w:val="7372081D"/>
    <w:rsid w:val="73793F92"/>
    <w:rsid w:val="738A025C"/>
    <w:rsid w:val="739126FA"/>
    <w:rsid w:val="73920EBF"/>
    <w:rsid w:val="73A3444C"/>
    <w:rsid w:val="73D528DA"/>
    <w:rsid w:val="73D52935"/>
    <w:rsid w:val="73D83477"/>
    <w:rsid w:val="73E43E5B"/>
    <w:rsid w:val="73FA1732"/>
    <w:rsid w:val="73FB2F08"/>
    <w:rsid w:val="74026044"/>
    <w:rsid w:val="7410686D"/>
    <w:rsid w:val="74134633"/>
    <w:rsid w:val="74143FCA"/>
    <w:rsid w:val="741B3C37"/>
    <w:rsid w:val="741C1D4D"/>
    <w:rsid w:val="743B2BB7"/>
    <w:rsid w:val="74401B0C"/>
    <w:rsid w:val="745E5840"/>
    <w:rsid w:val="74650F79"/>
    <w:rsid w:val="74687F8F"/>
    <w:rsid w:val="74742AC6"/>
    <w:rsid w:val="747924D5"/>
    <w:rsid w:val="74861898"/>
    <w:rsid w:val="748D443D"/>
    <w:rsid w:val="749F7D37"/>
    <w:rsid w:val="74B518B2"/>
    <w:rsid w:val="74B63C4A"/>
    <w:rsid w:val="74BA691F"/>
    <w:rsid w:val="74BB4445"/>
    <w:rsid w:val="74BF0839"/>
    <w:rsid w:val="74BFAF04"/>
    <w:rsid w:val="74CA4688"/>
    <w:rsid w:val="74CF6187"/>
    <w:rsid w:val="74D038A9"/>
    <w:rsid w:val="74D30D95"/>
    <w:rsid w:val="74DB6895"/>
    <w:rsid w:val="74F62207"/>
    <w:rsid w:val="74FA0D7E"/>
    <w:rsid w:val="74FF4332"/>
    <w:rsid w:val="750D788E"/>
    <w:rsid w:val="75100420"/>
    <w:rsid w:val="752A5775"/>
    <w:rsid w:val="753A15D7"/>
    <w:rsid w:val="75440807"/>
    <w:rsid w:val="754A4575"/>
    <w:rsid w:val="755328D0"/>
    <w:rsid w:val="75555A8B"/>
    <w:rsid w:val="7564688B"/>
    <w:rsid w:val="75745F30"/>
    <w:rsid w:val="758035CF"/>
    <w:rsid w:val="759158DC"/>
    <w:rsid w:val="759C6025"/>
    <w:rsid w:val="75A7264D"/>
    <w:rsid w:val="75B62194"/>
    <w:rsid w:val="75CC5684"/>
    <w:rsid w:val="75D17199"/>
    <w:rsid w:val="75D52C2D"/>
    <w:rsid w:val="75D532E5"/>
    <w:rsid w:val="75DD14AA"/>
    <w:rsid w:val="75EB3544"/>
    <w:rsid w:val="75F57E3E"/>
    <w:rsid w:val="75FA4463"/>
    <w:rsid w:val="76021F59"/>
    <w:rsid w:val="760807B1"/>
    <w:rsid w:val="76320737"/>
    <w:rsid w:val="76432944"/>
    <w:rsid w:val="765B1419"/>
    <w:rsid w:val="76611A76"/>
    <w:rsid w:val="76642C4E"/>
    <w:rsid w:val="76652961"/>
    <w:rsid w:val="7671275F"/>
    <w:rsid w:val="76876CD5"/>
    <w:rsid w:val="76971CDF"/>
    <w:rsid w:val="769D4069"/>
    <w:rsid w:val="76A60379"/>
    <w:rsid w:val="76A71125"/>
    <w:rsid w:val="76A86409"/>
    <w:rsid w:val="76AA5144"/>
    <w:rsid w:val="76AC1D52"/>
    <w:rsid w:val="76BD0685"/>
    <w:rsid w:val="76C43A85"/>
    <w:rsid w:val="76D17F50"/>
    <w:rsid w:val="76D57A40"/>
    <w:rsid w:val="76DE0698"/>
    <w:rsid w:val="76DF0815"/>
    <w:rsid w:val="76E56A8E"/>
    <w:rsid w:val="76F23FB2"/>
    <w:rsid w:val="76F83B54"/>
    <w:rsid w:val="76FF4ABD"/>
    <w:rsid w:val="773125E2"/>
    <w:rsid w:val="774B7D02"/>
    <w:rsid w:val="77512E3F"/>
    <w:rsid w:val="777728A5"/>
    <w:rsid w:val="778046DE"/>
    <w:rsid w:val="778B00FF"/>
    <w:rsid w:val="778B4ADE"/>
    <w:rsid w:val="77942CB2"/>
    <w:rsid w:val="77967123"/>
    <w:rsid w:val="779A3242"/>
    <w:rsid w:val="779BF821"/>
    <w:rsid w:val="779C40C0"/>
    <w:rsid w:val="779E36AD"/>
    <w:rsid w:val="77A03A58"/>
    <w:rsid w:val="77A25449"/>
    <w:rsid w:val="77A45665"/>
    <w:rsid w:val="77AC0674"/>
    <w:rsid w:val="77B533CE"/>
    <w:rsid w:val="77B91110"/>
    <w:rsid w:val="77BA7C86"/>
    <w:rsid w:val="77C53E94"/>
    <w:rsid w:val="77CC7198"/>
    <w:rsid w:val="77CD7F4B"/>
    <w:rsid w:val="77CE2B57"/>
    <w:rsid w:val="77E43DD2"/>
    <w:rsid w:val="77EE4F4C"/>
    <w:rsid w:val="77F6075E"/>
    <w:rsid w:val="77FB5427"/>
    <w:rsid w:val="77FF081E"/>
    <w:rsid w:val="78012A2E"/>
    <w:rsid w:val="780D0A8D"/>
    <w:rsid w:val="780E3485"/>
    <w:rsid w:val="780F5C58"/>
    <w:rsid w:val="78123F65"/>
    <w:rsid w:val="78151A26"/>
    <w:rsid w:val="7819395D"/>
    <w:rsid w:val="781B0F3A"/>
    <w:rsid w:val="782555FC"/>
    <w:rsid w:val="78286AF7"/>
    <w:rsid w:val="782D3663"/>
    <w:rsid w:val="783267CC"/>
    <w:rsid w:val="783A446D"/>
    <w:rsid w:val="7843265A"/>
    <w:rsid w:val="784A599C"/>
    <w:rsid w:val="78506027"/>
    <w:rsid w:val="785C1A9B"/>
    <w:rsid w:val="78600EB5"/>
    <w:rsid w:val="78682B5B"/>
    <w:rsid w:val="786F7A21"/>
    <w:rsid w:val="78757D8A"/>
    <w:rsid w:val="787B63C5"/>
    <w:rsid w:val="788443FC"/>
    <w:rsid w:val="788829E6"/>
    <w:rsid w:val="789B7702"/>
    <w:rsid w:val="78A214CE"/>
    <w:rsid w:val="78BA03C6"/>
    <w:rsid w:val="78E11465"/>
    <w:rsid w:val="78E15348"/>
    <w:rsid w:val="78E91344"/>
    <w:rsid w:val="78EC1071"/>
    <w:rsid w:val="78F47D2D"/>
    <w:rsid w:val="78F64552"/>
    <w:rsid w:val="78F6798A"/>
    <w:rsid w:val="7904460D"/>
    <w:rsid w:val="79156C5A"/>
    <w:rsid w:val="793C5C50"/>
    <w:rsid w:val="795B7FA5"/>
    <w:rsid w:val="79682BBD"/>
    <w:rsid w:val="796B643A"/>
    <w:rsid w:val="796C0923"/>
    <w:rsid w:val="79726CE2"/>
    <w:rsid w:val="79795F5A"/>
    <w:rsid w:val="798D0AD2"/>
    <w:rsid w:val="799040F2"/>
    <w:rsid w:val="79A41C7C"/>
    <w:rsid w:val="79D20267"/>
    <w:rsid w:val="79D30C83"/>
    <w:rsid w:val="79DF1B4D"/>
    <w:rsid w:val="79E166FC"/>
    <w:rsid w:val="79F04002"/>
    <w:rsid w:val="79F81E12"/>
    <w:rsid w:val="79FB19AC"/>
    <w:rsid w:val="7A023EF6"/>
    <w:rsid w:val="7A101951"/>
    <w:rsid w:val="7A170370"/>
    <w:rsid w:val="7A1C65EB"/>
    <w:rsid w:val="7A1E13BB"/>
    <w:rsid w:val="7A2465E9"/>
    <w:rsid w:val="7A3A5144"/>
    <w:rsid w:val="7A570902"/>
    <w:rsid w:val="7A60175F"/>
    <w:rsid w:val="7A6D4189"/>
    <w:rsid w:val="7A7022C9"/>
    <w:rsid w:val="7A72681F"/>
    <w:rsid w:val="7A764B78"/>
    <w:rsid w:val="7A7D7E7C"/>
    <w:rsid w:val="7A9419C0"/>
    <w:rsid w:val="7A951FC7"/>
    <w:rsid w:val="7A9F774F"/>
    <w:rsid w:val="7AA576F6"/>
    <w:rsid w:val="7AAD6B20"/>
    <w:rsid w:val="7AB31DBA"/>
    <w:rsid w:val="7ABD0F17"/>
    <w:rsid w:val="7AC871C7"/>
    <w:rsid w:val="7ACC1665"/>
    <w:rsid w:val="7AD46E57"/>
    <w:rsid w:val="7AD54C34"/>
    <w:rsid w:val="7AD87858"/>
    <w:rsid w:val="7ADC3F30"/>
    <w:rsid w:val="7ADE49EA"/>
    <w:rsid w:val="7AED3CEE"/>
    <w:rsid w:val="7AEF4A13"/>
    <w:rsid w:val="7B020435"/>
    <w:rsid w:val="7B0703E4"/>
    <w:rsid w:val="7B103C8D"/>
    <w:rsid w:val="7B205002"/>
    <w:rsid w:val="7B214B9C"/>
    <w:rsid w:val="7B265465"/>
    <w:rsid w:val="7B292324"/>
    <w:rsid w:val="7B3D9FA7"/>
    <w:rsid w:val="7B445833"/>
    <w:rsid w:val="7B7D212A"/>
    <w:rsid w:val="7B8437E3"/>
    <w:rsid w:val="7B945C5E"/>
    <w:rsid w:val="7BA2010D"/>
    <w:rsid w:val="7BA41D67"/>
    <w:rsid w:val="7BA831B4"/>
    <w:rsid w:val="7BA86FCC"/>
    <w:rsid w:val="7BA97D63"/>
    <w:rsid w:val="7BB30F09"/>
    <w:rsid w:val="7BB5399C"/>
    <w:rsid w:val="7BE2051A"/>
    <w:rsid w:val="7BEE023A"/>
    <w:rsid w:val="7BF000D4"/>
    <w:rsid w:val="7BF01892"/>
    <w:rsid w:val="7BFC02C5"/>
    <w:rsid w:val="7C0579D9"/>
    <w:rsid w:val="7C28417F"/>
    <w:rsid w:val="7C330D65"/>
    <w:rsid w:val="7C362405"/>
    <w:rsid w:val="7C4518F1"/>
    <w:rsid w:val="7C474DF4"/>
    <w:rsid w:val="7C632338"/>
    <w:rsid w:val="7C691EE7"/>
    <w:rsid w:val="7C705B15"/>
    <w:rsid w:val="7C7575D0"/>
    <w:rsid w:val="7C7D7BB2"/>
    <w:rsid w:val="7C7E7DC7"/>
    <w:rsid w:val="7C8617DD"/>
    <w:rsid w:val="7C947A56"/>
    <w:rsid w:val="7C9A7A0D"/>
    <w:rsid w:val="7CA05A4B"/>
    <w:rsid w:val="7CA26617"/>
    <w:rsid w:val="7CA81753"/>
    <w:rsid w:val="7CB20432"/>
    <w:rsid w:val="7CB26258"/>
    <w:rsid w:val="7CC40EDF"/>
    <w:rsid w:val="7CC70BC5"/>
    <w:rsid w:val="7CCF0A8E"/>
    <w:rsid w:val="7CE24C65"/>
    <w:rsid w:val="7CE3278B"/>
    <w:rsid w:val="7CE33D99"/>
    <w:rsid w:val="7CE75026"/>
    <w:rsid w:val="7CEC6459"/>
    <w:rsid w:val="7CED5A7E"/>
    <w:rsid w:val="7D024850"/>
    <w:rsid w:val="7D194306"/>
    <w:rsid w:val="7D1B284D"/>
    <w:rsid w:val="7D1B3CD3"/>
    <w:rsid w:val="7D2233F9"/>
    <w:rsid w:val="7D272678"/>
    <w:rsid w:val="7D2801DA"/>
    <w:rsid w:val="7D292894"/>
    <w:rsid w:val="7D2D0BE9"/>
    <w:rsid w:val="7D3A306F"/>
    <w:rsid w:val="7D407BDD"/>
    <w:rsid w:val="7D4166AE"/>
    <w:rsid w:val="7D432D4D"/>
    <w:rsid w:val="7D473DD3"/>
    <w:rsid w:val="7D585054"/>
    <w:rsid w:val="7D660EC3"/>
    <w:rsid w:val="7D733B0F"/>
    <w:rsid w:val="7D752390"/>
    <w:rsid w:val="7D7B26FD"/>
    <w:rsid w:val="7D8B6F98"/>
    <w:rsid w:val="7D902913"/>
    <w:rsid w:val="7D9121E7"/>
    <w:rsid w:val="7DA00BB7"/>
    <w:rsid w:val="7DA74434"/>
    <w:rsid w:val="7DAB5FD5"/>
    <w:rsid w:val="7DAF5004"/>
    <w:rsid w:val="7DC557DE"/>
    <w:rsid w:val="7DE1703E"/>
    <w:rsid w:val="7DEE4DFB"/>
    <w:rsid w:val="7DF1189C"/>
    <w:rsid w:val="7DFA791B"/>
    <w:rsid w:val="7DFD7EC1"/>
    <w:rsid w:val="7E197D90"/>
    <w:rsid w:val="7E21461F"/>
    <w:rsid w:val="7E29605A"/>
    <w:rsid w:val="7E3D4760"/>
    <w:rsid w:val="7E411FA0"/>
    <w:rsid w:val="7E4D4360"/>
    <w:rsid w:val="7E553358"/>
    <w:rsid w:val="7E615386"/>
    <w:rsid w:val="7E63219A"/>
    <w:rsid w:val="7E6C0FC8"/>
    <w:rsid w:val="7E6E2BF3"/>
    <w:rsid w:val="7E8F68F6"/>
    <w:rsid w:val="7E953069"/>
    <w:rsid w:val="7EA72608"/>
    <w:rsid w:val="7EA832D9"/>
    <w:rsid w:val="7EA85A3A"/>
    <w:rsid w:val="7EBAEAA8"/>
    <w:rsid w:val="7EBF0A54"/>
    <w:rsid w:val="7ECF4994"/>
    <w:rsid w:val="7EDE258C"/>
    <w:rsid w:val="7EEA1BAF"/>
    <w:rsid w:val="7EF04B10"/>
    <w:rsid w:val="7EFF4B02"/>
    <w:rsid w:val="7F0E29B0"/>
    <w:rsid w:val="7F192FBE"/>
    <w:rsid w:val="7F241EB0"/>
    <w:rsid w:val="7F3B374F"/>
    <w:rsid w:val="7F3F008D"/>
    <w:rsid w:val="7F417AF2"/>
    <w:rsid w:val="7F4BB895"/>
    <w:rsid w:val="7F5D65DE"/>
    <w:rsid w:val="7F61630B"/>
    <w:rsid w:val="7F69341C"/>
    <w:rsid w:val="7F6A0F42"/>
    <w:rsid w:val="7F6B4D85"/>
    <w:rsid w:val="7F6E643D"/>
    <w:rsid w:val="7F714AE8"/>
    <w:rsid w:val="7F746492"/>
    <w:rsid w:val="7F913F52"/>
    <w:rsid w:val="7F99375C"/>
    <w:rsid w:val="7F9A1E17"/>
    <w:rsid w:val="7F9B10FB"/>
    <w:rsid w:val="7FA24B44"/>
    <w:rsid w:val="7FAF7D48"/>
    <w:rsid w:val="7FB572AD"/>
    <w:rsid w:val="7FB83A5B"/>
    <w:rsid w:val="7FB96BA1"/>
    <w:rsid w:val="7FCC20B0"/>
    <w:rsid w:val="7FD14B1D"/>
    <w:rsid w:val="7FD77662"/>
    <w:rsid w:val="7FDD9412"/>
    <w:rsid w:val="7FE04BEF"/>
    <w:rsid w:val="7FF06011"/>
    <w:rsid w:val="7FF07699"/>
    <w:rsid w:val="7FF12162"/>
    <w:rsid w:val="7FFA22C6"/>
    <w:rsid w:val="7FFC956A"/>
    <w:rsid w:val="7FFD1D74"/>
    <w:rsid w:val="7FFE4638"/>
    <w:rsid w:val="7FFF9244"/>
    <w:rsid w:val="9FBCEFEF"/>
    <w:rsid w:val="9FFFEEA9"/>
    <w:rsid w:val="A7EF19A3"/>
    <w:rsid w:val="B756443B"/>
    <w:rsid w:val="B7AFA605"/>
    <w:rsid w:val="B9D735BB"/>
    <w:rsid w:val="BBE88D54"/>
    <w:rsid w:val="BDDDBE5F"/>
    <w:rsid w:val="BDEA80E2"/>
    <w:rsid w:val="BE1F382C"/>
    <w:rsid w:val="BFCFF0FE"/>
    <w:rsid w:val="BFDFF4A1"/>
    <w:rsid w:val="BFED499C"/>
    <w:rsid w:val="C73F8DD9"/>
    <w:rsid w:val="CF1F4758"/>
    <w:rsid w:val="D9FFEB83"/>
    <w:rsid w:val="DB57264C"/>
    <w:rsid w:val="DBFF2C18"/>
    <w:rsid w:val="DC7E0118"/>
    <w:rsid w:val="DEB5E111"/>
    <w:rsid w:val="DF77B095"/>
    <w:rsid w:val="E7DDD554"/>
    <w:rsid w:val="EDFE5D15"/>
    <w:rsid w:val="EDFF0F34"/>
    <w:rsid w:val="EE7DBB0F"/>
    <w:rsid w:val="F3DA4BD6"/>
    <w:rsid w:val="F755205E"/>
    <w:rsid w:val="F7B3F94B"/>
    <w:rsid w:val="F7EF331C"/>
    <w:rsid w:val="F9FE33CD"/>
    <w:rsid w:val="FBDB6B59"/>
    <w:rsid w:val="FBE715E6"/>
    <w:rsid w:val="FD9FF8E1"/>
    <w:rsid w:val="FDF11AFE"/>
    <w:rsid w:val="FEFEBAF5"/>
    <w:rsid w:val="FF5F5589"/>
    <w:rsid w:val="FF7EC9C5"/>
    <w:rsid w:val="FF8F10A3"/>
    <w:rsid w:val="FFCAD2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adjustRightInd w:val="0"/>
      <w:spacing w:line="312" w:lineRule="atLeast"/>
      <w:ind w:firstLine="420"/>
      <w:textAlignment w:val="baseline"/>
    </w:pPr>
    <w:rPr>
      <w:rFonts w:ascii="宋体" w:hAnsi="Courier New"/>
      <w:kern w:val="0"/>
    </w:rPr>
  </w:style>
  <w:style w:type="paragraph" w:styleId="8">
    <w:name w:val="annotation text"/>
    <w:basedOn w:val="1"/>
    <w:link w:val="73"/>
    <w:qFormat/>
    <w:uiPriority w:val="0"/>
    <w:pPr>
      <w:jc w:val="left"/>
    </w:pPr>
    <w:rPr>
      <w:rFonts w:ascii="Times New Roman" w:hAnsi="Times New Roman"/>
    </w:rPr>
  </w:style>
  <w:style w:type="paragraph" w:styleId="9">
    <w:name w:val="Body Text"/>
    <w:basedOn w:val="1"/>
    <w:next w:val="1"/>
    <w:qFormat/>
    <w:uiPriority w:val="0"/>
    <w:pPr>
      <w:spacing w:after="120"/>
    </w:pPr>
  </w:style>
  <w:style w:type="paragraph" w:styleId="10">
    <w:name w:val="Body Text Indent"/>
    <w:basedOn w:val="1"/>
    <w:next w:val="11"/>
    <w:link w:val="79"/>
    <w:qFormat/>
    <w:uiPriority w:val="0"/>
    <w:pPr>
      <w:ind w:left="480" w:hanging="480" w:hangingChars="200"/>
    </w:pPr>
    <w:rPr>
      <w:sz w:val="24"/>
    </w:rPr>
  </w:style>
  <w:style w:type="paragraph" w:styleId="11">
    <w:name w:val="envelope return"/>
    <w:basedOn w:val="1"/>
    <w:qFormat/>
    <w:uiPriority w:val="0"/>
    <w:pPr>
      <w:snapToGrid w:val="0"/>
    </w:pPr>
    <w:rPr>
      <w:rFonts w:ascii="Arial" w:hAnsi="Arial"/>
    </w:rPr>
  </w:style>
  <w:style w:type="paragraph" w:styleId="12">
    <w:name w:val="List 2"/>
    <w:basedOn w:val="1"/>
    <w:qFormat/>
    <w:uiPriority w:val="99"/>
    <w:pPr>
      <w:ind w:left="100" w:leftChars="200" w:hanging="200" w:hangingChars="200"/>
    </w:pPr>
    <w:rPr>
      <w:sz w:val="28"/>
      <w:szCs w:val="28"/>
    </w:rPr>
  </w:style>
  <w:style w:type="paragraph" w:styleId="13">
    <w:name w:val="Block Text"/>
    <w:basedOn w:val="1"/>
    <w:qFormat/>
    <w:uiPriority w:val="99"/>
    <w:pPr>
      <w:spacing w:after="120"/>
      <w:ind w:left="1440" w:leftChars="700" w:right="1440" w:rightChars="700"/>
    </w:pPr>
  </w:style>
  <w:style w:type="paragraph" w:styleId="14">
    <w:name w:val="Plain Text"/>
    <w:basedOn w:val="1"/>
    <w:link w:val="75"/>
    <w:qFormat/>
    <w:uiPriority w:val="0"/>
    <w:pPr>
      <w:widowControl/>
      <w:overflowPunct w:val="0"/>
      <w:autoSpaceDE w:val="0"/>
      <w:autoSpaceDN w:val="0"/>
      <w:adjustRightInd w:val="0"/>
      <w:jc w:val="left"/>
      <w:textAlignment w:val="baseline"/>
    </w:pPr>
    <w:rPr>
      <w:rFonts w:ascii="宋体" w:hAnsi="Courier New"/>
      <w:sz w:val="24"/>
    </w:rPr>
  </w:style>
  <w:style w:type="paragraph" w:styleId="15">
    <w:name w:val="Date"/>
    <w:basedOn w:val="1"/>
    <w:next w:val="1"/>
    <w:qFormat/>
    <w:uiPriority w:val="0"/>
    <w:pPr>
      <w:ind w:left="2500" w:leftChars="2500"/>
    </w:pPr>
    <w:rPr>
      <w:rFonts w:eastAsia="楷体_GB2312"/>
      <w:sz w:val="32"/>
      <w:szCs w:val="20"/>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76"/>
    <w:qFormat/>
    <w:uiPriority w:val="0"/>
    <w:rPr>
      <w:rFonts w:ascii="Times New Roman" w:hAnsi="Times New Roman"/>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unhideWhenUsed/>
    <w:qFormat/>
    <w:uiPriority w:val="0"/>
    <w:rPr>
      <w:rFonts w:ascii="Times New Roman" w:hAnsi="Times New Roman"/>
    </w:rPr>
  </w:style>
  <w:style w:type="paragraph" w:styleId="21">
    <w:name w:val="toc 4"/>
    <w:basedOn w:val="1"/>
    <w:next w:val="1"/>
    <w:unhideWhenUsed/>
    <w:qFormat/>
    <w:uiPriority w:val="39"/>
    <w:pPr>
      <w:ind w:left="1260" w:leftChars="600"/>
    </w:pPr>
  </w:style>
  <w:style w:type="paragraph" w:styleId="22">
    <w:name w:val="Subtitle"/>
    <w:basedOn w:val="1"/>
    <w:next w:val="1"/>
    <w:qFormat/>
    <w:uiPriority w:val="0"/>
    <w:pPr>
      <w:spacing w:before="240" w:after="60" w:line="312" w:lineRule="auto"/>
      <w:jc w:val="center"/>
      <w:outlineLvl w:val="1"/>
    </w:pPr>
    <w:rPr>
      <w:rFonts w:ascii="Cambria" w:hAnsi="Cambria"/>
      <w:bCs/>
      <w:kern w:val="28"/>
      <w:sz w:val="32"/>
      <w:szCs w:val="32"/>
    </w:rPr>
  </w:style>
  <w:style w:type="paragraph" w:styleId="23">
    <w:name w:val="List"/>
    <w:basedOn w:val="1"/>
    <w:qFormat/>
    <w:uiPriority w:val="0"/>
    <w:pPr>
      <w:ind w:left="200" w:hanging="200" w:hangingChars="200"/>
    </w:pPr>
  </w:style>
  <w:style w:type="paragraph" w:styleId="24">
    <w:name w:val="footnote text"/>
    <w:basedOn w:val="1"/>
    <w:link w:val="78"/>
    <w:qFormat/>
    <w:uiPriority w:val="99"/>
    <w:pPr>
      <w:snapToGrid w:val="0"/>
      <w:jc w:val="left"/>
    </w:pPr>
    <w:rPr>
      <w:sz w:val="18"/>
    </w:rPr>
  </w:style>
  <w:style w:type="paragraph" w:styleId="25">
    <w:name w:val="toc 6"/>
    <w:basedOn w:val="1"/>
    <w:next w:val="1"/>
    <w:qFormat/>
    <w:uiPriority w:val="0"/>
    <w:pPr>
      <w:spacing w:line="360" w:lineRule="auto"/>
      <w:ind w:left="1200" w:firstLine="200" w:firstLineChars="200"/>
      <w:jc w:val="left"/>
    </w:pPr>
    <w:rPr>
      <w:rFonts w:cs="Calibri"/>
      <w:sz w:val="18"/>
      <w:szCs w:val="18"/>
    </w:rPr>
  </w:style>
  <w:style w:type="paragraph" w:styleId="26">
    <w:name w:val="toc 2"/>
    <w:basedOn w:val="1"/>
    <w:next w:val="1"/>
    <w:qFormat/>
    <w:uiPriority w:val="99"/>
    <w:pPr>
      <w:tabs>
        <w:tab w:val="right" w:leader="dot" w:pos="8302"/>
      </w:tabs>
      <w:ind w:left="200" w:leftChars="200"/>
    </w:pPr>
    <w:rPr>
      <w:b/>
      <w:sz w:val="24"/>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next w:val="1"/>
    <w:qFormat/>
    <w:uiPriority w:val="0"/>
    <w:pPr>
      <w:spacing w:before="240" w:after="60"/>
      <w:jc w:val="center"/>
      <w:outlineLvl w:val="0"/>
    </w:pPr>
    <w:rPr>
      <w:rFonts w:ascii="Cambria" w:hAnsi="Cambria"/>
      <w:b/>
      <w:bCs/>
      <w:sz w:val="32"/>
      <w:szCs w:val="32"/>
    </w:rPr>
  </w:style>
  <w:style w:type="paragraph" w:styleId="29">
    <w:name w:val="annotation subject"/>
    <w:basedOn w:val="8"/>
    <w:next w:val="8"/>
    <w:link w:val="77"/>
    <w:qFormat/>
    <w:uiPriority w:val="0"/>
    <w:rPr>
      <w:b/>
      <w:bCs/>
    </w:rPr>
  </w:style>
  <w:style w:type="paragraph" w:styleId="30">
    <w:name w:val="Body Text First Indent"/>
    <w:basedOn w:val="9"/>
    <w:qFormat/>
    <w:uiPriority w:val="0"/>
    <w:pPr>
      <w:autoSpaceDE w:val="0"/>
      <w:autoSpaceDN w:val="0"/>
      <w:adjustRightInd w:val="0"/>
      <w:ind w:firstLine="420" w:firstLineChars="100"/>
      <w:jc w:val="left"/>
    </w:pPr>
    <w:rPr>
      <w:rFonts w:ascii="仿宋_GB2312"/>
      <w:b/>
      <w:kern w:val="0"/>
      <w:sz w:val="32"/>
      <w:szCs w:val="32"/>
    </w:rPr>
  </w:style>
  <w:style w:type="paragraph" w:styleId="31">
    <w:name w:val="Body Text First Indent 2"/>
    <w:basedOn w:val="10"/>
    <w:unhideWhenUsed/>
    <w:qFormat/>
    <w:uiPriority w:val="99"/>
    <w:pPr>
      <w:ind w:firstLine="420"/>
    </w:p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rPr>
  </w:style>
  <w:style w:type="character" w:styleId="36">
    <w:name w:val="page number"/>
    <w:basedOn w:val="34"/>
    <w:unhideWhenUsed/>
    <w:qFormat/>
    <w:uiPriority w:val="0"/>
  </w:style>
  <w:style w:type="character" w:styleId="37">
    <w:name w:val="Emphasis"/>
    <w:basedOn w:val="34"/>
    <w:qFormat/>
    <w:uiPriority w:val="20"/>
    <w:rPr>
      <w:i/>
      <w:iCs/>
    </w:rPr>
  </w:style>
  <w:style w:type="character" w:styleId="38">
    <w:name w:val="Hyperlink"/>
    <w:basedOn w:val="34"/>
    <w:qFormat/>
    <w:uiPriority w:val="0"/>
  </w:style>
  <w:style w:type="character" w:styleId="39">
    <w:name w:val="annotation reference"/>
    <w:basedOn w:val="34"/>
    <w:qFormat/>
    <w:uiPriority w:val="99"/>
    <w:rPr>
      <w:sz w:val="21"/>
      <w:szCs w:val="21"/>
    </w:rPr>
  </w:style>
  <w:style w:type="character" w:styleId="40">
    <w:name w:val="footnote reference"/>
    <w:basedOn w:val="34"/>
    <w:qFormat/>
    <w:uiPriority w:val="99"/>
    <w:rPr>
      <w:rFonts w:cs="Times New Roman"/>
      <w:vertAlign w:val="superscript"/>
    </w:rPr>
  </w:style>
  <w:style w:type="character" w:styleId="41">
    <w:name w:val="HTML Sample"/>
    <w:basedOn w:val="34"/>
    <w:qFormat/>
    <w:uiPriority w:val="0"/>
    <w:rPr>
      <w:rFonts w:ascii="Courier New" w:hAnsi="Courier New"/>
    </w:rPr>
  </w:style>
  <w:style w:type="paragraph" w:customStyle="1" w:styleId="4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43">
    <w:name w:val="Normal Indent1"/>
    <w:basedOn w:val="1"/>
    <w:qFormat/>
    <w:uiPriority w:val="0"/>
    <w:pPr>
      <w:ind w:firstLine="420" w:firstLineChars="200"/>
    </w:pPr>
  </w:style>
  <w:style w:type="paragraph" w:customStyle="1" w:styleId="4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DAS正文"/>
    <w:basedOn w:val="1"/>
    <w:qFormat/>
    <w:uiPriority w:val="0"/>
    <w:pPr>
      <w:spacing w:line="360" w:lineRule="auto"/>
      <w:ind w:right="181" w:firstLine="480"/>
    </w:pPr>
    <w:rPr>
      <w:rFonts w:ascii="Verdana" w:hAnsi="Verdana"/>
      <w:szCs w:val="24"/>
    </w:rPr>
  </w:style>
  <w:style w:type="paragraph" w:customStyle="1" w:styleId="46">
    <w:name w:val="[Normal]"/>
    <w:qFormat/>
    <w:uiPriority w:val="99"/>
    <w:rPr>
      <w:rFonts w:ascii="宋体" w:hAnsi="宋体" w:eastAsia="宋体" w:cs="Times New Roman"/>
      <w:sz w:val="24"/>
      <w:szCs w:val="22"/>
      <w:lang w:val="zh-CN" w:eastAsia="zh-CN" w:bidi="ar-SA"/>
    </w:rPr>
  </w:style>
  <w:style w:type="paragraph" w:customStyle="1" w:styleId="4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表格文字"/>
    <w:basedOn w:val="1"/>
    <w:next w:val="9"/>
    <w:qFormat/>
    <w:uiPriority w:val="0"/>
    <w:pPr>
      <w:adjustRightInd w:val="0"/>
      <w:spacing w:line="420" w:lineRule="atLeast"/>
      <w:jc w:val="left"/>
      <w:textAlignment w:val="baseline"/>
    </w:pPr>
    <w:rPr>
      <w:kern w:val="0"/>
      <w:szCs w:val="24"/>
    </w:rPr>
  </w:style>
  <w:style w:type="paragraph" w:customStyle="1" w:styleId="49">
    <w:name w:val="正文1"/>
    <w:basedOn w:val="1"/>
    <w:qFormat/>
    <w:uiPriority w:val="0"/>
    <w:rPr>
      <w:rFonts w:ascii="宋体" w:hAnsi="宋体" w:cs="宋体"/>
    </w:rPr>
  </w:style>
  <w:style w:type="paragraph" w:customStyle="1" w:styleId="50">
    <w:name w:val="正文2"/>
    <w:basedOn w:val="1"/>
    <w:qFormat/>
    <w:uiPriority w:val="0"/>
    <w:pPr>
      <w:spacing w:before="156" w:line="360" w:lineRule="auto"/>
      <w:ind w:firstLine="510" w:firstLineChars="200"/>
    </w:pPr>
    <w:rPr>
      <w:sz w:val="24"/>
      <w:szCs w:val="20"/>
    </w:rPr>
  </w:style>
  <w:style w:type="paragraph" w:customStyle="1" w:styleId="51">
    <w:name w:val="列表段落1"/>
    <w:basedOn w:val="1"/>
    <w:qFormat/>
    <w:uiPriority w:val="34"/>
    <w:pPr>
      <w:widowControl/>
      <w:ind w:firstLine="420" w:firstLineChars="200"/>
      <w:jc w:val="left"/>
    </w:pPr>
    <w:rPr>
      <w:rFonts w:eastAsia="微软雅黑"/>
      <w:szCs w:val="20"/>
    </w:rPr>
  </w:style>
  <w:style w:type="paragraph" w:customStyle="1" w:styleId="52">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3">
    <w:name w:val="样式1"/>
    <w:basedOn w:val="2"/>
    <w:qFormat/>
    <w:uiPriority w:val="0"/>
    <w:pPr>
      <w:tabs>
        <w:tab w:val="left" w:pos="425"/>
      </w:tabs>
      <w:spacing w:beforeLines="50" w:line="240" w:lineRule="auto"/>
      <w:jc w:val="center"/>
    </w:pPr>
    <w:rPr>
      <w:rFonts w:ascii="宋体" w:hAnsi="宋体"/>
      <w:sz w:val="21"/>
      <w:szCs w:val="36"/>
    </w:rPr>
  </w:style>
  <w:style w:type="paragraph" w:customStyle="1" w:styleId="54">
    <w:name w:val="正文，段落，小四，22磅行距"/>
    <w:basedOn w:val="1"/>
    <w:qFormat/>
    <w:uiPriority w:val="0"/>
    <w:pPr>
      <w:spacing w:line="440" w:lineRule="exact"/>
      <w:ind w:firstLine="420"/>
    </w:pPr>
    <w:rPr>
      <w:kern w:val="0"/>
      <w:sz w:val="24"/>
      <w:szCs w:val="24"/>
    </w:rPr>
  </w:style>
  <w:style w:type="paragraph" w:customStyle="1" w:styleId="55">
    <w:name w:val="列出段落2"/>
    <w:basedOn w:val="1"/>
    <w:qFormat/>
    <w:uiPriority w:val="34"/>
    <w:pPr>
      <w:widowControl/>
      <w:ind w:firstLine="420" w:firstLineChars="200"/>
      <w:jc w:val="left"/>
    </w:pPr>
    <w:rPr>
      <w:rFonts w:eastAsia="微软雅黑"/>
      <w:szCs w:val="20"/>
    </w:rPr>
  </w:style>
  <w:style w:type="paragraph" w:customStyle="1" w:styleId="56">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7">
    <w:name w:val="偏离表"/>
    <w:basedOn w:val="1"/>
    <w:qFormat/>
    <w:uiPriority w:val="0"/>
    <w:pPr>
      <w:jc w:val="center"/>
    </w:pPr>
    <w:rPr>
      <w:sz w:val="18"/>
    </w:rPr>
  </w:style>
  <w:style w:type="paragraph" w:customStyle="1" w:styleId="58">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60">
    <w:name w:val="默认段落字体 Para Char Char Char Char Char Char Char Char Char1 Char Char Char Char"/>
    <w:basedOn w:val="1"/>
    <w:qFormat/>
    <w:uiPriority w:val="99"/>
    <w:rPr>
      <w:rFonts w:ascii="Tahoma" w:hAnsi="Tahoma" w:cs="Tahoma"/>
      <w:sz w:val="24"/>
      <w:szCs w:val="24"/>
    </w:rPr>
  </w:style>
  <w:style w:type="paragraph" w:customStyle="1" w:styleId="61">
    <w:name w:val="列出段落1"/>
    <w:basedOn w:val="1"/>
    <w:qFormat/>
    <w:uiPriority w:val="99"/>
    <w:pPr>
      <w:ind w:firstLine="420" w:firstLineChars="200"/>
    </w:pPr>
  </w:style>
  <w:style w:type="paragraph" w:customStyle="1" w:styleId="62">
    <w:name w:val="首行缩进"/>
    <w:basedOn w:val="1"/>
    <w:qFormat/>
    <w:uiPriority w:val="0"/>
    <w:pPr>
      <w:spacing w:line="360" w:lineRule="auto"/>
      <w:ind w:firstLine="420"/>
    </w:pPr>
    <w:rPr>
      <w:rFonts w:cs="宋体"/>
      <w:szCs w:val="20"/>
    </w:rPr>
  </w:style>
  <w:style w:type="paragraph" w:customStyle="1" w:styleId="63">
    <w:name w:val="纯文本2"/>
    <w:basedOn w:val="64"/>
    <w:qFormat/>
    <w:uiPriority w:val="0"/>
    <w:pPr>
      <w:widowControl/>
      <w:jc w:val="left"/>
    </w:pPr>
    <w:rPr>
      <w:rFonts w:ascii="宋体" w:hAnsi="Courier New"/>
    </w:rPr>
  </w:style>
  <w:style w:type="paragraph" w:customStyle="1" w:styleId="64">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6">
    <w:name w:val="Plain Text1"/>
    <w:basedOn w:val="67"/>
    <w:qFormat/>
    <w:uiPriority w:val="0"/>
    <w:pPr>
      <w:adjustRightInd w:val="0"/>
    </w:pPr>
    <w:rPr>
      <w:rFonts w:hint="eastAsia" w:ascii="宋体" w:hAnsi="Courier New" w:eastAsia="楷体_GB2312"/>
      <w:sz w:val="28"/>
    </w:rPr>
  </w:style>
  <w:style w:type="paragraph" w:customStyle="1" w:styleId="67">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正文文字3"/>
    <w:basedOn w:val="9"/>
    <w:qFormat/>
    <w:uiPriority w:val="0"/>
    <w:pPr>
      <w:spacing w:after="0"/>
    </w:pPr>
  </w:style>
  <w:style w:type="paragraph" w:customStyle="1" w:styleId="6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70">
    <w:name w:val="正文文本 21"/>
    <w:basedOn w:val="1"/>
    <w:qFormat/>
    <w:uiPriority w:val="0"/>
    <w:pPr>
      <w:adjustRightInd w:val="0"/>
      <w:spacing w:line="300" w:lineRule="auto"/>
      <w:jc w:val="center"/>
    </w:pPr>
    <w:rPr>
      <w:rFonts w:ascii="宋体" w:hAnsi="宋体"/>
      <w:sz w:val="24"/>
    </w:rPr>
  </w:style>
  <w:style w:type="paragraph" w:customStyle="1" w:styleId="71">
    <w:name w:val="Body text|3"/>
    <w:basedOn w:val="1"/>
    <w:qFormat/>
    <w:uiPriority w:val="0"/>
    <w:pPr>
      <w:spacing w:after="380"/>
      <w:jc w:val="center"/>
    </w:pPr>
    <w:rPr>
      <w:rFonts w:ascii="宋体" w:hAnsi="宋体" w:cs="宋体"/>
      <w:sz w:val="26"/>
      <w:szCs w:val="26"/>
      <w:lang w:val="zh-TW" w:eastAsia="zh-TW" w:bidi="zh-TW"/>
    </w:rPr>
  </w:style>
  <w:style w:type="paragraph" w:customStyle="1" w:styleId="72">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3">
    <w:name w:val="批注文字 字符"/>
    <w:link w:val="8"/>
    <w:qFormat/>
    <w:uiPriority w:val="0"/>
    <w:rPr>
      <w:rFonts w:ascii="Times New Roman" w:hAnsi="Times New Roman" w:eastAsia="宋体" w:cs="Times New Roman"/>
      <w:kern w:val="2"/>
      <w:sz w:val="21"/>
      <w:szCs w:val="22"/>
    </w:rPr>
  </w:style>
  <w:style w:type="character" w:customStyle="1" w:styleId="74">
    <w:name w:val="font11"/>
    <w:basedOn w:val="34"/>
    <w:qFormat/>
    <w:uiPriority w:val="0"/>
    <w:rPr>
      <w:rFonts w:hint="default" w:ascii="仿宋_GB2312" w:eastAsia="仿宋_GB2312" w:cs="仿宋_GB2312"/>
      <w:color w:val="000000"/>
      <w:sz w:val="24"/>
      <w:szCs w:val="24"/>
      <w:u w:val="none"/>
    </w:rPr>
  </w:style>
  <w:style w:type="character" w:customStyle="1" w:styleId="75">
    <w:name w:val="纯文本 字符"/>
    <w:link w:val="14"/>
    <w:qFormat/>
    <w:uiPriority w:val="0"/>
    <w:rPr>
      <w:rFonts w:ascii="宋体" w:hAnsi="Courier New"/>
      <w:kern w:val="2"/>
      <w:sz w:val="24"/>
      <w:szCs w:val="22"/>
    </w:rPr>
  </w:style>
  <w:style w:type="character" w:customStyle="1" w:styleId="76">
    <w:name w:val="批注框文本 字符"/>
    <w:link w:val="17"/>
    <w:qFormat/>
    <w:uiPriority w:val="0"/>
    <w:rPr>
      <w:kern w:val="2"/>
      <w:sz w:val="18"/>
      <w:szCs w:val="18"/>
    </w:rPr>
  </w:style>
  <w:style w:type="character" w:customStyle="1" w:styleId="77">
    <w:name w:val="批注主题 字符"/>
    <w:basedOn w:val="73"/>
    <w:link w:val="29"/>
    <w:qFormat/>
    <w:uiPriority w:val="0"/>
    <w:rPr>
      <w:rFonts w:ascii="Times New Roman" w:hAnsi="Times New Roman" w:eastAsia="宋体" w:cs="Times New Roman"/>
      <w:kern w:val="2"/>
      <w:sz w:val="21"/>
      <w:szCs w:val="22"/>
    </w:rPr>
  </w:style>
  <w:style w:type="character" w:customStyle="1" w:styleId="78">
    <w:name w:val="脚注文本 字符"/>
    <w:basedOn w:val="34"/>
    <w:link w:val="24"/>
    <w:qFormat/>
    <w:uiPriority w:val="99"/>
    <w:rPr>
      <w:rFonts w:ascii="Calibri" w:hAnsi="Calibri"/>
      <w:kern w:val="2"/>
      <w:sz w:val="18"/>
      <w:szCs w:val="22"/>
    </w:rPr>
  </w:style>
  <w:style w:type="character" w:customStyle="1" w:styleId="79">
    <w:name w:val="正文文本缩进 字符"/>
    <w:basedOn w:val="34"/>
    <w:link w:val="10"/>
    <w:qFormat/>
    <w:uiPriority w:val="0"/>
    <w:rPr>
      <w:rFonts w:hint="default" w:ascii="Calibri" w:hAnsi="Calibri" w:cs="Calibri"/>
      <w:kern w:val="2"/>
      <w:sz w:val="21"/>
      <w:szCs w:val="22"/>
    </w:rPr>
  </w:style>
  <w:style w:type="character" w:customStyle="1" w:styleId="80">
    <w:name w:val="bookmark-item"/>
    <w:basedOn w:val="34"/>
    <w:qFormat/>
    <w:uiPriority w:val="0"/>
  </w:style>
  <w:style w:type="paragraph" w:styleId="81">
    <w:name w:val="List Paragraph"/>
    <w:basedOn w:val="1"/>
    <w:qFormat/>
    <w:uiPriority w:val="34"/>
    <w:pPr>
      <w:ind w:firstLine="420" w:firstLineChars="200"/>
    </w:pPr>
  </w:style>
  <w:style w:type="character" w:customStyle="1" w:styleId="82">
    <w:name w:val="NormalCharacter"/>
    <w:semiHidden/>
    <w:qFormat/>
    <w:uiPriority w:val="0"/>
  </w:style>
  <w:style w:type="paragraph" w:customStyle="1" w:styleId="83">
    <w:name w:val="BodyText1I2"/>
    <w:basedOn w:val="84"/>
    <w:qFormat/>
    <w:uiPriority w:val="0"/>
    <w:pPr>
      <w:ind w:firstLine="420" w:firstLineChars="200"/>
    </w:pPr>
  </w:style>
  <w:style w:type="paragraph" w:customStyle="1" w:styleId="84">
    <w:name w:val="BodyTextIndent"/>
    <w:basedOn w:val="1"/>
    <w:qFormat/>
    <w:uiPriority w:val="0"/>
    <w:pPr>
      <w:spacing w:after="120"/>
      <w:ind w:left="420" w:leftChars="200"/>
    </w:pPr>
  </w:style>
  <w:style w:type="paragraph" w:styleId="85">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6">
    <w:name w:val="正文正"/>
    <w:basedOn w:val="1"/>
    <w:qFormat/>
    <w:uiPriority w:val="0"/>
    <w:pPr>
      <w:spacing w:line="560" w:lineRule="exact"/>
      <w:ind w:firstLine="561"/>
    </w:pPr>
    <w:rPr>
      <w:sz w:val="28"/>
      <w:szCs w:val="28"/>
    </w:rPr>
  </w:style>
  <w:style w:type="paragraph" w:customStyle="1" w:styleId="87">
    <w:name w:val="UserStyle_8"/>
    <w:qFormat/>
    <w:uiPriority w:val="99"/>
    <w:pPr>
      <w:jc w:val="both"/>
      <w:textAlignment w:val="baseline"/>
    </w:pPr>
    <w:rPr>
      <w:rFonts w:ascii="Calibri" w:hAnsi="Calibri" w:eastAsia="宋体" w:cs="Times New Roman"/>
      <w:kern w:val="2"/>
      <w:sz w:val="21"/>
      <w:szCs w:val="24"/>
      <w:lang w:val="en-US" w:eastAsia="zh-CN" w:bidi="ar-SA"/>
    </w:rPr>
  </w:style>
  <w:style w:type="character" w:customStyle="1" w:styleId="88">
    <w:name w:val="apple-converted-space"/>
    <w:qFormat/>
    <w:uiPriority w:val="0"/>
    <w:rPr>
      <w:rFonts w:ascii="Times New Roman" w:hAnsi="Times New Roman" w:eastAsia="宋体" w:cs="Times New Roman"/>
    </w:rPr>
  </w:style>
  <w:style w:type="character" w:customStyle="1" w:styleId="89">
    <w:name w:val="font21"/>
    <w:basedOn w:val="34"/>
    <w:qFormat/>
    <w:uiPriority w:val="0"/>
    <w:rPr>
      <w:rFonts w:hint="eastAsia" w:ascii="宋体" w:hAnsi="宋体" w:eastAsia="宋体" w:cs="宋体"/>
      <w:color w:val="000000"/>
      <w:sz w:val="21"/>
      <w:szCs w:val="21"/>
      <w:u w:val="none"/>
    </w:rPr>
  </w:style>
  <w:style w:type="character" w:customStyle="1" w:styleId="90">
    <w:name w:val="font41"/>
    <w:basedOn w:val="34"/>
    <w:qFormat/>
    <w:uiPriority w:val="0"/>
    <w:rPr>
      <w:rFonts w:hint="eastAsia" w:ascii="宋体" w:hAnsi="宋体" w:eastAsia="宋体" w:cs="宋体"/>
      <w:color w:val="FF0000"/>
      <w:sz w:val="20"/>
      <w:szCs w:val="20"/>
      <w:u w:val="none"/>
    </w:rPr>
  </w:style>
  <w:style w:type="character" w:customStyle="1" w:styleId="91">
    <w:name w:val="font31"/>
    <w:basedOn w:val="34"/>
    <w:qFormat/>
    <w:uiPriority w:val="0"/>
    <w:rPr>
      <w:rFonts w:hint="eastAsia" w:ascii="宋体" w:hAnsi="宋体" w:eastAsia="宋体" w:cs="宋体"/>
      <w:b/>
      <w:bCs/>
      <w:color w:val="000000"/>
      <w:sz w:val="22"/>
      <w:szCs w:val="22"/>
      <w:u w:val="none"/>
    </w:rPr>
  </w:style>
  <w:style w:type="paragraph" w:customStyle="1" w:styleId="92">
    <w:name w:val="_Style 1"/>
    <w:basedOn w:val="1"/>
    <w:qFormat/>
    <w:uiPriority w:val="34"/>
    <w:pPr>
      <w:widowControl/>
      <w:spacing w:before="100" w:beforeAutospacing="1" w:after="100" w:afterAutospacing="1" w:line="360" w:lineRule="auto"/>
      <w:ind w:left="57" w:firstLine="420" w:firstLineChars="200"/>
      <w:jc w:val="left"/>
    </w:pPr>
    <w:rPr>
      <w:rFonts w:ascii="Arial" w:hAnsi="Arial" w:cs="Arial"/>
      <w:bCs/>
      <w:iCs/>
      <w:kern w:val="0"/>
      <w:sz w:val="18"/>
      <w:szCs w:val="28"/>
    </w:rPr>
  </w:style>
  <w:style w:type="character" w:customStyle="1" w:styleId="93">
    <w:name w:val="font81"/>
    <w:basedOn w:val="34"/>
    <w:qFormat/>
    <w:uiPriority w:val="0"/>
    <w:rPr>
      <w:rFonts w:hint="default" w:ascii="仿宋_GB2312" w:eastAsia="仿宋_GB2312" w:cs="仿宋_GB2312"/>
      <w:color w:val="000000"/>
      <w:sz w:val="22"/>
      <w:szCs w:val="22"/>
      <w:u w:val="none"/>
    </w:rPr>
  </w:style>
  <w:style w:type="paragraph" w:customStyle="1" w:styleId="9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5">
    <w:name w:val="无间隔11"/>
    <w:qFormat/>
    <w:uiPriority w:val="1"/>
    <w:pPr>
      <w:widowControl w:val="0"/>
      <w:jc w:val="both"/>
    </w:pPr>
    <w:rPr>
      <w:rFonts w:ascii="Calibri" w:hAnsi="Calibri" w:eastAsia="宋体" w:cs="Times New Roman"/>
      <w:kern w:val="2"/>
      <w:sz w:val="21"/>
      <w:szCs w:val="22"/>
      <w:lang w:val="en-US" w:eastAsia="zh-CN" w:bidi="ar-SA"/>
    </w:rPr>
  </w:style>
  <w:style w:type="character" w:customStyle="1" w:styleId="96">
    <w:name w:val="font51"/>
    <w:basedOn w:val="34"/>
    <w:qFormat/>
    <w:uiPriority w:val="0"/>
    <w:rPr>
      <w:rFonts w:hint="eastAsia" w:ascii="宋体" w:hAnsi="宋体" w:eastAsia="宋体" w:cs="宋体"/>
      <w:b/>
      <w:color w:val="000000"/>
      <w:sz w:val="18"/>
      <w:szCs w:val="18"/>
      <w:u w:val="none"/>
    </w:rPr>
  </w:style>
  <w:style w:type="character" w:customStyle="1" w:styleId="97">
    <w:name w:val="font61"/>
    <w:basedOn w:val="34"/>
    <w:qFormat/>
    <w:uiPriority w:val="0"/>
    <w:rPr>
      <w:rFonts w:hint="default" w:ascii="等线" w:hAnsi="等线" w:eastAsia="等线" w:cs="等线"/>
      <w:b/>
      <w:bCs/>
      <w:color w:val="000000"/>
      <w:sz w:val="18"/>
      <w:szCs w:val="18"/>
      <w:u w:val="none"/>
    </w:rPr>
  </w:style>
  <w:style w:type="table" w:customStyle="1" w:styleId="98">
    <w:name w:val="Table Normal1"/>
    <w:unhideWhenUsed/>
    <w:qFormat/>
    <w:uiPriority w:val="2"/>
    <w:pPr>
      <w:widowControl w:val="0"/>
    </w:pPr>
    <w:rPr>
      <w:rFonts w:ascii="等线" w:hAnsi="等线" w:eastAsia="等线"/>
      <w:sz w:val="22"/>
      <w:szCs w:val="22"/>
      <w:lang w:eastAsia="en-US"/>
    </w:rPr>
    <w:tblPr>
      <w:tblCellMar>
        <w:top w:w="0" w:type="dxa"/>
        <w:left w:w="0" w:type="dxa"/>
        <w:bottom w:w="0" w:type="dxa"/>
        <w:right w:w="0" w:type="dxa"/>
      </w:tblCellMar>
    </w:tblPr>
  </w:style>
  <w:style w:type="table" w:customStyle="1" w:styleId="99">
    <w:name w:val="Table Normal2"/>
    <w:unhideWhenUsed/>
    <w:qFormat/>
    <w:uiPriority w:val="2"/>
    <w:pPr>
      <w:widowControl w:val="0"/>
    </w:pPr>
    <w:rPr>
      <w:rFonts w:ascii="等线" w:hAnsi="等线" w:eastAsia="等线"/>
      <w:sz w:val="22"/>
      <w:szCs w:val="22"/>
      <w:lang w:eastAsia="en-US"/>
    </w:rPr>
    <w:tblPr>
      <w:tblCellMar>
        <w:top w:w="0" w:type="dxa"/>
        <w:left w:w="0" w:type="dxa"/>
        <w:bottom w:w="0" w:type="dxa"/>
        <w:right w:w="0" w:type="dxa"/>
      </w:tblCellMar>
    </w:tblPr>
  </w:style>
  <w:style w:type="paragraph" w:customStyle="1" w:styleId="100">
    <w:name w:val="样式2"/>
    <w:basedOn w:val="81"/>
    <w:qFormat/>
    <w:uiPriority w:val="0"/>
    <w:pPr>
      <w:numPr>
        <w:ilvl w:val="0"/>
        <w:numId w:val="2"/>
      </w:numPr>
      <w:snapToGrid w:val="0"/>
      <w:spacing w:line="288" w:lineRule="auto"/>
      <w:ind w:firstLine="0" w:firstLineChars="0"/>
    </w:pPr>
    <w:rPr>
      <w:rFonts w:ascii="微软雅黑" w:hAnsi="微软雅黑" w:eastAsia="微软雅黑" w:cstheme="minorBidi"/>
      <w:sz w:val="24"/>
    </w:rPr>
  </w:style>
  <w:style w:type="paragraph" w:customStyle="1" w:styleId="101">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73</Pages>
  <Words>6794</Words>
  <Characters>7464</Characters>
  <Lines>383</Lines>
  <Paragraphs>108</Paragraphs>
  <TotalTime>17</TotalTime>
  <ScaleCrop>false</ScaleCrop>
  <LinksUpToDate>false</LinksUpToDate>
  <CharactersWithSpaces>7589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2020-08-14T00:15:00Z</dcterms:created>
  <dc:creator>Administrator</dc:creator>
  <cp:lastModifiedBy>浙江乐诚</cp:lastModifiedBy>
  <cp:lastPrinted>2025-09-29T00:35:00Z</cp:lastPrinted>
  <dcterms:modified xsi:type="dcterms:W3CDTF">2026-05-22T08:16:37Z</dcterms:modified>
  <dc:title>浙江省政府(分散)采购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11D2BA98B79442589E70E9B566BD5D07_13</vt:lpwstr>
  </property>
  <property fmtid="{D5CDD505-2E9C-101B-9397-08002B2CF9AE}" pid="4" name="commondata">
    <vt:lpwstr>eyJoZGlkIjoiYjQ5YWNlMDcxZGY3YmQzNTllNDAxMWNmYzg3NWNlNTUifQ==</vt:lpwstr>
  </property>
  <property fmtid="{D5CDD505-2E9C-101B-9397-08002B2CF9AE}" pid="5" name="KSOTemplateDocerSaveRecord">
    <vt:lpwstr>eyJoZGlkIjoiZmQ5NDk1NmUyYmExODY3NmE2MDQ0ZTdiNTAyMWRkMWMiLCJ1c2VySWQiOiIxOTk1MTEzOTEifQ==</vt:lpwstr>
  </property>
</Properties>
</file>