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eastAsia="zh-CN"/>
        </w:rPr>
        <w:t>定量数字脑电图仪</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七</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23805B33">
      <w:pPr>
        <w:pStyle w:val="7"/>
        <w:rPr>
          <w:rFonts w:hint="eastAsia" w:ascii="新宋体" w:hAnsi="新宋体" w:eastAsia="新宋体"/>
          <w:spacing w:val="30"/>
          <w:sz w:val="30"/>
          <w:highlight w:val="none"/>
        </w:rPr>
      </w:pPr>
    </w:p>
    <w:p w14:paraId="7C6EA153">
      <w:pPr>
        <w:rPr>
          <w:rFonts w:hint="eastAsia"/>
        </w:rPr>
      </w:pPr>
    </w:p>
    <w:p w14:paraId="4DB5B5CD">
      <w:pPr>
        <w:pStyle w:val="4"/>
        <w:numPr>
          <w:ilvl w:val="0"/>
          <w:numId w:val="0"/>
        </w:numPr>
        <w:ind w:leftChars="0"/>
        <w:jc w:val="center"/>
        <w:rPr>
          <w:rFonts w:hint="eastAsia" w:ascii="宋体" w:hAnsi="宋体" w:eastAsia="宋体" w:cs="宋体"/>
          <w:b/>
          <w:bCs w:val="0"/>
          <w:color w:val="000000"/>
          <w:sz w:val="36"/>
          <w:szCs w:val="21"/>
          <w:highlight w:val="none"/>
          <w:lang w:eastAsia="zh-CN"/>
        </w:rPr>
      </w:pPr>
      <w:r>
        <w:rPr>
          <w:rFonts w:hint="eastAsia" w:ascii="宋体" w:hAnsi="宋体" w:eastAsia="宋体" w:cs="宋体"/>
          <w:b/>
          <w:bCs w:val="0"/>
          <w:color w:val="000000"/>
          <w:sz w:val="36"/>
          <w:szCs w:val="21"/>
          <w:highlight w:val="none"/>
          <w:lang w:eastAsia="zh-CN"/>
        </w:rPr>
        <w:t>第一章</w:t>
      </w:r>
      <w:r>
        <w:rPr>
          <w:rFonts w:hint="eastAsia" w:ascii="宋体" w:hAnsi="宋体" w:eastAsia="宋体" w:cs="宋体"/>
          <w:b/>
          <w:bCs w:val="0"/>
          <w:color w:val="000000"/>
          <w:sz w:val="36"/>
          <w:szCs w:val="21"/>
          <w:highlight w:val="none"/>
          <w:lang w:val="en-US" w:eastAsia="zh-CN"/>
        </w:rPr>
        <w:t xml:space="preserve"> </w:t>
      </w:r>
      <w:r>
        <w:rPr>
          <w:rFonts w:hint="eastAsia" w:ascii="宋体" w:hAnsi="宋体" w:eastAsia="宋体" w:cs="宋体"/>
          <w:b/>
          <w:bCs w:val="0"/>
          <w:color w:val="000000"/>
          <w:sz w:val="36"/>
          <w:szCs w:val="21"/>
          <w:highlight w:val="none"/>
          <w:lang w:eastAsia="zh-CN"/>
        </w:rPr>
        <w:t>比选公告</w:t>
      </w:r>
    </w:p>
    <w:p w14:paraId="5E06E255">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lang w:val="en-US" w:eastAsia="zh-CN"/>
        </w:rPr>
      </w:pPr>
    </w:p>
    <w:p w14:paraId="05905AF2">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现对温州市第七人民医院</w:t>
      </w:r>
      <w:r>
        <w:rPr>
          <w:rFonts w:hint="eastAsia" w:ascii="宋体" w:hAnsi="宋体" w:eastAsia="宋体" w:cs="宋体"/>
          <w:color w:val="000000"/>
          <w:sz w:val="24"/>
          <w:szCs w:val="24"/>
          <w:highlight w:val="none"/>
          <w:u w:val="single"/>
          <w:lang w:val="en-US" w:eastAsia="zh-CN"/>
        </w:rPr>
        <w:t xml:space="preserve"> </w:t>
      </w:r>
      <w:r>
        <w:rPr>
          <w:rFonts w:hint="eastAsia" w:cs="宋体"/>
          <w:color w:val="000000"/>
          <w:sz w:val="24"/>
          <w:szCs w:val="24"/>
          <w:highlight w:val="none"/>
          <w:u w:val="single"/>
          <w:lang w:eastAsia="zh-CN"/>
        </w:rPr>
        <w:t>定量数字脑电图仪</w:t>
      </w:r>
      <w:r>
        <w:rPr>
          <w:rFonts w:hint="eastAsia"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eastAsia="zh-CN"/>
        </w:rPr>
        <w:t>定量数字脑电图仪</w:t>
      </w:r>
      <w:r>
        <w:rPr>
          <w:rFonts w:hint="eastAsia" w:cs="宋体"/>
          <w:color w:val="000000"/>
          <w:sz w:val="24"/>
          <w:szCs w:val="24"/>
          <w:highlight w:val="none"/>
          <w:u w:val="single"/>
          <w:lang w:val="en-US" w:eastAsia="zh-CN"/>
        </w:rPr>
        <w:t xml:space="preserve"> </w:t>
      </w:r>
    </w:p>
    <w:p w14:paraId="56294008">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86</w:t>
      </w:r>
      <w:r>
        <w:rPr>
          <w:rFonts w:hint="eastAsia" w:ascii="宋体" w:hAnsi="宋体" w:eastAsia="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 xml:space="preserve">  </w:t>
      </w:r>
    </w:p>
    <w:p w14:paraId="39E103D7">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cs="宋体"/>
          <w:color w:val="000000"/>
          <w:sz w:val="24"/>
          <w:szCs w:val="24"/>
          <w:highlight w:val="none"/>
          <w:u w:val="none"/>
          <w:lang w:val="en-US" w:eastAsia="zh-CN"/>
        </w:rPr>
        <w:t>数    量：</w:t>
      </w:r>
      <w:r>
        <w:rPr>
          <w:rFonts w:hint="eastAsia" w:cs="宋体"/>
          <w:color w:val="000000"/>
          <w:sz w:val="24"/>
          <w:szCs w:val="24"/>
          <w:highlight w:val="none"/>
          <w:u w:val="single"/>
          <w:lang w:val="en-US" w:eastAsia="zh-CN"/>
        </w:rPr>
        <w:t xml:space="preserve">1套    </w:t>
      </w:r>
    </w:p>
    <w:p w14:paraId="6755F16B">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cs="宋体"/>
          <w:color w:val="000000"/>
          <w:sz w:val="24"/>
          <w:szCs w:val="24"/>
          <w:highlight w:val="none"/>
          <w:lang w:eastAsia="zh-CN"/>
        </w:rPr>
        <w:t>第二章</w:t>
      </w:r>
      <w:r>
        <w:rPr>
          <w:rFonts w:hint="eastAsia" w:cs="宋体"/>
          <w:color w:val="000000"/>
          <w:sz w:val="24"/>
          <w:szCs w:val="24"/>
          <w:highlight w:val="none"/>
          <w:lang w:val="en-US" w:eastAsia="zh-CN"/>
        </w:rPr>
        <w:t>《</w:t>
      </w:r>
      <w:r>
        <w:rPr>
          <w:rFonts w:hint="eastAsia" w:cs="宋体"/>
          <w:color w:val="000000"/>
          <w:sz w:val="24"/>
          <w:szCs w:val="24"/>
          <w:highlight w:val="none"/>
          <w:lang w:eastAsia="zh-CN"/>
        </w:rPr>
        <w:t>采购</w:t>
      </w:r>
      <w:r>
        <w:rPr>
          <w:rFonts w:hint="eastAsia" w:ascii="宋体" w:hAnsi="宋体" w:eastAsia="宋体" w:cs="宋体"/>
          <w:color w:val="000000"/>
          <w:sz w:val="24"/>
          <w:szCs w:val="24"/>
          <w:highlight w:val="none"/>
        </w:rPr>
        <w:t>内容及要求</w:t>
      </w:r>
      <w:r>
        <w:rPr>
          <w:rFonts w:hint="eastAsia" w:cs="宋体"/>
          <w:color w:val="000000"/>
          <w:sz w:val="24"/>
          <w:szCs w:val="24"/>
          <w:highlight w:val="none"/>
          <w:lang w:eastAsia="zh-CN"/>
        </w:rPr>
        <w:t>》</w:t>
      </w:r>
    </w:p>
    <w:p w14:paraId="6B0FD7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cs="宋体"/>
          <w:color w:val="000000"/>
          <w:sz w:val="24"/>
          <w:szCs w:val="24"/>
          <w:highlight w:val="none"/>
          <w:lang w:eastAsia="zh-CN"/>
        </w:rPr>
      </w:pPr>
      <w:r>
        <w:rPr>
          <w:rFonts w:hint="eastAsia" w:ascii="新宋体" w:hAnsi="新宋体" w:eastAsia="新宋体" w:cs="新宋体"/>
          <w:b w:val="0"/>
          <w:bCs w:val="0"/>
          <w:color w:val="auto"/>
          <w:sz w:val="22"/>
          <w:szCs w:val="22"/>
          <w:highlight w:val="none"/>
        </w:rPr>
        <w:t>备注：</w:t>
      </w:r>
      <w:r>
        <w:rPr>
          <w:rStyle w:val="23"/>
          <w:rFonts w:hint="eastAsia" w:ascii="宋体" w:hAnsi="宋体" w:eastAsia="宋体" w:cs="宋体"/>
          <w:color w:val="000000"/>
          <w:kern w:val="0"/>
          <w:sz w:val="24"/>
          <w:szCs w:val="24"/>
          <w:highlight w:val="none"/>
          <w:shd w:val="clear" w:color="auto" w:fill="FFFFFF"/>
          <w:lang w:val="en-US" w:eastAsia="zh-CN" w:bidi="ar-SA"/>
        </w:rPr>
        <w:t>本项目不允许进口设备投标</w:t>
      </w:r>
    </w:p>
    <w:p w14:paraId="1E34EE5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3"/>
          <w:rFonts w:hint="eastAsia" w:ascii="宋体" w:hAnsi="宋体" w:eastAsia="宋体" w:cs="宋体"/>
          <w:color w:val="000000"/>
          <w:sz w:val="24"/>
          <w:szCs w:val="24"/>
          <w:highlight w:val="none"/>
          <w:shd w:val="clear" w:color="auto" w:fill="FFFFFF"/>
        </w:rPr>
      </w:pPr>
      <w:r>
        <w:rPr>
          <w:rStyle w:val="23"/>
          <w:rFonts w:hint="eastAsia" w:ascii="宋体" w:hAnsi="宋体" w:eastAsia="宋体" w:cs="宋体"/>
          <w:color w:val="000000"/>
          <w:sz w:val="24"/>
          <w:szCs w:val="24"/>
          <w:highlight w:val="none"/>
          <w:shd w:val="clear" w:color="auto" w:fill="FFFFFF"/>
        </w:rPr>
        <w:t>投标人报价不得超过</w:t>
      </w:r>
      <w:r>
        <w:rPr>
          <w:rStyle w:val="23"/>
          <w:rFonts w:hint="eastAsia" w:ascii="宋体" w:hAnsi="宋体" w:eastAsia="宋体" w:cs="宋体"/>
          <w:color w:val="000000"/>
          <w:sz w:val="24"/>
          <w:szCs w:val="24"/>
          <w:highlight w:val="none"/>
          <w:shd w:val="clear" w:color="auto" w:fill="FFFFFF"/>
          <w:lang w:eastAsia="zh-CN"/>
        </w:rPr>
        <w:t>最高限价</w:t>
      </w:r>
      <w:r>
        <w:rPr>
          <w:rStyle w:val="23"/>
          <w:rFonts w:hint="eastAsia" w:ascii="宋体" w:hAnsi="宋体" w:eastAsia="宋体" w:cs="宋体"/>
          <w:color w:val="000000"/>
          <w:sz w:val="24"/>
          <w:szCs w:val="24"/>
          <w:highlight w:val="none"/>
          <w:shd w:val="clear" w:color="auto" w:fill="FFFFFF"/>
        </w:rPr>
        <w:t>金额，否则当无效标处理。</w:t>
      </w:r>
    </w:p>
    <w:p w14:paraId="4E89FF6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符合《中华人民共和国政府采购法》第二十二条的规定：</w:t>
      </w:r>
    </w:p>
    <w:p w14:paraId="5929D504">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03260E8">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（2）法定代表人授权书及身份证复印件、投标人代表有效身份证件原件及复印件、企业营业执照复印件（以上均需加盖公章）；</w:t>
      </w:r>
    </w:p>
    <w:p w14:paraId="1434DC59">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投标供应商必须是在中华人民共和国境内注册的具有法人资格的机构或其它组织，具有从事本项目的经营范围、资质和能力；</w:t>
      </w:r>
    </w:p>
    <w:p w14:paraId="15DD764B">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.本项目不接受联合体投标；</w:t>
      </w:r>
    </w:p>
    <w:p w14:paraId="09D57A7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 7</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 7</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13</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14</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00</w:t>
      </w:r>
      <w:r>
        <w:rPr>
          <w:rFonts w:hint="default" w:ascii="宋体" w:hAnsi="宋体" w:eastAsia="宋体" w:cs="宋体"/>
          <w:i w:val="0"/>
          <w:iCs w:val="0"/>
          <w:caps w:val="0"/>
          <w:color w:val="000000"/>
          <w:spacing w:val="0"/>
          <w:sz w:val="24"/>
          <w:szCs w:val="24"/>
          <w:highlight w:val="none"/>
          <w:shd w:val="clear" w:color="auto" w:fill="FFFFFF"/>
        </w:rPr>
        <w:t>时（上午：8:10-11:40；下午：1:00-4:30、双休日不接收）。</w:t>
      </w:r>
    </w:p>
    <w:p w14:paraId="7D03B432">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13</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递交地点：温州市第七人民医院潘桥院区学士前路158号</w:t>
      </w:r>
    </w:p>
    <w:p w14:paraId="718B7B6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13</w:t>
      </w:r>
      <w:bookmarkStart w:id="7" w:name="_GoBack"/>
      <w:bookmarkEnd w:id="7"/>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比选</w:t>
      </w:r>
      <w:r>
        <w:rPr>
          <w:rFonts w:hint="eastAsia" w:ascii="宋体" w:hAnsi="宋体" w:eastAsia="宋体" w:cs="宋体"/>
          <w:color w:val="000000"/>
          <w:sz w:val="24"/>
          <w:szCs w:val="24"/>
          <w:highlight w:val="none"/>
        </w:rPr>
        <w:t>人：温州市第七人民医院</w:t>
      </w:r>
    </w:p>
    <w:p w14:paraId="747A145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3"/>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8"/>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8"/>
        <w:numPr>
          <w:ilvl w:val="0"/>
          <w:numId w:val="0"/>
        </w:numPr>
        <w:shd w:val="clear" w:color="auto" w:fill="FFFFFF"/>
        <w:spacing w:line="465" w:lineRule="atLeast"/>
        <w:jc w:val="center"/>
        <w:rPr>
          <w:rFonts w:hint="default" w:ascii="新宋体" w:hAnsi="新宋体" w:eastAsia="新宋体"/>
          <w:b/>
          <w:bCs/>
          <w:color w:val="5A5A5A"/>
          <w:sz w:val="23"/>
          <w:szCs w:val="23"/>
          <w:highlight w:val="none"/>
          <w:lang w:val="en-US" w:eastAsia="zh-CN"/>
        </w:rPr>
      </w:pPr>
      <w:r>
        <w:rPr>
          <w:rFonts w:hint="eastAsia" w:ascii="新宋体" w:hAnsi="新宋体" w:eastAsia="新宋体"/>
          <w:b/>
          <w:bCs/>
          <w:sz w:val="32"/>
          <w:szCs w:val="32"/>
          <w:highlight w:val="none"/>
          <w:lang w:eastAsia="zh-CN"/>
        </w:rPr>
        <w:t>第二章</w:t>
      </w:r>
      <w:r>
        <w:rPr>
          <w:rFonts w:hint="eastAsia" w:ascii="新宋体" w:hAnsi="新宋体" w:eastAsia="新宋体"/>
          <w:b/>
          <w:bCs/>
          <w:sz w:val="32"/>
          <w:szCs w:val="32"/>
          <w:highlight w:val="none"/>
          <w:lang w:val="en-US" w:eastAsia="zh-CN"/>
        </w:rPr>
        <w:t xml:space="preserve"> </w:t>
      </w:r>
      <w:r>
        <w:rPr>
          <w:rFonts w:hint="eastAsia" w:ascii="新宋体" w:hAnsi="新宋体" w:eastAsia="新宋体"/>
          <w:b/>
          <w:bCs/>
          <w:sz w:val="32"/>
          <w:szCs w:val="32"/>
          <w:highlight w:val="none"/>
          <w:lang w:eastAsia="zh-CN"/>
        </w:rPr>
        <w:t>采购</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比选内容</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1000"/>
        <w:gridCol w:w="1688"/>
        <w:gridCol w:w="3090"/>
        <w:gridCol w:w="1836"/>
      </w:tblGrid>
      <w:tr w14:paraId="045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20D92EEB">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14:paraId="46E9AB56">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数量</w:t>
            </w:r>
          </w:p>
        </w:tc>
        <w:tc>
          <w:tcPr>
            <w:tcW w:w="857" w:type="pct"/>
            <w:tcBorders>
              <w:top w:val="single" w:color="auto" w:sz="4" w:space="0"/>
              <w:left w:val="single" w:color="auto" w:sz="4" w:space="0"/>
              <w:bottom w:val="single" w:color="auto" w:sz="4" w:space="0"/>
              <w:right w:val="single" w:color="auto" w:sz="4" w:space="0"/>
            </w:tcBorders>
            <w:vAlign w:val="center"/>
          </w:tcPr>
          <w:p w14:paraId="0D5EE467">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预算金额</w:t>
            </w:r>
          </w:p>
        </w:tc>
        <w:tc>
          <w:tcPr>
            <w:tcW w:w="1569" w:type="pct"/>
            <w:tcBorders>
              <w:top w:val="single" w:color="auto" w:sz="4" w:space="0"/>
              <w:left w:val="single" w:color="auto" w:sz="4" w:space="0"/>
              <w:bottom w:val="single" w:color="auto" w:sz="4" w:space="0"/>
              <w:right w:val="single" w:color="auto" w:sz="4" w:space="0"/>
            </w:tcBorders>
            <w:vAlign w:val="center"/>
          </w:tcPr>
          <w:p w14:paraId="0C6CF4F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简要技术要求、用途</w:t>
            </w:r>
          </w:p>
        </w:tc>
        <w:tc>
          <w:tcPr>
            <w:tcW w:w="932" w:type="pct"/>
            <w:tcBorders>
              <w:top w:val="single" w:color="auto" w:sz="4" w:space="0"/>
              <w:left w:val="single" w:color="auto" w:sz="4" w:space="0"/>
              <w:bottom w:val="single" w:color="auto" w:sz="4" w:space="0"/>
              <w:right w:val="single" w:color="auto" w:sz="4" w:space="0"/>
            </w:tcBorders>
            <w:vAlign w:val="center"/>
          </w:tcPr>
          <w:p w14:paraId="4AFDC43A">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备注</w:t>
            </w:r>
          </w:p>
        </w:tc>
      </w:tr>
      <w:tr w14:paraId="461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1A2FD0CE">
            <w:pPr>
              <w:pStyle w:val="18"/>
              <w:shd w:val="clear" w:color="auto" w:fill="FFFFFF"/>
              <w:adjustRightInd w:val="0"/>
              <w:snapToGrid w:val="0"/>
              <w:spacing w:before="0" w:beforeAutospacing="0" w:after="0" w:afterAutospacing="0" w:line="400" w:lineRule="exact"/>
              <w:rPr>
                <w:rFonts w:hint="eastAsia"/>
                <w:color w:val="000000"/>
                <w:shd w:val="clear" w:color="auto" w:fill="FFFFFF"/>
                <w:lang w:eastAsia="zh-CN"/>
              </w:rPr>
            </w:pPr>
            <w:r>
              <w:rPr>
                <w:rFonts w:hint="eastAsia"/>
                <w:color w:val="000000"/>
                <w:shd w:val="clear" w:color="auto" w:fill="FFFFFF"/>
                <w:lang w:eastAsia="zh-CN"/>
              </w:rPr>
              <w:t>定量数字脑电图仪</w:t>
            </w:r>
          </w:p>
        </w:tc>
        <w:tc>
          <w:tcPr>
            <w:tcW w:w="508" w:type="pct"/>
            <w:tcBorders>
              <w:top w:val="single" w:color="auto" w:sz="4" w:space="0"/>
              <w:left w:val="single" w:color="auto" w:sz="4" w:space="0"/>
              <w:bottom w:val="single" w:color="auto" w:sz="4" w:space="0"/>
              <w:right w:val="single" w:color="auto" w:sz="4" w:space="0"/>
            </w:tcBorders>
            <w:vAlign w:val="center"/>
          </w:tcPr>
          <w:p w14:paraId="376A2310">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val="en-US" w:eastAsia="zh-CN"/>
              </w:rPr>
            </w:pPr>
            <w:r>
              <w:rPr>
                <w:rFonts w:hint="eastAsia"/>
                <w:color w:val="000000"/>
                <w:shd w:val="clear" w:color="auto" w:fill="FFFFFF"/>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14:paraId="7DCFE770">
            <w:pPr>
              <w:pStyle w:val="18"/>
              <w:shd w:val="clear" w:color="auto" w:fill="FFFFFF"/>
              <w:adjustRightInd w:val="0"/>
              <w:snapToGrid w:val="0"/>
              <w:spacing w:before="0" w:beforeAutospacing="0" w:after="0" w:afterAutospacing="0" w:line="400" w:lineRule="exact"/>
              <w:ind w:firstLine="480" w:firstLineChars="200"/>
              <w:rPr>
                <w:rFonts w:hint="default"/>
                <w:color w:val="000000"/>
                <w:shd w:val="clear" w:color="auto" w:fill="FFFFFF"/>
                <w:lang w:val="en-US" w:eastAsia="zh-CN"/>
              </w:rPr>
            </w:pPr>
            <w:r>
              <w:rPr>
                <w:rFonts w:hint="eastAsia"/>
                <w:color w:val="000000"/>
                <w:shd w:val="clear" w:color="auto" w:fill="FFFFFF"/>
                <w:lang w:val="en-US" w:eastAsia="zh-CN"/>
              </w:rPr>
              <w:t>86000元</w:t>
            </w:r>
          </w:p>
        </w:tc>
        <w:tc>
          <w:tcPr>
            <w:tcW w:w="1569" w:type="pct"/>
            <w:tcBorders>
              <w:top w:val="single" w:color="auto" w:sz="4" w:space="0"/>
              <w:left w:val="single" w:color="auto" w:sz="4" w:space="0"/>
            </w:tcBorders>
            <w:vAlign w:val="center"/>
          </w:tcPr>
          <w:p w14:paraId="2BEEB098">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eastAsia="zh-CN"/>
              </w:rPr>
            </w:pPr>
            <w:r>
              <w:rPr>
                <w:rFonts w:hint="eastAsia"/>
                <w:color w:val="000000"/>
                <w:shd w:val="clear" w:color="auto" w:fill="FFFFFF"/>
              </w:rPr>
              <w:t>详见</w:t>
            </w:r>
            <w:r>
              <w:rPr>
                <w:rFonts w:hint="eastAsia"/>
                <w:color w:val="000000"/>
                <w:shd w:val="clear" w:color="auto" w:fill="FFFFFF"/>
                <w:lang w:eastAsia="zh-CN"/>
              </w:rPr>
              <w:t>比选</w:t>
            </w:r>
            <w:r>
              <w:rPr>
                <w:rFonts w:hint="eastAsia"/>
                <w:color w:val="000000"/>
                <w:shd w:val="clear" w:color="auto" w:fill="FFFFFF"/>
              </w:rPr>
              <w:t>文件第</w:t>
            </w:r>
            <w:r>
              <w:rPr>
                <w:rFonts w:hint="eastAsia"/>
                <w:color w:val="000000"/>
                <w:shd w:val="clear" w:color="auto" w:fill="FFFFFF"/>
                <w:lang w:eastAsia="zh-CN"/>
              </w:rPr>
              <w:t>二</w:t>
            </w:r>
            <w:r>
              <w:rPr>
                <w:rFonts w:hint="eastAsia"/>
                <w:color w:val="000000"/>
                <w:shd w:val="clear" w:color="auto" w:fill="FFFFFF"/>
              </w:rPr>
              <w:t>部分“</w:t>
            </w:r>
            <w:r>
              <w:rPr>
                <w:rFonts w:hint="eastAsia"/>
                <w:color w:val="000000"/>
                <w:shd w:val="clear" w:color="auto" w:fill="FFFFFF"/>
                <w:lang w:eastAsia="zh-CN"/>
              </w:rPr>
              <w:t>采购内容及要求</w:t>
            </w:r>
            <w:r>
              <w:rPr>
                <w:rFonts w:hint="eastAsia"/>
                <w:color w:val="000000"/>
                <w:shd w:val="clear" w:color="auto" w:fill="FFFFFF"/>
              </w:rPr>
              <w:t>”</w:t>
            </w:r>
          </w:p>
        </w:tc>
        <w:tc>
          <w:tcPr>
            <w:tcW w:w="932" w:type="pct"/>
            <w:tcBorders>
              <w:top w:val="single" w:color="auto" w:sz="4" w:space="0"/>
              <w:left w:val="single" w:color="auto" w:sz="4" w:space="0"/>
            </w:tcBorders>
            <w:vAlign w:val="center"/>
          </w:tcPr>
          <w:p w14:paraId="7EF9894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▲本项目不允许进口设备投标</w:t>
            </w:r>
          </w:p>
        </w:tc>
      </w:tr>
    </w:tbl>
    <w:p w14:paraId="16FF6F68">
      <w:pPr>
        <w:numPr>
          <w:ilvl w:val="0"/>
          <w:numId w:val="0"/>
        </w:numPr>
        <w:spacing w:line="360" w:lineRule="auto"/>
        <w:rPr>
          <w:rFonts w:hint="eastAsia" w:ascii="宋体" w:hAnsi="宋体"/>
          <w:b/>
          <w:bCs/>
          <w:sz w:val="28"/>
          <w:szCs w:val="28"/>
          <w:highlight w:val="none"/>
        </w:rPr>
      </w:pPr>
      <w:r>
        <w:rPr>
          <w:rFonts w:hint="eastAsia" w:ascii="宋体" w:hAnsi="宋体"/>
          <w:b/>
          <w:bCs/>
          <w:sz w:val="28"/>
          <w:szCs w:val="28"/>
          <w:highlight w:val="none"/>
          <w:lang w:eastAsia="zh-CN"/>
        </w:rPr>
        <w:t>二、比选技术要求</w:t>
      </w:r>
    </w:p>
    <w:p w14:paraId="0075802D">
      <w:pPr>
        <w:spacing w:line="460" w:lineRule="exact"/>
        <w:ind w:firstLine="220" w:firstLineChars="100"/>
        <w:rPr>
          <w:rFonts w:ascii="Times New Roman" w:hAnsi="Times New Roman" w:cs="新宋体"/>
          <w:sz w:val="22"/>
          <w:szCs w:val="22"/>
        </w:rPr>
      </w:pPr>
      <w:r>
        <w:rPr>
          <w:rFonts w:hint="eastAsia" w:ascii="微软雅黑" w:hAnsi="微软雅黑" w:eastAsia="微软雅黑" w:cs="微软雅黑"/>
          <w:b/>
          <w:sz w:val="22"/>
          <w:szCs w:val="22"/>
        </w:rPr>
        <w:t>▲</w:t>
      </w:r>
      <w:r>
        <w:rPr>
          <w:rFonts w:hint="eastAsia" w:ascii="Times New Roman" w:hAnsi="Times New Roman" w:cs="新宋体"/>
          <w:b/>
          <w:sz w:val="22"/>
          <w:szCs w:val="22"/>
        </w:rPr>
        <w:t>如投标人报价超过预算金额按无效标处理</w:t>
      </w:r>
    </w:p>
    <w:tbl>
      <w:tblPr>
        <w:tblStyle w:val="21"/>
        <w:tblW w:w="4934"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857"/>
        <w:gridCol w:w="821"/>
      </w:tblGrid>
      <w:tr w14:paraId="376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6C2F38C">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4039" w:type="pct"/>
            <w:vAlign w:val="center"/>
          </w:tcPr>
          <w:p w14:paraId="70061A59">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技术要求</w:t>
            </w:r>
          </w:p>
        </w:tc>
        <w:tc>
          <w:tcPr>
            <w:tcW w:w="422" w:type="pct"/>
            <w:vAlign w:val="center"/>
          </w:tcPr>
          <w:p w14:paraId="352DC17E">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4901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142C3E">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w:t>
            </w:r>
          </w:p>
        </w:tc>
        <w:tc>
          <w:tcPr>
            <w:tcW w:w="4039" w:type="pct"/>
            <w:vAlign w:val="center"/>
          </w:tcPr>
          <w:p w14:paraId="71B8D6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电压测量：误差不超过±10%。  </w:t>
            </w:r>
          </w:p>
        </w:tc>
        <w:tc>
          <w:tcPr>
            <w:tcW w:w="422" w:type="pct"/>
            <w:vAlign w:val="center"/>
          </w:tcPr>
          <w:p w14:paraId="4937074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F60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27166AC">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w:t>
            </w:r>
          </w:p>
        </w:tc>
        <w:tc>
          <w:tcPr>
            <w:tcW w:w="4039" w:type="pct"/>
            <w:vAlign w:val="center"/>
          </w:tcPr>
          <w:p w14:paraId="2DF5A5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时间间隔：误差不超过±5%。  </w:t>
            </w:r>
          </w:p>
        </w:tc>
        <w:tc>
          <w:tcPr>
            <w:tcW w:w="422" w:type="pct"/>
            <w:vAlign w:val="center"/>
          </w:tcPr>
          <w:p w14:paraId="5FF0E50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47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5EBA2E3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1.3</w:t>
            </w:r>
          </w:p>
        </w:tc>
        <w:tc>
          <w:tcPr>
            <w:tcW w:w="4039" w:type="pct"/>
            <w:vAlign w:val="center"/>
          </w:tcPr>
          <w:p w14:paraId="7BD720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时间常数：0.03s～0.1s 误差不超过±40%，大于0.1s 误差不超过±20%。  </w:t>
            </w:r>
          </w:p>
        </w:tc>
        <w:tc>
          <w:tcPr>
            <w:tcW w:w="422" w:type="pct"/>
            <w:vAlign w:val="center"/>
          </w:tcPr>
          <w:p w14:paraId="00CB0FA8">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02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D14D6BB">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1.4</w:t>
            </w:r>
          </w:p>
        </w:tc>
        <w:tc>
          <w:tcPr>
            <w:tcW w:w="4039" w:type="pct"/>
            <w:vAlign w:val="center"/>
          </w:tcPr>
          <w:p w14:paraId="6C6130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幅频特性：0.5Hz～150Hz 偏差不超过-10%～+5%。（要求提供注册证技术文件或第三方检验报告证明）  </w:t>
            </w:r>
          </w:p>
        </w:tc>
        <w:tc>
          <w:tcPr>
            <w:tcW w:w="422" w:type="pct"/>
            <w:vAlign w:val="center"/>
          </w:tcPr>
          <w:p w14:paraId="6740E63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80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AD50D78">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1.5</w:t>
            </w:r>
          </w:p>
        </w:tc>
        <w:tc>
          <w:tcPr>
            <w:tcW w:w="4039" w:type="pct"/>
            <w:vAlign w:val="center"/>
          </w:tcPr>
          <w:p w14:paraId="3D5425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功率谱频率：误差不超过±5%。  </w:t>
            </w:r>
          </w:p>
        </w:tc>
        <w:tc>
          <w:tcPr>
            <w:tcW w:w="422" w:type="pct"/>
            <w:vAlign w:val="center"/>
          </w:tcPr>
          <w:p w14:paraId="09482FB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52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940BEC3">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1.6</w:t>
            </w:r>
          </w:p>
        </w:tc>
        <w:tc>
          <w:tcPr>
            <w:tcW w:w="4039" w:type="pct"/>
            <w:vAlign w:val="center"/>
          </w:tcPr>
          <w:p w14:paraId="7BE18F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功率谱幅度：偏差不超过±10%。  </w:t>
            </w:r>
          </w:p>
        </w:tc>
        <w:tc>
          <w:tcPr>
            <w:tcW w:w="422" w:type="pct"/>
            <w:vAlign w:val="center"/>
          </w:tcPr>
          <w:p w14:paraId="6400AA0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32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6433A02">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1.7</w:t>
            </w:r>
          </w:p>
        </w:tc>
        <w:tc>
          <w:tcPr>
            <w:tcW w:w="4039" w:type="pct"/>
            <w:vAlign w:val="center"/>
          </w:tcPr>
          <w:p w14:paraId="5D1C09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噪声电平：≤1μV（峰-峰值）。（要求提供注册证技术文件或第三方检验报告证明）  </w:t>
            </w:r>
          </w:p>
        </w:tc>
        <w:tc>
          <w:tcPr>
            <w:tcW w:w="422" w:type="pct"/>
            <w:vAlign w:val="center"/>
          </w:tcPr>
          <w:p w14:paraId="47850EF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8D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5B8E5E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1.8</w:t>
            </w:r>
          </w:p>
        </w:tc>
        <w:tc>
          <w:tcPr>
            <w:tcW w:w="4039" w:type="pct"/>
            <w:vAlign w:val="center"/>
          </w:tcPr>
          <w:p w14:paraId="47F148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共模抑制比：≥110dB。  </w:t>
            </w:r>
          </w:p>
        </w:tc>
        <w:tc>
          <w:tcPr>
            <w:tcW w:w="422" w:type="pct"/>
            <w:vAlign w:val="center"/>
          </w:tcPr>
          <w:p w14:paraId="7933206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94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E7BE25F">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1.9</w:t>
            </w:r>
          </w:p>
        </w:tc>
        <w:tc>
          <w:tcPr>
            <w:tcW w:w="4039" w:type="pct"/>
            <w:vAlign w:val="center"/>
          </w:tcPr>
          <w:p w14:paraId="53F05E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耐极化电压：加±800mV 的直流极化电压，偏差不超过±5%。（要求提供注册证技术文件或第三方检验报告证明）  </w:t>
            </w:r>
          </w:p>
        </w:tc>
        <w:tc>
          <w:tcPr>
            <w:tcW w:w="422" w:type="pct"/>
            <w:vAlign w:val="center"/>
          </w:tcPr>
          <w:p w14:paraId="7B53ED3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2CA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7E6E48E">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1.10</w:t>
            </w:r>
          </w:p>
        </w:tc>
        <w:tc>
          <w:tcPr>
            <w:tcW w:w="4039" w:type="pct"/>
            <w:vAlign w:val="center"/>
          </w:tcPr>
          <w:p w14:paraId="7DC956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输入阻抗：≥100MΩ。  </w:t>
            </w:r>
          </w:p>
        </w:tc>
        <w:tc>
          <w:tcPr>
            <w:tcW w:w="422" w:type="pct"/>
            <w:vAlign w:val="center"/>
          </w:tcPr>
          <w:p w14:paraId="278CC03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46E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AB386A5">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★1.11</w:t>
            </w:r>
          </w:p>
        </w:tc>
        <w:tc>
          <w:tcPr>
            <w:tcW w:w="4039" w:type="pct"/>
            <w:vAlign w:val="center"/>
          </w:tcPr>
          <w:p w14:paraId="3EBD94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AD位数：≥24位(提供医疗器械注册证技术文件)  </w:t>
            </w:r>
          </w:p>
        </w:tc>
        <w:tc>
          <w:tcPr>
            <w:tcW w:w="422" w:type="pct"/>
            <w:vAlign w:val="center"/>
          </w:tcPr>
          <w:p w14:paraId="5F26B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9F4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4957661A">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1.12</w:t>
            </w:r>
          </w:p>
        </w:tc>
        <w:tc>
          <w:tcPr>
            <w:tcW w:w="4039" w:type="pct"/>
            <w:vAlign w:val="center"/>
          </w:tcPr>
          <w:p w14:paraId="721A62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采集率≥1000Hz(提供医疗器械注册证技术文件)  </w:t>
            </w:r>
          </w:p>
        </w:tc>
        <w:tc>
          <w:tcPr>
            <w:tcW w:w="422" w:type="pct"/>
            <w:vAlign w:val="center"/>
          </w:tcPr>
          <w:p w14:paraId="186887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F35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1332397">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1.13</w:t>
            </w:r>
          </w:p>
        </w:tc>
        <w:tc>
          <w:tcPr>
            <w:tcW w:w="4039" w:type="pct"/>
            <w:vAlign w:val="center"/>
          </w:tcPr>
          <w:p w14:paraId="64B5B6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放大器通道数≥24，每一通道独立放大器设计，采集连续、稳定。  </w:t>
            </w:r>
          </w:p>
        </w:tc>
        <w:tc>
          <w:tcPr>
            <w:tcW w:w="422" w:type="pct"/>
            <w:vAlign w:val="center"/>
          </w:tcPr>
          <w:p w14:paraId="3841611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7CBB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E8AE451">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1.14</w:t>
            </w:r>
          </w:p>
        </w:tc>
        <w:tc>
          <w:tcPr>
            <w:tcW w:w="4039" w:type="pct"/>
            <w:vAlign w:val="center"/>
          </w:tcPr>
          <w:p w14:paraId="45F28D1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3导中线电极设计，在导联切换中实现真正意义的导联横连。  </w:t>
            </w:r>
          </w:p>
        </w:tc>
        <w:tc>
          <w:tcPr>
            <w:tcW w:w="422" w:type="pct"/>
            <w:vAlign w:val="center"/>
          </w:tcPr>
          <w:p w14:paraId="5A8A0A5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5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7B8DFC2F">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1.15</w:t>
            </w:r>
          </w:p>
        </w:tc>
        <w:tc>
          <w:tcPr>
            <w:tcW w:w="4039" w:type="pct"/>
            <w:vAlign w:val="center"/>
          </w:tcPr>
          <w:p w14:paraId="111099AD">
            <w:pPr>
              <w:tabs>
                <w:tab w:val="left" w:pos="5315"/>
              </w:tabs>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中文软件平台；支持超过48小时连续、长程记录；参考电极可多种方式自由设定；数字导联，实现单导、双导、三角、蝶骨、生物定标等导联任意切换   </w:t>
            </w:r>
          </w:p>
        </w:tc>
        <w:tc>
          <w:tcPr>
            <w:tcW w:w="422" w:type="pct"/>
            <w:vAlign w:val="center"/>
          </w:tcPr>
          <w:p w14:paraId="44E44C67">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7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E85DCED">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1.16</w:t>
            </w:r>
          </w:p>
        </w:tc>
        <w:tc>
          <w:tcPr>
            <w:tcW w:w="4039" w:type="pct"/>
            <w:vAlign w:val="center"/>
          </w:tcPr>
          <w:p w14:paraId="5546EE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具备实时压缩谱阵图监测</w:t>
            </w:r>
          </w:p>
        </w:tc>
        <w:tc>
          <w:tcPr>
            <w:tcW w:w="422" w:type="pct"/>
            <w:vAlign w:val="center"/>
          </w:tcPr>
          <w:p w14:paraId="352DCF5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76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64EA08C5">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1.17</w:t>
            </w:r>
          </w:p>
        </w:tc>
        <w:tc>
          <w:tcPr>
            <w:tcW w:w="4039" w:type="pct"/>
            <w:vAlign w:val="center"/>
          </w:tcPr>
          <w:p w14:paraId="266F3EE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具备棘波自动识别报警记录</w:t>
            </w:r>
          </w:p>
        </w:tc>
        <w:tc>
          <w:tcPr>
            <w:tcW w:w="422" w:type="pct"/>
            <w:vAlign w:val="center"/>
          </w:tcPr>
          <w:p w14:paraId="419BF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5BA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38" w:type="pct"/>
            <w:vAlign w:val="center"/>
          </w:tcPr>
          <w:p w14:paraId="38D86679">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★1.18</w:t>
            </w:r>
          </w:p>
        </w:tc>
        <w:tc>
          <w:tcPr>
            <w:tcW w:w="4039" w:type="pct"/>
            <w:vAlign w:val="center"/>
          </w:tcPr>
          <w:p w14:paraId="08B984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具备顶视、侧视、棘波等十多种二维脑电地形图，三维立体旋转脑电地形图，动态地形图，显著概率地形图。</w:t>
            </w:r>
          </w:p>
        </w:tc>
        <w:tc>
          <w:tcPr>
            <w:tcW w:w="422" w:type="pct"/>
            <w:vAlign w:val="center"/>
          </w:tcPr>
          <w:p w14:paraId="0F43590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1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515C1A7">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1.19</w:t>
            </w:r>
          </w:p>
        </w:tc>
        <w:tc>
          <w:tcPr>
            <w:tcW w:w="4039" w:type="pct"/>
            <w:vAlign w:val="center"/>
          </w:tcPr>
          <w:p w14:paraId="393EB1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具备正常人参照值和至少五种比值检验便于临床诊断（提供实际软件运行截图证明）</w:t>
            </w:r>
            <w:r>
              <w:rPr>
                <w:rFonts w:hint="default"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00"/>
                <w:kern w:val="0"/>
                <w:sz w:val="24"/>
                <w:szCs w:val="24"/>
                <w:shd w:val="clear" w:color="auto" w:fill="FFFFFF"/>
                <w:lang w:val="en-US" w:eastAsia="zh-CN" w:bidi="ar-SA"/>
              </w:rPr>
              <w:t xml:space="preserve"> </w:t>
            </w:r>
          </w:p>
        </w:tc>
        <w:tc>
          <w:tcPr>
            <w:tcW w:w="422" w:type="pct"/>
            <w:vAlign w:val="center"/>
          </w:tcPr>
          <w:p w14:paraId="4F7B668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0D9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E5D4E01">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▲1.20</w:t>
            </w:r>
          </w:p>
        </w:tc>
        <w:tc>
          <w:tcPr>
            <w:tcW w:w="4039" w:type="pct"/>
            <w:vAlign w:val="center"/>
          </w:tcPr>
          <w:p w14:paraId="4C863C81">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具备视频功能，脑电波形与视频图像同步显示，可做画中画处理。（要求提供实际软件运行截图证明）</w:t>
            </w:r>
            <w:r>
              <w:rPr>
                <w:rFonts w:hint="default"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00"/>
                <w:kern w:val="0"/>
                <w:sz w:val="24"/>
                <w:szCs w:val="24"/>
                <w:shd w:val="clear" w:color="auto" w:fill="FFFFFF"/>
                <w:lang w:val="en-US" w:eastAsia="zh-CN" w:bidi="ar-SA"/>
              </w:rPr>
              <w:t xml:space="preserve"> </w:t>
            </w:r>
          </w:p>
        </w:tc>
        <w:tc>
          <w:tcPr>
            <w:tcW w:w="422" w:type="pct"/>
            <w:vAlign w:val="center"/>
          </w:tcPr>
          <w:p w14:paraId="54CBFDEC">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A5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shd w:val="clear" w:color="auto" w:fill="auto"/>
            <w:vAlign w:val="center"/>
          </w:tcPr>
          <w:p w14:paraId="05745370">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★1.21</w:t>
            </w:r>
          </w:p>
        </w:tc>
        <w:tc>
          <w:tcPr>
            <w:tcW w:w="4039" w:type="pct"/>
            <w:shd w:val="clear" w:color="auto" w:fill="auto"/>
            <w:vAlign w:val="center"/>
          </w:tcPr>
          <w:p w14:paraId="33B21F1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设备工作站可实现同一软件进行视频脑电及动态脑电数据采集分析，软件支持多院区联动互通</w:t>
            </w:r>
          </w:p>
        </w:tc>
        <w:tc>
          <w:tcPr>
            <w:tcW w:w="422" w:type="pct"/>
            <w:vAlign w:val="center"/>
          </w:tcPr>
          <w:p w14:paraId="17F4899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D7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E6E9414">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w:t>
            </w:r>
          </w:p>
        </w:tc>
        <w:tc>
          <w:tcPr>
            <w:tcW w:w="4039" w:type="pct"/>
            <w:vAlign w:val="center"/>
          </w:tcPr>
          <w:p w14:paraId="349C9DA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配置要求</w:t>
            </w:r>
          </w:p>
        </w:tc>
        <w:tc>
          <w:tcPr>
            <w:tcW w:w="422" w:type="pct"/>
            <w:vAlign w:val="center"/>
          </w:tcPr>
          <w:p w14:paraId="767A38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CE5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E24713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2.1</w:t>
            </w:r>
          </w:p>
        </w:tc>
        <w:tc>
          <w:tcPr>
            <w:tcW w:w="4039" w:type="pct"/>
            <w:vAlign w:val="center"/>
          </w:tcPr>
          <w:p w14:paraId="6B2E12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电脑1台</w:t>
            </w:r>
          </w:p>
        </w:tc>
        <w:tc>
          <w:tcPr>
            <w:tcW w:w="422" w:type="pct"/>
            <w:vAlign w:val="center"/>
          </w:tcPr>
          <w:p w14:paraId="3BC35155">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35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7A95BE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2.2</w:t>
            </w:r>
          </w:p>
        </w:tc>
        <w:tc>
          <w:tcPr>
            <w:tcW w:w="4039" w:type="pct"/>
            <w:vAlign w:val="center"/>
          </w:tcPr>
          <w:p w14:paraId="7EAF6A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24通道脑电放大器1个</w:t>
            </w:r>
          </w:p>
        </w:tc>
        <w:tc>
          <w:tcPr>
            <w:tcW w:w="422" w:type="pct"/>
            <w:vAlign w:val="center"/>
          </w:tcPr>
          <w:p w14:paraId="10E50AAE">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110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61217C1">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2.3</w:t>
            </w:r>
          </w:p>
        </w:tc>
        <w:tc>
          <w:tcPr>
            <w:tcW w:w="4039" w:type="pct"/>
            <w:vAlign w:val="center"/>
          </w:tcPr>
          <w:p w14:paraId="3A99DA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专用仪器台车1台</w:t>
            </w:r>
          </w:p>
        </w:tc>
        <w:tc>
          <w:tcPr>
            <w:tcW w:w="422" w:type="pct"/>
            <w:vAlign w:val="center"/>
          </w:tcPr>
          <w:p w14:paraId="499B55B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48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F7B0905">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2.4</w:t>
            </w:r>
          </w:p>
        </w:tc>
        <w:tc>
          <w:tcPr>
            <w:tcW w:w="4039" w:type="pct"/>
            <w:vAlign w:val="center"/>
          </w:tcPr>
          <w:p w14:paraId="69C5AC94">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闪光刺激器1套</w:t>
            </w:r>
          </w:p>
        </w:tc>
        <w:tc>
          <w:tcPr>
            <w:tcW w:w="422" w:type="pct"/>
            <w:vAlign w:val="center"/>
          </w:tcPr>
          <w:p w14:paraId="697B9DF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8F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B6E6756">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2.5</w:t>
            </w:r>
          </w:p>
        </w:tc>
        <w:tc>
          <w:tcPr>
            <w:tcW w:w="4039" w:type="pct"/>
            <w:vAlign w:val="center"/>
          </w:tcPr>
          <w:p w14:paraId="2DC1FA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视频组件1套</w:t>
            </w:r>
          </w:p>
        </w:tc>
        <w:tc>
          <w:tcPr>
            <w:tcW w:w="422" w:type="pct"/>
            <w:vAlign w:val="center"/>
          </w:tcPr>
          <w:p w14:paraId="4E60BF2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2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737397B">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2.6</w:t>
            </w:r>
          </w:p>
        </w:tc>
        <w:tc>
          <w:tcPr>
            <w:tcW w:w="4039" w:type="pct"/>
            <w:vAlign w:val="center"/>
          </w:tcPr>
          <w:p w14:paraId="22C019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视频脑电分析软件包1套</w:t>
            </w:r>
          </w:p>
        </w:tc>
        <w:tc>
          <w:tcPr>
            <w:tcW w:w="422" w:type="pct"/>
            <w:vAlign w:val="center"/>
          </w:tcPr>
          <w:p w14:paraId="01163BF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EA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AF65B5">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2.7</w:t>
            </w:r>
          </w:p>
        </w:tc>
        <w:tc>
          <w:tcPr>
            <w:tcW w:w="4039" w:type="pct"/>
            <w:vAlign w:val="center"/>
          </w:tcPr>
          <w:p w14:paraId="5F1C5C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附件（含鳄鱼夹电极线、柱状电极、脑电帽）1套</w:t>
            </w:r>
          </w:p>
        </w:tc>
        <w:tc>
          <w:tcPr>
            <w:tcW w:w="422" w:type="pct"/>
            <w:vAlign w:val="center"/>
          </w:tcPr>
          <w:p w14:paraId="358E03F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A16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FECC44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2.8</w:t>
            </w:r>
          </w:p>
        </w:tc>
        <w:tc>
          <w:tcPr>
            <w:tcW w:w="4039" w:type="pct"/>
            <w:vAlign w:val="center"/>
          </w:tcPr>
          <w:p w14:paraId="1F778AC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彩色喷墨打印机1台</w:t>
            </w:r>
          </w:p>
        </w:tc>
        <w:tc>
          <w:tcPr>
            <w:tcW w:w="422" w:type="pct"/>
            <w:vAlign w:val="center"/>
          </w:tcPr>
          <w:p w14:paraId="5EC23E41">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B2D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9585A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2.9</w:t>
            </w:r>
          </w:p>
        </w:tc>
        <w:tc>
          <w:tcPr>
            <w:tcW w:w="4039" w:type="pct"/>
            <w:vAlign w:val="center"/>
          </w:tcPr>
          <w:p w14:paraId="24168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中标方负责协助设备接入医院HIS系统，并承担相应费用</w:t>
            </w:r>
          </w:p>
        </w:tc>
        <w:tc>
          <w:tcPr>
            <w:tcW w:w="422" w:type="pct"/>
            <w:vAlign w:val="center"/>
          </w:tcPr>
          <w:p w14:paraId="23E0644C">
            <w:pPr>
              <w:spacing w:line="460" w:lineRule="exact"/>
              <w:rPr>
                <w:rFonts w:hint="eastAsia" w:ascii="宋体" w:hAnsi="宋体" w:eastAsia="宋体" w:cs="宋体"/>
                <w:color w:val="000000"/>
                <w:kern w:val="0"/>
                <w:sz w:val="24"/>
                <w:szCs w:val="24"/>
                <w:shd w:val="clear" w:color="auto" w:fill="FFFFFF"/>
                <w:lang w:val="en-US" w:eastAsia="zh-CN" w:bidi="ar-SA"/>
              </w:rPr>
            </w:pPr>
          </w:p>
        </w:tc>
      </w:tr>
    </w:tbl>
    <w:p w14:paraId="45C9ED61">
      <w:pPr>
        <w:spacing w:line="720" w:lineRule="auto"/>
        <w:rPr>
          <w:rFonts w:hint="eastAsia" w:ascii="宋体" w:hAnsi="宋体" w:eastAsia="宋体" w:cs="宋体"/>
          <w:color w:val="000000"/>
          <w:kern w:val="0"/>
          <w:sz w:val="24"/>
          <w:szCs w:val="24"/>
          <w:shd w:val="clear" w:color="auto" w:fill="FFFFFF"/>
          <w:lang w:val="en-US" w:eastAsia="zh-CN" w:bidi="ar-SA"/>
        </w:rPr>
      </w:pPr>
    </w:p>
    <w:p w14:paraId="321AF230">
      <w:pPr>
        <w:numPr>
          <w:ilvl w:val="0"/>
          <w:numId w:val="2"/>
        </w:numPr>
        <w:spacing w:line="360" w:lineRule="auto"/>
        <w:ind w:left="0" w:leftChars="0" w:firstLine="0" w:firstLineChars="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商务要求</w:t>
      </w:r>
    </w:p>
    <w:tbl>
      <w:tblPr>
        <w:tblStyle w:val="20"/>
        <w:tblW w:w="9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7"/>
        <w:gridCol w:w="7647"/>
        <w:gridCol w:w="975"/>
      </w:tblGrid>
      <w:tr w14:paraId="13B9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077" w:type="dxa"/>
            <w:tcBorders>
              <w:top w:val="single" w:color="auto" w:sz="12" w:space="0"/>
            </w:tcBorders>
            <w:noWrap w:val="0"/>
            <w:vAlign w:val="center"/>
          </w:tcPr>
          <w:p w14:paraId="4AF110BB">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7647" w:type="dxa"/>
            <w:tcBorders>
              <w:top w:val="single" w:color="auto" w:sz="12" w:space="0"/>
            </w:tcBorders>
            <w:noWrap w:val="0"/>
            <w:vAlign w:val="top"/>
          </w:tcPr>
          <w:p w14:paraId="13017AF3">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比选要求</w:t>
            </w:r>
          </w:p>
        </w:tc>
        <w:tc>
          <w:tcPr>
            <w:tcW w:w="975" w:type="dxa"/>
            <w:tcBorders>
              <w:top w:val="single" w:color="auto" w:sz="12" w:space="0"/>
            </w:tcBorders>
            <w:noWrap w:val="0"/>
            <w:vAlign w:val="top"/>
          </w:tcPr>
          <w:p w14:paraId="1BE4F0C6">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197C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4A5C4211">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4231CD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交货期：</w:t>
            </w:r>
            <w:r>
              <w:rPr>
                <w:rFonts w:hint="default" w:ascii="宋体" w:hAnsi="宋体" w:eastAsia="宋体" w:cs="宋体"/>
                <w:color w:val="000000"/>
                <w:kern w:val="0"/>
                <w:sz w:val="24"/>
                <w:szCs w:val="24"/>
                <w:shd w:val="clear" w:color="auto" w:fill="FFFFFF"/>
                <w:lang w:val="en-US" w:eastAsia="zh-CN" w:bidi="ar-SA"/>
              </w:rPr>
              <w:t>合同签订后1个月内可到货</w:t>
            </w:r>
            <w:r>
              <w:rPr>
                <w:rFonts w:hint="eastAsia" w:ascii="宋体" w:hAnsi="宋体" w:eastAsia="宋体" w:cs="宋体"/>
                <w:color w:val="000000"/>
                <w:kern w:val="0"/>
                <w:sz w:val="24"/>
                <w:szCs w:val="24"/>
                <w:shd w:val="clear" w:color="auto" w:fill="FFFFFF"/>
                <w:lang w:val="en-US" w:eastAsia="zh-CN" w:bidi="ar-SA"/>
              </w:rPr>
              <w:t>（</w:t>
            </w:r>
            <w:r>
              <w:rPr>
                <w:rFonts w:hint="default" w:ascii="宋体" w:hAnsi="宋体" w:eastAsia="宋体" w:cs="宋体"/>
                <w:color w:val="000000"/>
                <w:kern w:val="0"/>
                <w:sz w:val="24"/>
                <w:szCs w:val="24"/>
                <w:shd w:val="clear" w:color="auto" w:fill="FFFFFF"/>
                <w:lang w:val="en-US" w:eastAsia="zh-CN" w:bidi="ar-SA"/>
              </w:rPr>
              <w:t>具体根据</w:t>
            </w:r>
            <w:r>
              <w:rPr>
                <w:rFonts w:hint="eastAsia" w:ascii="宋体" w:hAnsi="宋体" w:cs="宋体"/>
                <w:color w:val="000000"/>
                <w:kern w:val="0"/>
                <w:sz w:val="24"/>
                <w:szCs w:val="24"/>
                <w:shd w:val="clear" w:color="auto" w:fill="FFFFFF"/>
                <w:lang w:val="en-US" w:eastAsia="zh-CN" w:bidi="ar-SA"/>
              </w:rPr>
              <w:t>比选</w:t>
            </w:r>
            <w:r>
              <w:rPr>
                <w:rFonts w:hint="eastAsia" w:ascii="宋体" w:hAnsi="宋体" w:eastAsia="宋体" w:cs="宋体"/>
                <w:color w:val="000000"/>
                <w:kern w:val="0"/>
                <w:sz w:val="24"/>
                <w:szCs w:val="24"/>
                <w:shd w:val="clear" w:color="auto" w:fill="FFFFFF"/>
                <w:lang w:val="en-US" w:eastAsia="zh-CN" w:bidi="ar-SA"/>
              </w:rPr>
              <w:t>人</w:t>
            </w:r>
            <w:r>
              <w:rPr>
                <w:rFonts w:hint="default" w:ascii="宋体" w:hAnsi="宋体" w:eastAsia="宋体" w:cs="宋体"/>
                <w:color w:val="000000"/>
                <w:kern w:val="0"/>
                <w:sz w:val="24"/>
                <w:szCs w:val="24"/>
                <w:shd w:val="clear" w:color="auto" w:fill="FFFFFF"/>
                <w:lang w:val="en-US" w:eastAsia="zh-CN" w:bidi="ar-SA"/>
              </w:rPr>
              <w:t>通知</w:t>
            </w:r>
            <w:r>
              <w:rPr>
                <w:rFonts w:hint="eastAsia" w:ascii="宋体" w:hAnsi="宋体" w:eastAsia="宋体" w:cs="宋体"/>
                <w:color w:val="000000"/>
                <w:kern w:val="0"/>
                <w:sz w:val="24"/>
                <w:szCs w:val="24"/>
                <w:shd w:val="clear" w:color="auto" w:fill="FFFFFF"/>
                <w:lang w:val="en-US" w:eastAsia="zh-CN" w:bidi="ar-SA"/>
              </w:rPr>
              <w:t>）</w:t>
            </w:r>
            <w:r>
              <w:rPr>
                <w:rFonts w:hint="eastAsia" w:ascii="宋体" w:hAnsi="宋体" w:eastAsia="宋体" w:cs="宋体"/>
                <w:color w:val="000000"/>
                <w:kern w:val="0"/>
                <w:sz w:val="24"/>
                <w:szCs w:val="24"/>
                <w:shd w:val="clear" w:color="auto" w:fill="FFFFFF"/>
                <w:lang w:val="zh-CN" w:eastAsia="zh-CN" w:bidi="ar-SA"/>
              </w:rPr>
              <w:t>。</w:t>
            </w:r>
          </w:p>
        </w:tc>
        <w:tc>
          <w:tcPr>
            <w:tcW w:w="975" w:type="dxa"/>
            <w:noWrap w:val="0"/>
            <w:vAlign w:val="top"/>
          </w:tcPr>
          <w:p w14:paraId="48D1CED9">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400C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00DEE0B9">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915B83C">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到货地点：温州市第七人民医院指定位置</w:t>
            </w:r>
          </w:p>
        </w:tc>
        <w:tc>
          <w:tcPr>
            <w:tcW w:w="975" w:type="dxa"/>
            <w:noWrap w:val="0"/>
            <w:vAlign w:val="top"/>
          </w:tcPr>
          <w:p w14:paraId="24F40675">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9B4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5BC3EEF">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387221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报价要求</w:t>
            </w:r>
          </w:p>
        </w:tc>
        <w:tc>
          <w:tcPr>
            <w:tcW w:w="975" w:type="dxa"/>
            <w:noWrap w:val="0"/>
            <w:vAlign w:val="top"/>
          </w:tcPr>
          <w:p w14:paraId="266B6F2F">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BC4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1253D07">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4DFAD94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报价方式：DDP医院。</w:t>
            </w:r>
          </w:p>
          <w:p w14:paraId="12B1F0AA">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该价格包含货物价格、运费（医院指定地点）、保险费、税收、随机工具、随机附件、安装验收服务费、技术培训费、保修、检验检疫、计量等所有费用。</w:t>
            </w:r>
          </w:p>
        </w:tc>
        <w:tc>
          <w:tcPr>
            <w:tcW w:w="975" w:type="dxa"/>
            <w:noWrap w:val="0"/>
            <w:vAlign w:val="top"/>
          </w:tcPr>
          <w:p w14:paraId="5CF6E33E">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2A1D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9D9F55E">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060FA2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提供投标产品分项价格清单</w:t>
            </w:r>
          </w:p>
        </w:tc>
        <w:tc>
          <w:tcPr>
            <w:tcW w:w="975" w:type="dxa"/>
            <w:noWrap w:val="0"/>
            <w:vAlign w:val="top"/>
          </w:tcPr>
          <w:p w14:paraId="51A2314D">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1E9F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813FAE5">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17E505B3">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投标及合同货币：人民币。</w:t>
            </w:r>
          </w:p>
        </w:tc>
        <w:tc>
          <w:tcPr>
            <w:tcW w:w="975" w:type="dxa"/>
            <w:noWrap w:val="0"/>
            <w:vAlign w:val="top"/>
          </w:tcPr>
          <w:p w14:paraId="4D5FC732">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8D3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14C3A2D8">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2649C80B">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时标明所有的易耗品及1000元以上维修备件的清单和供货价。提供不高于同期温州市其他市级医院相同产品的采购价格的最优惠报价，并承诺使用期限内售价不得高于此价格。如未列明，则默认为日后日常使用中易耗品或1000元以上的维修备件免费提供。</w:t>
            </w:r>
          </w:p>
        </w:tc>
        <w:tc>
          <w:tcPr>
            <w:tcW w:w="975" w:type="dxa"/>
            <w:noWrap w:val="0"/>
            <w:vAlign w:val="top"/>
          </w:tcPr>
          <w:p w14:paraId="2F8B3D5C">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6F9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077" w:type="dxa"/>
            <w:noWrap w:val="0"/>
            <w:vAlign w:val="center"/>
          </w:tcPr>
          <w:p w14:paraId="021FEAA1">
            <w:pPr>
              <w:widowControl/>
              <w:numPr>
                <w:ilvl w:val="0"/>
                <w:numId w:val="3"/>
              </w:numPr>
              <w:ind w:right="-21" w:rightChars="-10"/>
              <w:jc w:val="center"/>
              <w:rPr>
                <w:b/>
                <w:bCs/>
                <w:sz w:val="24"/>
                <w:highlight w:val="none"/>
              </w:rPr>
            </w:pPr>
          </w:p>
        </w:tc>
        <w:tc>
          <w:tcPr>
            <w:tcW w:w="7647" w:type="dxa"/>
            <w:noWrap w:val="0"/>
            <w:vAlign w:val="center"/>
          </w:tcPr>
          <w:p w14:paraId="2A6B5643">
            <w:pPr>
              <w:ind w:right="-21" w:rightChars="-10"/>
              <w:rPr>
                <w:b/>
                <w:bCs/>
                <w:sz w:val="24"/>
                <w:highlight w:val="none"/>
              </w:rPr>
            </w:pPr>
            <w:r>
              <w:rPr>
                <w:bCs/>
                <w:kern w:val="0"/>
                <w:sz w:val="24"/>
                <w:highlight w:val="none"/>
              </w:rPr>
              <w:t>投标范围的货物，应由</w:t>
            </w:r>
            <w:r>
              <w:rPr>
                <w:sz w:val="24"/>
                <w:highlight w:val="none"/>
              </w:rPr>
              <w:t>中标商</w:t>
            </w:r>
            <w:r>
              <w:rPr>
                <w:bCs/>
                <w:kern w:val="0"/>
                <w:sz w:val="24"/>
                <w:highlight w:val="none"/>
              </w:rPr>
              <w:t>直接供应，不得转让他人供应。</w:t>
            </w:r>
          </w:p>
        </w:tc>
        <w:tc>
          <w:tcPr>
            <w:tcW w:w="975" w:type="dxa"/>
            <w:noWrap w:val="0"/>
            <w:vAlign w:val="top"/>
          </w:tcPr>
          <w:p w14:paraId="7388699E">
            <w:pPr>
              <w:ind w:right="-21" w:rightChars="-10"/>
              <w:jc w:val="left"/>
              <w:rPr>
                <w:sz w:val="24"/>
                <w:highlight w:val="none"/>
              </w:rPr>
            </w:pPr>
          </w:p>
        </w:tc>
      </w:tr>
      <w:tr w14:paraId="37A54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47576AB">
            <w:pPr>
              <w:widowControl/>
              <w:numPr>
                <w:ilvl w:val="0"/>
                <w:numId w:val="3"/>
              </w:numPr>
              <w:ind w:right="-21" w:rightChars="-10"/>
              <w:jc w:val="center"/>
              <w:rPr>
                <w:b/>
                <w:bCs/>
                <w:sz w:val="24"/>
                <w:highlight w:val="none"/>
              </w:rPr>
            </w:pPr>
          </w:p>
        </w:tc>
        <w:tc>
          <w:tcPr>
            <w:tcW w:w="7647" w:type="dxa"/>
            <w:noWrap w:val="0"/>
            <w:vAlign w:val="center"/>
          </w:tcPr>
          <w:p w14:paraId="31D23262">
            <w:pPr>
              <w:ind w:right="-21" w:rightChars="-10"/>
              <w:rPr>
                <w:b/>
                <w:bCs/>
                <w:sz w:val="24"/>
                <w:highlight w:val="none"/>
              </w:rPr>
            </w:pPr>
            <w:r>
              <w:rPr>
                <w:b/>
                <w:bCs/>
                <w:sz w:val="24"/>
                <w:highlight w:val="none"/>
              </w:rPr>
              <w:t>质保及售后</w:t>
            </w:r>
          </w:p>
        </w:tc>
        <w:tc>
          <w:tcPr>
            <w:tcW w:w="975" w:type="dxa"/>
            <w:noWrap w:val="0"/>
            <w:vAlign w:val="top"/>
          </w:tcPr>
          <w:p w14:paraId="69C37013">
            <w:pPr>
              <w:ind w:right="-21" w:rightChars="-10"/>
              <w:jc w:val="left"/>
              <w:rPr>
                <w:sz w:val="24"/>
                <w:highlight w:val="none"/>
              </w:rPr>
            </w:pPr>
          </w:p>
        </w:tc>
      </w:tr>
      <w:tr w14:paraId="168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0F531A0">
            <w:pPr>
              <w:widowControl/>
              <w:numPr>
                <w:ilvl w:val="0"/>
                <w:numId w:val="0"/>
              </w:numPr>
              <w:ind w:leftChars="0" w:right="-21" w:rightChars="-10"/>
              <w:jc w:val="both"/>
              <w:rPr>
                <w:rFonts w:hint="default" w:eastAsia="微软雅黑"/>
                <w:sz w:val="24"/>
                <w:highlight w:val="none"/>
                <w:lang w:val="en-US" w:eastAsia="zh-CN"/>
              </w:rPr>
            </w:pPr>
            <w:r>
              <w:rPr>
                <w:rFonts w:hint="eastAsia" w:ascii="微软雅黑" w:hAnsi="微软雅黑" w:eastAsia="微软雅黑" w:cs="微软雅黑"/>
                <w:b w:val="0"/>
                <w:color w:val="000000"/>
              </w:rPr>
              <w:t>▲</w:t>
            </w:r>
            <w:r>
              <w:rPr>
                <w:rFonts w:hint="eastAsia" w:ascii="微软雅黑" w:hAnsi="微软雅黑" w:eastAsia="微软雅黑" w:cs="微软雅黑"/>
                <w:b w:val="0"/>
                <w:color w:val="000000"/>
                <w:lang w:val="en-US" w:eastAsia="zh-CN"/>
              </w:rPr>
              <w:t>5.1</w:t>
            </w:r>
          </w:p>
        </w:tc>
        <w:tc>
          <w:tcPr>
            <w:tcW w:w="7647" w:type="dxa"/>
            <w:noWrap w:val="0"/>
            <w:vAlign w:val="center"/>
          </w:tcPr>
          <w:p w14:paraId="0147793B">
            <w:pPr>
              <w:ind w:right="-21" w:rightChars="-10"/>
              <w:rPr>
                <w:rFonts w:hint="eastAsia" w:eastAsia="宋体"/>
                <w:sz w:val="24"/>
                <w:highlight w:val="none"/>
                <w:lang w:eastAsia="zh-CN"/>
              </w:rPr>
            </w:pPr>
            <w:r>
              <w:rPr>
                <w:rFonts w:hint="eastAsia"/>
                <w:color w:val="000000"/>
                <w:kern w:val="0"/>
                <w:sz w:val="24"/>
                <w:highlight w:val="none"/>
                <w:lang w:bidi="ar"/>
              </w:rPr>
              <w:t>质保≥</w:t>
            </w:r>
            <w:r>
              <w:rPr>
                <w:rFonts w:hint="eastAsia"/>
                <w:color w:val="000000"/>
                <w:kern w:val="0"/>
                <w:sz w:val="24"/>
                <w:highlight w:val="none"/>
                <w:lang w:val="en-US" w:eastAsia="zh-CN" w:bidi="ar"/>
              </w:rPr>
              <w:t>5</w:t>
            </w:r>
            <w:r>
              <w:rPr>
                <w:rFonts w:hint="eastAsia"/>
                <w:color w:val="000000"/>
                <w:kern w:val="0"/>
                <w:sz w:val="24"/>
                <w:highlight w:val="none"/>
                <w:lang w:bidi="ar"/>
              </w:rPr>
              <w:t>年</w:t>
            </w:r>
            <w:r>
              <w:rPr>
                <w:rFonts w:hint="eastAsia" w:ascii="Times New Roman" w:hAnsi="Times New Roman" w:eastAsia="宋体" w:cs="Times New Roman"/>
                <w:color w:val="000000"/>
                <w:kern w:val="0"/>
                <w:sz w:val="24"/>
                <w:highlight w:val="none"/>
                <w:lang w:bidi="ar"/>
              </w:rPr>
              <w:t>，为该套设备的免费保修期（含所有附件），</w:t>
            </w:r>
            <w:r>
              <w:rPr>
                <w:rFonts w:hint="eastAsia" w:ascii="Times New Roman" w:hAnsi="Times New Roman" w:eastAsia="宋体" w:cs="Times New Roman"/>
                <w:color w:val="000000"/>
                <w:kern w:val="0"/>
                <w:sz w:val="24"/>
                <w:highlight w:val="none"/>
                <w:lang w:val="en-US" w:eastAsia="zh-CN" w:bidi="ar"/>
              </w:rPr>
              <w:t>须出具原厂保修承诺函。</w:t>
            </w:r>
            <w:r>
              <w:rPr>
                <w:rFonts w:hint="eastAsia" w:ascii="Times New Roman" w:hAnsi="Times New Roman" w:eastAsia="宋体" w:cs="Times New Roman"/>
                <w:color w:val="000000"/>
                <w:kern w:val="0"/>
                <w:sz w:val="24"/>
                <w:highlight w:val="none"/>
                <w:lang w:bidi="ar"/>
              </w:rPr>
              <w:t>所有在保修期内损坏的配件一概包换，不接受对此配件进行维修。设备终生维修，软件升级终生免费</w:t>
            </w:r>
            <w:r>
              <w:rPr>
                <w:rFonts w:hint="eastAsia" w:ascii="Times New Roman" w:hAnsi="Times New Roman" w:eastAsia="宋体" w:cs="Times New Roman"/>
                <w:color w:val="000000"/>
                <w:kern w:val="0"/>
                <w:sz w:val="24"/>
                <w:highlight w:val="none"/>
                <w:lang w:eastAsia="zh-CN" w:bidi="ar"/>
              </w:rPr>
              <w:t>。</w:t>
            </w:r>
            <w:r>
              <w:rPr>
                <w:rFonts w:hint="eastAsia" w:ascii="Times New Roman" w:hAnsi="Times New Roman" w:eastAsia="宋体" w:cs="Times New Roman"/>
                <w:color w:val="000000"/>
                <w:kern w:val="0"/>
                <w:sz w:val="24"/>
                <w:highlight w:val="none"/>
                <w:lang w:bidi="ar"/>
              </w:rPr>
              <w:t>保修期自验收签字之日起计算</w:t>
            </w:r>
            <w:r>
              <w:rPr>
                <w:rFonts w:hint="eastAsia" w:ascii="Times New Roman" w:hAnsi="Times New Roman" w:eastAsia="宋体" w:cs="Times New Roman"/>
                <w:color w:val="000000"/>
                <w:kern w:val="0"/>
                <w:sz w:val="24"/>
                <w:highlight w:val="none"/>
                <w:lang w:eastAsia="zh-CN" w:bidi="ar"/>
              </w:rPr>
              <w:t>。</w:t>
            </w:r>
          </w:p>
        </w:tc>
        <w:tc>
          <w:tcPr>
            <w:tcW w:w="975" w:type="dxa"/>
            <w:noWrap w:val="0"/>
            <w:vAlign w:val="top"/>
          </w:tcPr>
          <w:p w14:paraId="7DBE4365">
            <w:pPr>
              <w:ind w:right="-21" w:rightChars="-10"/>
              <w:jc w:val="left"/>
              <w:rPr>
                <w:sz w:val="24"/>
                <w:highlight w:val="none"/>
              </w:rPr>
            </w:pPr>
          </w:p>
        </w:tc>
      </w:tr>
      <w:tr w14:paraId="3EB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67203823">
            <w:pPr>
              <w:numPr>
                <w:ilvl w:val="0"/>
                <w:numId w:val="3"/>
              </w:numPr>
              <w:ind w:right="-21" w:rightChars="-10"/>
              <w:jc w:val="center"/>
              <w:rPr>
                <w:b/>
                <w:bCs/>
                <w:sz w:val="24"/>
                <w:highlight w:val="none"/>
              </w:rPr>
            </w:pPr>
          </w:p>
        </w:tc>
        <w:tc>
          <w:tcPr>
            <w:tcW w:w="7647" w:type="dxa"/>
            <w:noWrap w:val="0"/>
            <w:vAlign w:val="center"/>
          </w:tcPr>
          <w:p w14:paraId="39E502A1">
            <w:pPr>
              <w:ind w:right="-21" w:rightChars="-10"/>
              <w:rPr>
                <w:b/>
                <w:bCs/>
                <w:sz w:val="24"/>
                <w:highlight w:val="none"/>
              </w:rPr>
            </w:pPr>
            <w:r>
              <w:rPr>
                <w:b/>
                <w:bCs/>
                <w:sz w:val="24"/>
                <w:highlight w:val="none"/>
              </w:rPr>
              <w:t>培训</w:t>
            </w:r>
          </w:p>
        </w:tc>
        <w:tc>
          <w:tcPr>
            <w:tcW w:w="975" w:type="dxa"/>
            <w:noWrap w:val="0"/>
            <w:vAlign w:val="top"/>
          </w:tcPr>
          <w:p w14:paraId="5B594535">
            <w:pPr>
              <w:ind w:right="-21" w:rightChars="-10"/>
              <w:jc w:val="left"/>
              <w:rPr>
                <w:sz w:val="24"/>
                <w:highlight w:val="none"/>
              </w:rPr>
            </w:pPr>
          </w:p>
        </w:tc>
      </w:tr>
      <w:tr w14:paraId="7C17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2573A579">
            <w:pPr>
              <w:numPr>
                <w:ilvl w:val="1"/>
                <w:numId w:val="3"/>
              </w:numPr>
              <w:ind w:right="-21" w:rightChars="-10"/>
              <w:jc w:val="center"/>
              <w:rPr>
                <w:sz w:val="24"/>
                <w:highlight w:val="none"/>
              </w:rPr>
            </w:pPr>
          </w:p>
        </w:tc>
        <w:tc>
          <w:tcPr>
            <w:tcW w:w="7647" w:type="dxa"/>
            <w:noWrap w:val="0"/>
            <w:vAlign w:val="center"/>
          </w:tcPr>
          <w:p w14:paraId="6AC9F2ED">
            <w:pPr>
              <w:ind w:right="-21" w:rightChars="-10"/>
              <w:rPr>
                <w:sz w:val="24"/>
                <w:highlight w:val="none"/>
              </w:rPr>
            </w:pPr>
            <w:r>
              <w:rPr>
                <w:sz w:val="24"/>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975" w:type="dxa"/>
            <w:noWrap w:val="0"/>
            <w:vAlign w:val="top"/>
          </w:tcPr>
          <w:p w14:paraId="541113D3">
            <w:pPr>
              <w:ind w:right="-21" w:rightChars="-10"/>
              <w:jc w:val="left"/>
              <w:rPr>
                <w:sz w:val="24"/>
                <w:highlight w:val="none"/>
              </w:rPr>
            </w:pPr>
          </w:p>
        </w:tc>
      </w:tr>
      <w:tr w14:paraId="6837E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50EC32C9">
            <w:pPr>
              <w:numPr>
                <w:ilvl w:val="1"/>
                <w:numId w:val="3"/>
              </w:numPr>
              <w:ind w:right="-21" w:rightChars="-10"/>
              <w:jc w:val="center"/>
              <w:rPr>
                <w:sz w:val="24"/>
                <w:highlight w:val="none"/>
              </w:rPr>
            </w:pPr>
          </w:p>
        </w:tc>
        <w:tc>
          <w:tcPr>
            <w:tcW w:w="7647" w:type="dxa"/>
            <w:noWrap w:val="0"/>
            <w:vAlign w:val="center"/>
          </w:tcPr>
          <w:p w14:paraId="76BD67DD">
            <w:pPr>
              <w:ind w:right="-21" w:rightChars="-10"/>
              <w:rPr>
                <w:sz w:val="24"/>
                <w:highlight w:val="none"/>
              </w:rPr>
            </w:pPr>
            <w:r>
              <w:rPr>
                <w:sz w:val="24"/>
                <w:highlight w:val="none"/>
              </w:rPr>
              <w:t>中标方应对买方的操作人员/医生进行培训并承担所有费用，请提供培训方案。</w:t>
            </w:r>
          </w:p>
        </w:tc>
        <w:tc>
          <w:tcPr>
            <w:tcW w:w="975" w:type="dxa"/>
            <w:noWrap w:val="0"/>
            <w:vAlign w:val="top"/>
          </w:tcPr>
          <w:p w14:paraId="61356261">
            <w:pPr>
              <w:ind w:right="-21" w:rightChars="-10"/>
              <w:jc w:val="left"/>
              <w:rPr>
                <w:sz w:val="24"/>
                <w:highlight w:val="none"/>
              </w:rPr>
            </w:pPr>
          </w:p>
        </w:tc>
      </w:tr>
    </w:tbl>
    <w:p w14:paraId="798C8BB1"/>
    <w:p w14:paraId="59B724B4"/>
    <w:p w14:paraId="1600F343">
      <w:pPr>
        <w:widowControl w:val="0"/>
        <w:numPr>
          <w:ilvl w:val="0"/>
          <w:numId w:val="0"/>
        </w:numPr>
        <w:spacing w:line="360" w:lineRule="auto"/>
        <w:jc w:val="both"/>
        <w:rPr>
          <w:rFonts w:hint="eastAsia" w:ascii="宋体" w:hAnsi="宋体" w:cs="宋体"/>
          <w:b/>
          <w:sz w:val="24"/>
          <w:szCs w:val="24"/>
        </w:rPr>
      </w:pPr>
    </w:p>
    <w:p w14:paraId="0F896451">
      <w:pPr>
        <w:numPr>
          <w:ilvl w:val="0"/>
          <w:numId w:val="4"/>
        </w:numPr>
        <w:spacing w:line="360" w:lineRule="auto"/>
        <w:rPr>
          <w:rFonts w:hint="eastAsia" w:ascii="宋体" w:hAnsi="宋体"/>
          <w:b/>
          <w:bCs/>
          <w:sz w:val="24"/>
          <w:szCs w:val="24"/>
          <w:lang w:eastAsia="zh-CN"/>
        </w:rPr>
      </w:pPr>
      <w:r>
        <w:rPr>
          <w:rFonts w:hint="eastAsia"/>
          <w:b/>
          <w:bCs/>
          <w:sz w:val="24"/>
          <w:szCs w:val="24"/>
          <w:lang w:eastAsia="zh-CN"/>
        </w:rPr>
        <w:t>其他要求</w:t>
      </w:r>
    </w:p>
    <w:p w14:paraId="1FEC9972">
      <w:pPr>
        <w:spacing w:line="460" w:lineRule="exact"/>
        <w:ind w:firstLine="482" w:firstLineChars="200"/>
        <w:rPr>
          <w:rFonts w:hint="eastAsia" w:ascii="Times New Roman" w:hAnsi="Times New Roman"/>
          <w:b/>
          <w:bCs/>
          <w:sz w:val="24"/>
          <w:szCs w:val="24"/>
          <w:lang w:val="en-US" w:eastAsia="zh-CN"/>
        </w:rPr>
      </w:pPr>
      <w:r>
        <w:rPr>
          <w:rFonts w:ascii="Times New Roman" w:hAnsi="Times New Roman"/>
          <w:b/>
          <w:bCs/>
          <w:sz w:val="24"/>
          <w:szCs w:val="24"/>
        </w:rPr>
        <w:t>请投标人仔细阅读本采购文件，其中带“▲”标记的条款为实质性内容，投标人须对带“▲”标记的条款作出实质性</w:t>
      </w:r>
      <w:r>
        <w:rPr>
          <w:rFonts w:hint="eastAsia" w:ascii="宋体" w:hAnsi="宋体"/>
          <w:b/>
          <w:bCs/>
          <w:sz w:val="24"/>
          <w:szCs w:val="24"/>
        </w:rPr>
        <w:t>响</w:t>
      </w:r>
      <w:r>
        <w:rPr>
          <w:rFonts w:hint="eastAsia" w:ascii="Times New Roman" w:hAnsi="Times New Roman"/>
          <w:b/>
          <w:bCs/>
          <w:sz w:val="24"/>
          <w:szCs w:val="24"/>
        </w:rPr>
        <w:t>应</w:t>
      </w:r>
      <w:r>
        <w:rPr>
          <w:rFonts w:hint="eastAsia" w:ascii="Times New Roman" w:hAnsi="Times New Roman"/>
          <w:b/>
          <w:bCs/>
          <w:sz w:val="24"/>
          <w:szCs w:val="24"/>
          <w:lang w:val="en-US" w:eastAsia="zh-CN"/>
        </w:rPr>
        <w:t>,</w:t>
      </w:r>
      <w:r>
        <w:rPr>
          <w:rFonts w:hint="eastAsia" w:ascii="Times New Roman" w:hAnsi="Times New Roman"/>
          <w:b/>
          <w:bCs/>
          <w:sz w:val="24"/>
          <w:szCs w:val="24"/>
        </w:rPr>
        <w:t>“▲”标记条款负偏离或不响应的</w:t>
      </w:r>
      <w:r>
        <w:rPr>
          <w:rFonts w:hint="eastAsia" w:ascii="Times New Roman" w:hAnsi="Times New Roman"/>
          <w:b/>
          <w:bCs/>
          <w:sz w:val="24"/>
          <w:szCs w:val="24"/>
          <w:lang w:eastAsia="zh-CN"/>
        </w:rPr>
        <w:t>为投标无效</w:t>
      </w:r>
      <w:r>
        <w:rPr>
          <w:rFonts w:hint="eastAsia"/>
          <w:b/>
          <w:bCs/>
          <w:sz w:val="24"/>
          <w:szCs w:val="24"/>
          <w:lang w:eastAsia="zh-CN"/>
        </w:rPr>
        <w:t>。</w:t>
      </w:r>
    </w:p>
    <w:p w14:paraId="0EDCE209">
      <w:pPr>
        <w:numPr>
          <w:ilvl w:val="0"/>
          <w:numId w:val="0"/>
        </w:numPr>
        <w:spacing w:line="360" w:lineRule="auto"/>
        <w:ind w:firstLine="482" w:firstLineChars="200"/>
        <w:rPr>
          <w:rFonts w:hint="eastAsia" w:eastAsia="宋体"/>
          <w:b/>
          <w:bCs/>
          <w:sz w:val="24"/>
          <w:szCs w:val="24"/>
          <w:lang w:val="en-US" w:eastAsia="zh-CN"/>
        </w:rPr>
      </w:pPr>
    </w:p>
    <w:p w14:paraId="033C8CB2">
      <w:pPr>
        <w:spacing w:line="360" w:lineRule="auto"/>
        <w:rPr>
          <w:rFonts w:hint="eastAsia" w:ascii="宋体" w:hAnsi="宋体" w:cs="宋体"/>
          <w:szCs w:val="21"/>
        </w:rPr>
      </w:pPr>
    </w:p>
    <w:p w14:paraId="2EB5612D">
      <w:pPr>
        <w:pStyle w:val="5"/>
        <w:spacing w:line="360" w:lineRule="auto"/>
        <w:ind w:firstLine="0" w:firstLineChars="0"/>
        <w:rPr>
          <w:rFonts w:hint="eastAsia" w:ascii="宋体" w:hAnsi="宋体"/>
          <w:szCs w:val="21"/>
        </w:rPr>
      </w:pPr>
      <w:r>
        <w:rPr>
          <w:rFonts w:hint="eastAsia" w:ascii="宋体" w:hAnsi="宋体"/>
          <w:szCs w:val="21"/>
          <w:lang w:eastAsia="zh-CN"/>
        </w:rPr>
        <w:t>五</w:t>
      </w:r>
      <w:r>
        <w:rPr>
          <w:rFonts w:hint="eastAsia" w:ascii="宋体" w:hAnsi="宋体"/>
          <w:szCs w:val="21"/>
        </w:rPr>
        <w:t>、报价方式：</w:t>
      </w:r>
    </w:p>
    <w:p w14:paraId="6EF393DD">
      <w:pPr>
        <w:ind w:right="-21" w:rightChars="-10" w:firstLine="480" w:firstLineChars="200"/>
        <w:rPr>
          <w:rFonts w:hint="eastAsia"/>
          <w:sz w:val="24"/>
          <w:highlight w:val="none"/>
        </w:rPr>
      </w:pPr>
      <w:r>
        <w:rPr>
          <w:rFonts w:hint="eastAsia"/>
          <w:sz w:val="24"/>
          <w:highlight w:val="none"/>
        </w:rPr>
        <w:t>本次报价应包括本项目整个服务期所需的一切设备保修、设备保养服务及所有配件费、维修人工费、差旅费、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5D41B6A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34B665C">
      <w:pPr>
        <w:numPr>
          <w:ilvl w:val="0"/>
          <w:numId w:val="0"/>
        </w:numPr>
        <w:ind w:leftChars="0"/>
        <w:jc w:val="both"/>
        <w:outlineLvl w:val="1"/>
        <w:rPr>
          <w:rFonts w:hint="eastAsia" w:cs="Times New Roman"/>
          <w:b/>
          <w:bCs/>
          <w:kern w:val="2"/>
          <w:sz w:val="28"/>
          <w:szCs w:val="28"/>
          <w:highlight w:val="none"/>
          <w:lang w:val="en-US" w:eastAsia="zh-CN" w:bidi="ar-SA"/>
        </w:rPr>
      </w:pPr>
    </w:p>
    <w:p w14:paraId="1C813024">
      <w:pPr>
        <w:numPr>
          <w:ilvl w:val="0"/>
          <w:numId w:val="0"/>
        </w:numPr>
        <w:ind w:leftChars="0"/>
        <w:jc w:val="center"/>
        <w:outlineLvl w:val="1"/>
        <w:rPr>
          <w:rFonts w:hint="eastAsia" w:cs="Times New Roman"/>
          <w:b/>
          <w:bCs/>
          <w:kern w:val="2"/>
          <w:sz w:val="28"/>
          <w:szCs w:val="28"/>
          <w:highlight w:val="none"/>
          <w:lang w:val="en-US" w:eastAsia="zh-CN" w:bidi="ar-SA"/>
        </w:rPr>
      </w:pPr>
    </w:p>
    <w:p w14:paraId="404CD7BF">
      <w:pPr>
        <w:numPr>
          <w:ilvl w:val="0"/>
          <w:numId w:val="0"/>
        </w:numPr>
        <w:ind w:leftChars="0"/>
        <w:jc w:val="center"/>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 xml:space="preserve">第三章 </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val="zh-CN"/>
              </w:rPr>
              <w:t>投标人为医疗器械生产企业的：第二类、第三类医疗器械生产企业提供《医疗器械生产许可证》、第一类医疗器械生产企业提供第一类医疗器械生产备案凭证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销售许可文件；投标人为医疗器械经营企业的：第三类医疗器械经营企业提供《医疗器械经营许可证》、第二类医疗器械经营企业提供第二类医疗器械经营备案凭证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销售许可文件（适用于按医疗器械管理的货物）；</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w:t>
            </w:r>
            <w:r>
              <w:rPr>
                <w:rFonts w:hint="eastAsia" w:asciiTheme="majorEastAsia" w:hAnsiTheme="majorEastAsia" w:eastAsiaTheme="majorEastAsia" w:cstheme="majorEastAsia"/>
                <w:b w:val="0"/>
                <w:bCs/>
                <w:sz w:val="24"/>
                <w:szCs w:val="24"/>
                <w:highlight w:val="none"/>
                <w:lang w:eastAsia="zh-CN"/>
              </w:rPr>
              <w:t>比选</w:t>
            </w:r>
            <w:r>
              <w:rPr>
                <w:rFonts w:hint="eastAsia" w:asciiTheme="majorEastAsia" w:hAnsiTheme="majorEastAsia" w:eastAsiaTheme="majorEastAsia" w:cstheme="majorEastAsia"/>
                <w:b w:val="0"/>
                <w:bCs/>
                <w:sz w:val="24"/>
                <w:szCs w:val="24"/>
                <w:highlight w:val="none"/>
              </w:rPr>
              <w:t>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5B9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4C5B1D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58ED8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新宋体" w:hAnsi="新宋体" w:eastAsia="新宋体" w:cs="新宋体"/>
                <w:b w:val="0"/>
                <w:bCs w:val="0"/>
                <w:color w:val="auto"/>
                <w:sz w:val="24"/>
                <w:highlight w:val="none"/>
              </w:rPr>
              <w:t>提供食品药品监督管理部门核发的完整有效的医疗器械注册或备案证明</w:t>
            </w:r>
            <w:r>
              <w:rPr>
                <w:rFonts w:hint="eastAsia" w:ascii="新宋体" w:hAnsi="新宋体" w:eastAsia="新宋体" w:cs="新宋体"/>
                <w:b w:val="0"/>
                <w:bCs w:val="0"/>
                <w:color w:val="auto"/>
                <w:sz w:val="24"/>
                <w:highlight w:val="none"/>
                <w:lang w:val="en-US" w:eastAsia="zh-CN"/>
              </w:rPr>
              <w:t>等</w:t>
            </w:r>
            <w:r>
              <w:rPr>
                <w:rFonts w:hint="eastAsia" w:ascii="新宋体" w:hAnsi="新宋体" w:eastAsia="新宋体" w:cs="新宋体"/>
                <w:b w:val="0"/>
                <w:bCs w:val="0"/>
                <w:color w:val="auto"/>
                <w:sz w:val="24"/>
                <w:highlight w:val="none"/>
                <w:lang w:val="zh-CN"/>
              </w:rPr>
              <w:t>销售许可文件</w:t>
            </w:r>
          </w:p>
        </w:tc>
        <w:tc>
          <w:tcPr>
            <w:tcW w:w="1717" w:type="dxa"/>
            <w:noWrap w:val="0"/>
            <w:vAlign w:val="center"/>
          </w:tcPr>
          <w:p w14:paraId="57E7A1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6A931B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lang w:val="zh-CN"/>
              </w:rPr>
              <w:t>偏离表（</w:t>
            </w:r>
            <w:r>
              <w:rPr>
                <w:rFonts w:hint="eastAsia" w:asciiTheme="majorEastAsia" w:hAnsiTheme="majorEastAsia" w:eastAsiaTheme="majorEastAsia" w:cstheme="majorEastAsia"/>
                <w:b w:val="0"/>
                <w:bCs/>
                <w:sz w:val="24"/>
                <w:szCs w:val="24"/>
                <w:highlight w:val="none"/>
              </w:rPr>
              <w:t>商务、技术偏离</w:t>
            </w:r>
            <w:r>
              <w:rPr>
                <w:rFonts w:hint="eastAsia" w:asciiTheme="majorEastAsia" w:hAnsiTheme="majorEastAsia" w:eastAsiaTheme="majorEastAsia" w:cstheme="majorEastAsia"/>
                <w:b w:val="0"/>
                <w:bCs/>
                <w:sz w:val="24"/>
                <w:szCs w:val="24"/>
                <w:highlight w:val="none"/>
                <w:lang w:val="zh-CN"/>
              </w:rPr>
              <w:t>）</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444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284C1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0C3E81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rPr>
              <w:t>备品、易损件、备件、专用工具清单</w:t>
            </w:r>
          </w:p>
        </w:tc>
        <w:tc>
          <w:tcPr>
            <w:tcW w:w="1717" w:type="dxa"/>
            <w:noWrap w:val="0"/>
            <w:vAlign w:val="center"/>
          </w:tcPr>
          <w:p w14:paraId="0ABB37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6</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eastAsia="zh-CN"/>
              </w:rPr>
              <w:t>其他必要提供的资料（根据评分标准自行提供）</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附件五</w:t>
            </w: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六</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7"/>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0C23CCEC">
      <w:pPr>
        <w:pStyle w:val="4"/>
        <w:numPr>
          <w:ilvl w:val="0"/>
          <w:numId w:val="0"/>
        </w:numPr>
        <w:snapToGrid w:val="0"/>
        <w:jc w:val="center"/>
        <w:rPr>
          <w:rFonts w:ascii="Times New Roman" w:hAnsi="Times New Roman"/>
          <w:color w:val="auto"/>
        </w:rPr>
      </w:pPr>
      <w:bookmarkStart w:id="0" w:name="_Toc495317671"/>
    </w:p>
    <w:p w14:paraId="58B968B0">
      <w:pPr>
        <w:pStyle w:val="4"/>
        <w:numPr>
          <w:ilvl w:val="0"/>
          <w:numId w:val="0"/>
        </w:numPr>
        <w:snapToGrid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第四章</w:t>
      </w:r>
      <w:bookmarkEnd w:id="0"/>
      <w:r>
        <w:rPr>
          <w:rFonts w:hint="eastAsia" w:ascii="新宋体" w:hAnsi="新宋体" w:eastAsia="新宋体" w:cs="宋体"/>
          <w:b/>
          <w:bCs/>
          <w:kern w:val="0"/>
          <w:sz w:val="32"/>
          <w:szCs w:val="32"/>
          <w:highlight w:val="none"/>
          <w:lang w:val="en-US" w:eastAsia="zh-CN" w:bidi="ar-SA"/>
        </w:rPr>
        <w:t xml:space="preserve"> 评审原则及方法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1" w:name="_Toc15153"/>
      <w:bookmarkStart w:id="2"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1"/>
      <w:bookmarkEnd w:id="2"/>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3" w:name="_Toc24825"/>
      <w:bookmarkStart w:id="4" w:name="_Toc11306"/>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3"/>
      <w:bookmarkEnd w:id="4"/>
    </w:p>
    <w:p w14:paraId="5DFBB00C">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5F09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5" w:name="_Toc1535"/>
      <w:bookmarkStart w:id="6"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5"/>
      <w:bookmarkEnd w:id="6"/>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w:t>
      </w:r>
    </w:p>
    <w:p w14:paraId="0FB29172">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59"/>
        <w:gridCol w:w="723"/>
        <w:gridCol w:w="5563"/>
      </w:tblGrid>
      <w:tr w14:paraId="065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761B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序号</w:t>
            </w:r>
          </w:p>
        </w:tc>
        <w:tc>
          <w:tcPr>
            <w:tcW w:w="2659" w:type="dxa"/>
          </w:tcPr>
          <w:p w14:paraId="334E1E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评定项目</w:t>
            </w:r>
          </w:p>
        </w:tc>
        <w:tc>
          <w:tcPr>
            <w:tcW w:w="723" w:type="dxa"/>
          </w:tcPr>
          <w:p w14:paraId="612DF8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分值</w:t>
            </w:r>
          </w:p>
        </w:tc>
        <w:tc>
          <w:tcPr>
            <w:tcW w:w="5563" w:type="dxa"/>
          </w:tcPr>
          <w:p w14:paraId="035B91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评分细则</w:t>
            </w:r>
          </w:p>
        </w:tc>
      </w:tr>
      <w:tr w14:paraId="021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82EBF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w:t>
            </w:r>
          </w:p>
        </w:tc>
        <w:tc>
          <w:tcPr>
            <w:tcW w:w="2659" w:type="dxa"/>
            <w:vAlign w:val="center"/>
          </w:tcPr>
          <w:p w14:paraId="11355E7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设备技术规格及配置对应于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文件的偏离情况</w:t>
            </w:r>
          </w:p>
        </w:tc>
        <w:tc>
          <w:tcPr>
            <w:tcW w:w="723" w:type="dxa"/>
            <w:vAlign w:val="center"/>
          </w:tcPr>
          <w:p w14:paraId="42C588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40分</w:t>
            </w:r>
          </w:p>
        </w:tc>
        <w:tc>
          <w:tcPr>
            <w:tcW w:w="5563" w:type="dxa"/>
          </w:tcPr>
          <w:p w14:paraId="3A4A8BF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文件第</w:t>
            </w:r>
            <w:r>
              <w:rPr>
                <w:rFonts w:hint="eastAsia" w:ascii="新宋体" w:hAnsi="新宋体" w:eastAsia="新宋体" w:cs="新宋体"/>
                <w:color w:val="auto"/>
                <w:sz w:val="22"/>
                <w:szCs w:val="22"/>
                <w:highlight w:val="none"/>
                <w:lang w:eastAsia="zh-CN"/>
              </w:rPr>
              <w:t>二章</w:t>
            </w:r>
            <w:r>
              <w:rPr>
                <w:rFonts w:hint="eastAsia" w:ascii="新宋体" w:hAnsi="新宋体" w:eastAsia="新宋体" w:cs="新宋体"/>
                <w:color w:val="auto"/>
                <w:sz w:val="22"/>
                <w:szCs w:val="22"/>
                <w:highlight w:val="none"/>
              </w:rPr>
              <w:t>的设备技术规格对比</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一项技术指标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一项</w:t>
            </w:r>
            <w:r>
              <w:rPr>
                <w:rFonts w:hint="eastAsia" w:ascii="新宋体" w:hAnsi="新宋体" w:eastAsia="新宋体" w:cs="新宋体"/>
                <w:color w:val="auto"/>
                <w:sz w:val="22"/>
                <w:szCs w:val="22"/>
                <w:highlight w:val="none"/>
                <w:vertAlign w:val="baseline"/>
              </w:rPr>
              <w:t>商务</w:t>
            </w:r>
            <w:r>
              <w:rPr>
                <w:rFonts w:hint="eastAsia" w:ascii="新宋体" w:hAnsi="新宋体" w:eastAsia="新宋体" w:cs="新宋体"/>
                <w:color w:val="auto"/>
                <w:sz w:val="22"/>
                <w:szCs w:val="22"/>
                <w:highlight w:val="none"/>
                <w:vertAlign w:val="baseline"/>
                <w:lang w:val="en-US" w:eastAsia="zh-CN"/>
              </w:rPr>
              <w:t>条款</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w:t>
            </w:r>
            <w:r>
              <w:rPr>
                <w:rFonts w:hint="eastAsia" w:ascii="新宋体" w:hAnsi="新宋体" w:eastAsia="新宋体" w:cs="新宋体"/>
                <w:color w:val="auto"/>
                <w:sz w:val="22"/>
                <w:szCs w:val="22"/>
                <w:highlight w:val="none"/>
                <w:lang w:val="en-US" w:eastAsia="zh-CN"/>
              </w:rPr>
              <w:t>2分，</w:t>
            </w:r>
            <w:r>
              <w:rPr>
                <w:rFonts w:hint="eastAsia" w:ascii="新宋体" w:hAnsi="新宋体" w:eastAsia="新宋体" w:cs="新宋体"/>
                <w:color w:val="auto"/>
                <w:sz w:val="22"/>
                <w:szCs w:val="22"/>
                <w:highlight w:val="none"/>
                <w:vertAlign w:val="baseline"/>
              </w:rPr>
              <w:t>一项★指标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扣完为止。</w:t>
            </w:r>
          </w:p>
        </w:tc>
      </w:tr>
      <w:tr w14:paraId="32BF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F56F9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2</w:t>
            </w:r>
          </w:p>
        </w:tc>
        <w:tc>
          <w:tcPr>
            <w:tcW w:w="2659" w:type="dxa"/>
            <w:vAlign w:val="center"/>
          </w:tcPr>
          <w:p w14:paraId="0928B1D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投标设备配套的合理性</w:t>
            </w:r>
          </w:p>
        </w:tc>
        <w:tc>
          <w:tcPr>
            <w:tcW w:w="723" w:type="dxa"/>
            <w:vAlign w:val="center"/>
          </w:tcPr>
          <w:p w14:paraId="4B4A66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6分</w:t>
            </w:r>
          </w:p>
        </w:tc>
        <w:tc>
          <w:tcPr>
            <w:tcW w:w="5563" w:type="dxa"/>
          </w:tcPr>
          <w:p w14:paraId="570B3C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评委对投标设备配套的合理性、功能实现程度进行</w:t>
            </w:r>
            <w:r>
              <w:rPr>
                <w:rFonts w:hint="eastAsia" w:ascii="新宋体" w:hAnsi="新宋体" w:eastAsia="新宋体" w:cs="新宋体"/>
                <w:color w:val="auto"/>
                <w:sz w:val="22"/>
                <w:szCs w:val="22"/>
                <w:highlight w:val="none"/>
                <w:lang w:val="en-US" w:eastAsia="zh-CN"/>
              </w:rPr>
              <w:t>综合评审（评分范围：6、5、4、3、2、1、0）</w:t>
            </w:r>
          </w:p>
        </w:tc>
      </w:tr>
      <w:tr w14:paraId="606B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2B247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w:t>
            </w:r>
          </w:p>
        </w:tc>
        <w:tc>
          <w:tcPr>
            <w:tcW w:w="2659" w:type="dxa"/>
            <w:vAlign w:val="center"/>
          </w:tcPr>
          <w:p w14:paraId="1A9EE21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投标设备技术指标的先进性</w:t>
            </w:r>
          </w:p>
        </w:tc>
        <w:tc>
          <w:tcPr>
            <w:tcW w:w="723" w:type="dxa"/>
            <w:vAlign w:val="center"/>
          </w:tcPr>
          <w:p w14:paraId="66BE30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40AD01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评委对投标设备技术指标的先进性进行评价：技术指标高于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要求且具有较高临床实用价值的，每项得1分；最高得</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r>
      <w:tr w14:paraId="02E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45DB8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w:t>
            </w:r>
          </w:p>
        </w:tc>
        <w:tc>
          <w:tcPr>
            <w:tcW w:w="2659" w:type="dxa"/>
            <w:vAlign w:val="center"/>
          </w:tcPr>
          <w:p w14:paraId="13CA01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运行成本</w:t>
            </w:r>
          </w:p>
        </w:tc>
        <w:tc>
          <w:tcPr>
            <w:tcW w:w="723" w:type="dxa"/>
            <w:vAlign w:val="center"/>
          </w:tcPr>
          <w:p w14:paraId="2C6D65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60914F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包括保修价格、年运行费用和消耗品或易耗品价格等综合运行成本进行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30A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8C3C0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w:t>
            </w:r>
          </w:p>
        </w:tc>
        <w:tc>
          <w:tcPr>
            <w:tcW w:w="2659" w:type="dxa"/>
            <w:vAlign w:val="center"/>
          </w:tcPr>
          <w:p w14:paraId="218991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vertAlign w:val="baseline"/>
              </w:rPr>
              <w:t>维修成本</w:t>
            </w:r>
          </w:p>
        </w:tc>
        <w:tc>
          <w:tcPr>
            <w:tcW w:w="723" w:type="dxa"/>
            <w:vAlign w:val="center"/>
          </w:tcPr>
          <w:p w14:paraId="4E161A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510E0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vertAlign w:val="baseline"/>
              </w:rPr>
              <w:t>根据设备零配件价格、维修服务费用等维修成本</w:t>
            </w:r>
            <w:r>
              <w:rPr>
                <w:rFonts w:hint="eastAsia" w:ascii="新宋体" w:hAnsi="新宋体" w:eastAsia="新宋体" w:cs="新宋体"/>
                <w:color w:val="auto"/>
                <w:sz w:val="22"/>
                <w:szCs w:val="22"/>
                <w:highlight w:val="none"/>
              </w:rPr>
              <w:t>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BF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07F16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6</w:t>
            </w:r>
          </w:p>
        </w:tc>
        <w:tc>
          <w:tcPr>
            <w:tcW w:w="2659" w:type="dxa"/>
            <w:shd w:val="clear" w:color="auto" w:fill="auto"/>
            <w:vAlign w:val="center"/>
          </w:tcPr>
          <w:p w14:paraId="6FB66F5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制造商或代理商售后服务能力</w:t>
            </w:r>
          </w:p>
        </w:tc>
        <w:tc>
          <w:tcPr>
            <w:tcW w:w="723" w:type="dxa"/>
            <w:shd w:val="clear" w:color="auto" w:fill="auto"/>
            <w:vAlign w:val="center"/>
          </w:tcPr>
          <w:p w14:paraId="1C1525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5分</w:t>
            </w:r>
          </w:p>
        </w:tc>
        <w:tc>
          <w:tcPr>
            <w:tcW w:w="5563" w:type="dxa"/>
            <w:shd w:val="clear" w:color="auto" w:fill="auto"/>
            <w:vAlign w:val="top"/>
          </w:tcPr>
          <w:p w14:paraId="562BF5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制造商或代理商售后服务能力，服务响应速度、服务人员</w:t>
            </w:r>
            <w:r>
              <w:rPr>
                <w:rFonts w:hint="eastAsia" w:ascii="新宋体" w:hAnsi="新宋体" w:eastAsia="新宋体" w:cs="新宋体"/>
                <w:color w:val="auto"/>
                <w:sz w:val="22"/>
                <w:szCs w:val="22"/>
                <w:highlight w:val="none"/>
                <w:lang w:val="en-US" w:eastAsia="zh-CN"/>
              </w:rPr>
              <w:t>配置完整性</w:t>
            </w:r>
            <w:r>
              <w:rPr>
                <w:rFonts w:hint="eastAsia" w:ascii="新宋体" w:hAnsi="新宋体" w:eastAsia="新宋体" w:cs="新宋体"/>
                <w:color w:val="auto"/>
                <w:sz w:val="22"/>
                <w:szCs w:val="22"/>
                <w:highlight w:val="none"/>
              </w:rPr>
              <w:t>、备品备件等进行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4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CA50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7</w:t>
            </w:r>
          </w:p>
        </w:tc>
        <w:tc>
          <w:tcPr>
            <w:tcW w:w="2659" w:type="dxa"/>
            <w:vAlign w:val="center"/>
          </w:tcPr>
          <w:p w14:paraId="0B8A18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业绩</w:t>
            </w:r>
          </w:p>
        </w:tc>
        <w:tc>
          <w:tcPr>
            <w:tcW w:w="723" w:type="dxa"/>
            <w:vAlign w:val="center"/>
          </w:tcPr>
          <w:p w14:paraId="4122C1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3分</w:t>
            </w:r>
          </w:p>
        </w:tc>
        <w:tc>
          <w:tcPr>
            <w:tcW w:w="5563" w:type="dxa"/>
          </w:tcPr>
          <w:p w14:paraId="711A5A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提供20</w:t>
            </w:r>
            <w:r>
              <w:rPr>
                <w:rFonts w:hint="eastAsia" w:ascii="新宋体" w:hAnsi="新宋体" w:eastAsia="新宋体" w:cs="新宋体"/>
                <w:color w:val="auto"/>
                <w:sz w:val="22"/>
                <w:szCs w:val="22"/>
                <w:highlight w:val="none"/>
                <w:lang w:val="en-US" w:eastAsia="zh-CN"/>
              </w:rPr>
              <w:t>22</w:t>
            </w:r>
            <w:r>
              <w:rPr>
                <w:rFonts w:hint="eastAsia" w:ascii="新宋体" w:hAnsi="新宋体" w:eastAsia="新宋体" w:cs="新宋体"/>
                <w:color w:val="auto"/>
                <w:sz w:val="22"/>
                <w:szCs w:val="22"/>
                <w:highlight w:val="none"/>
              </w:rPr>
              <w:t>年1月1日</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以合同签订时间为准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起至今与最终不同用户签订的投标</w:t>
            </w:r>
            <w:r>
              <w:rPr>
                <w:rFonts w:hint="eastAsia" w:ascii="新宋体" w:hAnsi="新宋体" w:eastAsia="新宋体" w:cs="新宋体"/>
                <w:color w:val="auto"/>
                <w:sz w:val="22"/>
                <w:szCs w:val="22"/>
                <w:highlight w:val="none"/>
                <w:lang w:val="en-US" w:eastAsia="zh-CN"/>
              </w:rPr>
              <w:t>产品</w:t>
            </w:r>
            <w:r>
              <w:rPr>
                <w:rFonts w:hint="eastAsia" w:ascii="新宋体" w:hAnsi="新宋体" w:eastAsia="新宋体" w:cs="新宋体"/>
                <w:color w:val="auto"/>
                <w:sz w:val="22"/>
                <w:szCs w:val="22"/>
                <w:highlight w:val="none"/>
              </w:rPr>
              <w:t>机型合同复印件</w:t>
            </w:r>
            <w:r>
              <w:rPr>
                <w:rFonts w:hint="eastAsia" w:ascii="新宋体" w:hAnsi="新宋体" w:eastAsia="新宋体" w:cs="新宋体"/>
                <w:color w:val="auto"/>
                <w:sz w:val="22"/>
                <w:szCs w:val="22"/>
                <w:highlight w:val="none"/>
                <w:lang w:val="en-US" w:eastAsia="zh-CN"/>
              </w:rPr>
              <w:t>并加盖公章</w:t>
            </w:r>
            <w:r>
              <w:rPr>
                <w:rFonts w:hint="eastAsia" w:ascii="新宋体" w:hAnsi="新宋体" w:eastAsia="新宋体" w:cs="新宋体"/>
                <w:color w:val="auto"/>
                <w:sz w:val="22"/>
                <w:szCs w:val="22"/>
                <w:highlight w:val="none"/>
              </w:rPr>
              <w:t>，每份有效合同得1分，最多3分。</w:t>
            </w:r>
          </w:p>
          <w:p w14:paraId="2ECE86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tc>
      </w:tr>
      <w:tr w14:paraId="4265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33A7A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8</w:t>
            </w:r>
          </w:p>
        </w:tc>
        <w:tc>
          <w:tcPr>
            <w:tcW w:w="2659" w:type="dxa"/>
            <w:vAlign w:val="center"/>
          </w:tcPr>
          <w:p w14:paraId="3D35605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保修服务</w:t>
            </w:r>
          </w:p>
        </w:tc>
        <w:tc>
          <w:tcPr>
            <w:tcW w:w="723" w:type="dxa"/>
            <w:vAlign w:val="center"/>
          </w:tcPr>
          <w:p w14:paraId="468C35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1分</w:t>
            </w:r>
          </w:p>
        </w:tc>
        <w:tc>
          <w:tcPr>
            <w:tcW w:w="5563" w:type="dxa"/>
            <w:vAlign w:val="center"/>
          </w:tcPr>
          <w:p w14:paraId="3B5C2C9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sz w:val="24"/>
                <w:highlight w:val="none"/>
              </w:rPr>
              <w:t>保修服务：设备保修期超过招标文件</w:t>
            </w:r>
            <w:r>
              <w:rPr>
                <w:rFonts w:hint="eastAsia"/>
                <w:sz w:val="24"/>
                <w:highlight w:val="none"/>
                <w:lang w:val="en-US" w:eastAsia="zh-CN"/>
              </w:rPr>
              <w:t>最低</w:t>
            </w:r>
            <w:r>
              <w:rPr>
                <w:sz w:val="24"/>
                <w:highlight w:val="none"/>
              </w:rPr>
              <w:t>要求的，增加1年加</w:t>
            </w:r>
            <w:r>
              <w:rPr>
                <w:rFonts w:hint="eastAsia"/>
                <w:sz w:val="24"/>
                <w:highlight w:val="none"/>
                <w:lang w:val="en-US" w:eastAsia="zh-CN"/>
              </w:rPr>
              <w:t>1</w:t>
            </w:r>
            <w:r>
              <w:rPr>
                <w:sz w:val="24"/>
                <w:highlight w:val="none"/>
              </w:rPr>
              <w:t>分，增加部分不足1年的不计分。</w:t>
            </w:r>
            <w:r>
              <w:rPr>
                <w:rFonts w:hint="eastAsia"/>
                <w:sz w:val="24"/>
                <w:highlight w:val="none"/>
              </w:rPr>
              <w:t>本项最多得</w:t>
            </w:r>
            <w:r>
              <w:rPr>
                <w:rFonts w:hint="eastAsia"/>
                <w:sz w:val="24"/>
                <w:highlight w:val="none"/>
                <w:lang w:val="en-US" w:eastAsia="zh-CN"/>
              </w:rPr>
              <w:t>1</w:t>
            </w:r>
            <w:r>
              <w:rPr>
                <w:rFonts w:hint="eastAsia"/>
                <w:sz w:val="24"/>
                <w:highlight w:val="none"/>
              </w:rPr>
              <w:t>分。</w:t>
            </w:r>
          </w:p>
        </w:tc>
      </w:tr>
    </w:tbl>
    <w:p w14:paraId="205BE1A6">
      <w:pPr>
        <w:pStyle w:val="7"/>
        <w:ind w:left="0" w:leftChars="0" w:firstLine="0" w:firstLineChars="0"/>
        <w:rPr>
          <w:rFonts w:hint="eastAsia"/>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1C94E663">
      <w:pPr>
        <w:spacing w:line="360" w:lineRule="auto"/>
        <w:ind w:firstLine="588" w:firstLineChars="24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7472006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szCs w:val="24"/>
          <w:highlight w:val="none"/>
        </w:rPr>
      </w:pPr>
    </w:p>
    <w:p w14:paraId="4C70197A">
      <w:pPr>
        <w:pStyle w:val="3"/>
        <w:ind w:left="0" w:leftChars="0" w:firstLine="0" w:firstLineChars="0"/>
        <w:rPr>
          <w:rFonts w:hint="eastAsia"/>
          <w:b w:val="0"/>
          <w:bCs w:val="0"/>
          <w:sz w:val="24"/>
          <w:szCs w:val="24"/>
          <w:highlight w:val="none"/>
          <w:lang w:val="en-US" w:eastAsia="zh-CN"/>
        </w:rPr>
      </w:pPr>
    </w:p>
    <w:p w14:paraId="59230535">
      <w:pPr>
        <w:pStyle w:val="3"/>
        <w:ind w:left="0" w:leftChars="0" w:firstLine="0" w:firstLineChars="0"/>
        <w:rPr>
          <w:rFonts w:hint="eastAsia"/>
          <w:b w:val="0"/>
          <w:bCs w:val="0"/>
          <w:sz w:val="24"/>
          <w:szCs w:val="24"/>
          <w:highlight w:val="none"/>
          <w:lang w:val="en-US" w:eastAsia="zh-CN"/>
        </w:rPr>
      </w:pPr>
    </w:p>
    <w:p w14:paraId="6185DE6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6FF155E4">
      <w:pPr>
        <w:spacing w:line="460" w:lineRule="exact"/>
        <w:jc w:val="both"/>
        <w:outlineLvl w:val="3"/>
        <w:rPr>
          <w:rFonts w:hint="eastAsia" w:ascii="宋体" w:hAnsi="宋体" w:cs="宋体"/>
          <w:b/>
          <w:bCs/>
          <w:color w:val="auto"/>
          <w:sz w:val="28"/>
          <w:szCs w:val="28"/>
          <w:highlight w:val="none"/>
          <w:lang w:val="zh-CN"/>
        </w:rPr>
      </w:pPr>
    </w:p>
    <w:p w14:paraId="0BB79922">
      <w:pPr>
        <w:spacing w:line="460" w:lineRule="exact"/>
        <w:jc w:val="center"/>
        <w:outlineLvl w:val="3"/>
        <w:rPr>
          <w:rFonts w:hint="eastAsia" w:ascii="宋体" w:hAnsi="宋体" w:cs="宋体"/>
          <w:b/>
          <w:bCs/>
          <w:color w:val="auto"/>
          <w:sz w:val="28"/>
          <w:szCs w:val="28"/>
          <w:highlight w:val="none"/>
          <w:lang w:val="zh-CN"/>
        </w:rPr>
      </w:pP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文件以及</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22CC0158">
      <w:pPr>
        <w:widowControl/>
        <w:spacing w:line="360" w:lineRule="auto"/>
        <w:jc w:val="left"/>
        <w:rPr>
          <w:rFonts w:hint="eastAsia"/>
          <w:sz w:val="24"/>
          <w:szCs w:val="24"/>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42F28903">
      <w:pPr>
        <w:widowControl/>
        <w:spacing w:line="360" w:lineRule="auto"/>
        <w:jc w:val="left"/>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57BCA33">
      <w:pPr>
        <w:spacing w:line="460" w:lineRule="exact"/>
        <w:jc w:val="center"/>
        <w:outlineLvl w:val="3"/>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偏离表</w:t>
      </w:r>
      <w:r>
        <w:rPr>
          <w:rFonts w:hint="eastAsia" w:ascii="新宋体" w:hAnsi="新宋体" w:eastAsia="新宋体" w:cs="新宋体"/>
          <w:b/>
          <w:bCs/>
          <w:color w:val="auto"/>
          <w:sz w:val="24"/>
          <w:highlight w:val="none"/>
          <w:lang w:val="zh-CN"/>
        </w:rPr>
        <w:t>（</w:t>
      </w:r>
      <w:r>
        <w:rPr>
          <w:rFonts w:hint="eastAsia" w:ascii="新宋体" w:hAnsi="新宋体" w:eastAsia="新宋体" w:cs="新宋体"/>
          <w:b/>
          <w:bCs/>
          <w:color w:val="auto"/>
          <w:sz w:val="24"/>
          <w:highlight w:val="none"/>
        </w:rPr>
        <w:t>商务、技术偏离</w:t>
      </w:r>
      <w:r>
        <w:rPr>
          <w:rFonts w:hint="eastAsia" w:ascii="新宋体" w:hAnsi="新宋体" w:eastAsia="新宋体" w:cs="新宋体"/>
          <w:b/>
          <w:bCs/>
          <w:color w:val="auto"/>
          <w:sz w:val="24"/>
          <w:highlight w:val="none"/>
          <w:lang w:val="zh-CN"/>
        </w:rPr>
        <w:t>）</w:t>
      </w:r>
    </w:p>
    <w:p w14:paraId="770F05EA">
      <w:pPr>
        <w:spacing w:line="5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（应对于</w:t>
      </w:r>
      <w:r>
        <w:rPr>
          <w:rFonts w:hint="eastAsia" w:ascii="新宋体" w:hAnsi="新宋体" w:eastAsia="新宋体" w:cs="新宋体"/>
          <w:b/>
          <w:bCs/>
          <w:color w:val="auto"/>
          <w:sz w:val="22"/>
          <w:szCs w:val="22"/>
          <w:highlight w:val="none"/>
          <w:lang w:eastAsia="zh-CN"/>
        </w:rPr>
        <w:t>比选</w:t>
      </w:r>
      <w:r>
        <w:rPr>
          <w:rFonts w:hint="eastAsia" w:ascii="新宋体" w:hAnsi="新宋体" w:eastAsia="新宋体" w:cs="新宋体"/>
          <w:b/>
          <w:bCs/>
          <w:color w:val="auto"/>
          <w:sz w:val="22"/>
          <w:szCs w:val="22"/>
          <w:highlight w:val="none"/>
        </w:rPr>
        <w:t>文件中“</w:t>
      </w:r>
      <w:r>
        <w:rPr>
          <w:rFonts w:hint="eastAsia" w:ascii="新宋体" w:hAnsi="新宋体" w:eastAsia="新宋体" w:cs="新宋体"/>
          <w:b/>
          <w:bCs/>
          <w:color w:val="auto"/>
          <w:sz w:val="22"/>
          <w:szCs w:val="22"/>
          <w:highlight w:val="none"/>
          <w:lang w:eastAsia="zh-CN"/>
        </w:rPr>
        <w:t>比选要求</w:t>
      </w:r>
      <w:r>
        <w:rPr>
          <w:rFonts w:hint="eastAsia" w:ascii="新宋体" w:hAnsi="新宋体" w:eastAsia="新宋体" w:cs="新宋体"/>
          <w:b/>
          <w:bCs/>
          <w:color w:val="auto"/>
          <w:sz w:val="22"/>
          <w:szCs w:val="22"/>
          <w:highlight w:val="none"/>
        </w:rPr>
        <w:t>”，逐项自行编制偏离情况）</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5"/>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2C3A277F">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附件四</w:t>
      </w:r>
    </w:p>
    <w:p w14:paraId="6D4B3CB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zh-CN"/>
        </w:rPr>
        <w:t>备品、易损件、备件、专用工具清单</w:t>
      </w:r>
    </w:p>
    <w:p w14:paraId="7A6460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0692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vAlign w:val="center"/>
          </w:tcPr>
          <w:p w14:paraId="07E85F55">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240" w:type="dxa"/>
            <w:shd w:val="clear" w:color="auto" w:fill="FFFFFF"/>
            <w:vAlign w:val="center"/>
          </w:tcPr>
          <w:p w14:paraId="6EB71E53">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  称</w:t>
            </w:r>
          </w:p>
        </w:tc>
        <w:tc>
          <w:tcPr>
            <w:tcW w:w="1404" w:type="dxa"/>
            <w:shd w:val="clear" w:color="auto" w:fill="FFFFFF"/>
            <w:vAlign w:val="center"/>
          </w:tcPr>
          <w:p w14:paraId="527F7CF6">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规格型号</w:t>
            </w:r>
          </w:p>
        </w:tc>
        <w:tc>
          <w:tcPr>
            <w:tcW w:w="796" w:type="dxa"/>
            <w:shd w:val="clear" w:color="auto" w:fill="FFFFFF"/>
            <w:vAlign w:val="center"/>
          </w:tcPr>
          <w:p w14:paraId="34B699FA">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c>
          <w:tcPr>
            <w:tcW w:w="3704" w:type="dxa"/>
            <w:shd w:val="clear" w:color="auto" w:fill="FFFFFF"/>
            <w:vAlign w:val="center"/>
          </w:tcPr>
          <w:p w14:paraId="0D6250E0">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原产地/制造商</w:t>
            </w:r>
          </w:p>
        </w:tc>
        <w:tc>
          <w:tcPr>
            <w:tcW w:w="1568" w:type="dxa"/>
            <w:shd w:val="clear" w:color="auto" w:fill="FFFFFF"/>
            <w:vAlign w:val="center"/>
          </w:tcPr>
          <w:p w14:paraId="1FF36751">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42D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5C3ECDC4">
            <w:pPr>
              <w:spacing w:line="400" w:lineRule="exact"/>
              <w:jc w:val="center"/>
              <w:rPr>
                <w:rFonts w:ascii="新宋体" w:hAnsi="新宋体" w:eastAsia="新宋体" w:cs="新宋体"/>
                <w:color w:val="auto"/>
                <w:sz w:val="22"/>
                <w:szCs w:val="22"/>
                <w:highlight w:val="none"/>
              </w:rPr>
            </w:pPr>
          </w:p>
        </w:tc>
        <w:tc>
          <w:tcPr>
            <w:tcW w:w="1240" w:type="dxa"/>
          </w:tcPr>
          <w:p w14:paraId="3B7F34CD">
            <w:pPr>
              <w:spacing w:line="400" w:lineRule="exact"/>
              <w:rPr>
                <w:rFonts w:ascii="新宋体" w:hAnsi="新宋体" w:eastAsia="新宋体" w:cs="新宋体"/>
                <w:color w:val="auto"/>
                <w:sz w:val="22"/>
                <w:szCs w:val="22"/>
                <w:highlight w:val="none"/>
              </w:rPr>
            </w:pPr>
          </w:p>
        </w:tc>
        <w:tc>
          <w:tcPr>
            <w:tcW w:w="1404" w:type="dxa"/>
          </w:tcPr>
          <w:p w14:paraId="2EA25AD4">
            <w:pPr>
              <w:spacing w:line="400" w:lineRule="exact"/>
              <w:rPr>
                <w:rFonts w:ascii="新宋体" w:hAnsi="新宋体" w:eastAsia="新宋体" w:cs="新宋体"/>
                <w:color w:val="auto"/>
                <w:sz w:val="22"/>
                <w:szCs w:val="22"/>
                <w:highlight w:val="none"/>
              </w:rPr>
            </w:pPr>
          </w:p>
        </w:tc>
        <w:tc>
          <w:tcPr>
            <w:tcW w:w="796" w:type="dxa"/>
          </w:tcPr>
          <w:p w14:paraId="4042E02D">
            <w:pPr>
              <w:spacing w:line="400" w:lineRule="exact"/>
              <w:rPr>
                <w:rFonts w:ascii="新宋体" w:hAnsi="新宋体" w:eastAsia="新宋体" w:cs="新宋体"/>
                <w:color w:val="auto"/>
                <w:sz w:val="22"/>
                <w:szCs w:val="22"/>
                <w:highlight w:val="none"/>
              </w:rPr>
            </w:pPr>
          </w:p>
        </w:tc>
        <w:tc>
          <w:tcPr>
            <w:tcW w:w="3704" w:type="dxa"/>
          </w:tcPr>
          <w:p w14:paraId="2C3D3ACD">
            <w:pPr>
              <w:spacing w:line="400" w:lineRule="exact"/>
              <w:rPr>
                <w:rFonts w:ascii="新宋体" w:hAnsi="新宋体" w:eastAsia="新宋体" w:cs="新宋体"/>
                <w:color w:val="auto"/>
                <w:sz w:val="22"/>
                <w:szCs w:val="22"/>
                <w:highlight w:val="none"/>
              </w:rPr>
            </w:pPr>
          </w:p>
        </w:tc>
        <w:tc>
          <w:tcPr>
            <w:tcW w:w="1568" w:type="dxa"/>
          </w:tcPr>
          <w:p w14:paraId="1D580ABC">
            <w:pPr>
              <w:spacing w:line="400" w:lineRule="exact"/>
              <w:rPr>
                <w:rFonts w:ascii="新宋体" w:hAnsi="新宋体" w:eastAsia="新宋体" w:cs="新宋体"/>
                <w:color w:val="auto"/>
                <w:sz w:val="22"/>
                <w:szCs w:val="22"/>
                <w:highlight w:val="none"/>
              </w:rPr>
            </w:pPr>
          </w:p>
        </w:tc>
      </w:tr>
      <w:tr w14:paraId="4FC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0B6527B6">
            <w:pPr>
              <w:spacing w:line="400" w:lineRule="exact"/>
              <w:jc w:val="center"/>
              <w:rPr>
                <w:rFonts w:ascii="新宋体" w:hAnsi="新宋体" w:eastAsia="新宋体" w:cs="新宋体"/>
                <w:color w:val="auto"/>
                <w:sz w:val="22"/>
                <w:szCs w:val="22"/>
                <w:highlight w:val="none"/>
              </w:rPr>
            </w:pPr>
          </w:p>
        </w:tc>
        <w:tc>
          <w:tcPr>
            <w:tcW w:w="1240" w:type="dxa"/>
          </w:tcPr>
          <w:p w14:paraId="5EDDF1C8">
            <w:pPr>
              <w:spacing w:line="400" w:lineRule="exact"/>
              <w:rPr>
                <w:rFonts w:ascii="新宋体" w:hAnsi="新宋体" w:eastAsia="新宋体" w:cs="新宋体"/>
                <w:color w:val="auto"/>
                <w:sz w:val="22"/>
                <w:szCs w:val="22"/>
                <w:highlight w:val="none"/>
              </w:rPr>
            </w:pPr>
          </w:p>
        </w:tc>
        <w:tc>
          <w:tcPr>
            <w:tcW w:w="1404" w:type="dxa"/>
          </w:tcPr>
          <w:p w14:paraId="130D1FC8">
            <w:pPr>
              <w:spacing w:line="400" w:lineRule="exact"/>
              <w:rPr>
                <w:rFonts w:ascii="新宋体" w:hAnsi="新宋体" w:eastAsia="新宋体" w:cs="新宋体"/>
                <w:color w:val="auto"/>
                <w:sz w:val="22"/>
                <w:szCs w:val="22"/>
                <w:highlight w:val="none"/>
              </w:rPr>
            </w:pPr>
          </w:p>
        </w:tc>
        <w:tc>
          <w:tcPr>
            <w:tcW w:w="796" w:type="dxa"/>
          </w:tcPr>
          <w:p w14:paraId="3D46BF15">
            <w:pPr>
              <w:spacing w:line="400" w:lineRule="exact"/>
              <w:rPr>
                <w:rFonts w:ascii="新宋体" w:hAnsi="新宋体" w:eastAsia="新宋体" w:cs="新宋体"/>
                <w:color w:val="auto"/>
                <w:sz w:val="22"/>
                <w:szCs w:val="22"/>
                <w:highlight w:val="none"/>
              </w:rPr>
            </w:pPr>
          </w:p>
        </w:tc>
        <w:tc>
          <w:tcPr>
            <w:tcW w:w="3704" w:type="dxa"/>
          </w:tcPr>
          <w:p w14:paraId="260D48E4">
            <w:pPr>
              <w:spacing w:line="400" w:lineRule="exact"/>
              <w:rPr>
                <w:rFonts w:ascii="新宋体" w:hAnsi="新宋体" w:eastAsia="新宋体" w:cs="新宋体"/>
                <w:color w:val="auto"/>
                <w:sz w:val="22"/>
                <w:szCs w:val="22"/>
                <w:highlight w:val="none"/>
              </w:rPr>
            </w:pPr>
          </w:p>
        </w:tc>
        <w:tc>
          <w:tcPr>
            <w:tcW w:w="1568" w:type="dxa"/>
          </w:tcPr>
          <w:p w14:paraId="3DF0EC7D">
            <w:pPr>
              <w:spacing w:line="400" w:lineRule="exact"/>
              <w:rPr>
                <w:rFonts w:ascii="新宋体" w:hAnsi="新宋体" w:eastAsia="新宋体" w:cs="新宋体"/>
                <w:color w:val="auto"/>
                <w:sz w:val="22"/>
                <w:szCs w:val="22"/>
                <w:highlight w:val="none"/>
              </w:rPr>
            </w:pPr>
          </w:p>
        </w:tc>
      </w:tr>
      <w:tr w14:paraId="6DC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7096F67">
            <w:pPr>
              <w:spacing w:line="400" w:lineRule="exact"/>
              <w:jc w:val="center"/>
              <w:rPr>
                <w:rFonts w:ascii="新宋体" w:hAnsi="新宋体" w:eastAsia="新宋体" w:cs="新宋体"/>
                <w:color w:val="auto"/>
                <w:sz w:val="22"/>
                <w:szCs w:val="22"/>
                <w:highlight w:val="none"/>
              </w:rPr>
            </w:pPr>
          </w:p>
        </w:tc>
        <w:tc>
          <w:tcPr>
            <w:tcW w:w="1240" w:type="dxa"/>
          </w:tcPr>
          <w:p w14:paraId="5A801335">
            <w:pPr>
              <w:spacing w:line="400" w:lineRule="exact"/>
              <w:rPr>
                <w:rFonts w:ascii="新宋体" w:hAnsi="新宋体" w:eastAsia="新宋体" w:cs="新宋体"/>
                <w:color w:val="auto"/>
                <w:sz w:val="22"/>
                <w:szCs w:val="22"/>
                <w:highlight w:val="none"/>
              </w:rPr>
            </w:pPr>
          </w:p>
        </w:tc>
        <w:tc>
          <w:tcPr>
            <w:tcW w:w="1404" w:type="dxa"/>
          </w:tcPr>
          <w:p w14:paraId="3DA0C3CD">
            <w:pPr>
              <w:spacing w:line="400" w:lineRule="exact"/>
              <w:rPr>
                <w:rFonts w:ascii="新宋体" w:hAnsi="新宋体" w:eastAsia="新宋体" w:cs="新宋体"/>
                <w:color w:val="auto"/>
                <w:sz w:val="22"/>
                <w:szCs w:val="22"/>
                <w:highlight w:val="none"/>
              </w:rPr>
            </w:pPr>
          </w:p>
        </w:tc>
        <w:tc>
          <w:tcPr>
            <w:tcW w:w="796" w:type="dxa"/>
          </w:tcPr>
          <w:p w14:paraId="78F58D53">
            <w:pPr>
              <w:spacing w:line="400" w:lineRule="exact"/>
              <w:rPr>
                <w:rFonts w:ascii="新宋体" w:hAnsi="新宋体" w:eastAsia="新宋体" w:cs="新宋体"/>
                <w:color w:val="auto"/>
                <w:sz w:val="22"/>
                <w:szCs w:val="22"/>
                <w:highlight w:val="none"/>
              </w:rPr>
            </w:pPr>
          </w:p>
        </w:tc>
        <w:tc>
          <w:tcPr>
            <w:tcW w:w="3704" w:type="dxa"/>
          </w:tcPr>
          <w:p w14:paraId="478DC616">
            <w:pPr>
              <w:spacing w:line="400" w:lineRule="exact"/>
              <w:rPr>
                <w:rFonts w:ascii="新宋体" w:hAnsi="新宋体" w:eastAsia="新宋体" w:cs="新宋体"/>
                <w:color w:val="auto"/>
                <w:sz w:val="22"/>
                <w:szCs w:val="22"/>
                <w:highlight w:val="none"/>
              </w:rPr>
            </w:pPr>
          </w:p>
        </w:tc>
        <w:tc>
          <w:tcPr>
            <w:tcW w:w="1568" w:type="dxa"/>
          </w:tcPr>
          <w:p w14:paraId="60C435CC">
            <w:pPr>
              <w:spacing w:line="400" w:lineRule="exact"/>
              <w:rPr>
                <w:rFonts w:ascii="新宋体" w:hAnsi="新宋体" w:eastAsia="新宋体" w:cs="新宋体"/>
                <w:color w:val="auto"/>
                <w:sz w:val="22"/>
                <w:szCs w:val="22"/>
                <w:highlight w:val="none"/>
              </w:rPr>
            </w:pPr>
          </w:p>
        </w:tc>
      </w:tr>
      <w:tr w14:paraId="157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42C6F31">
            <w:pPr>
              <w:spacing w:line="400" w:lineRule="exact"/>
              <w:jc w:val="center"/>
              <w:rPr>
                <w:rFonts w:ascii="新宋体" w:hAnsi="新宋体" w:eastAsia="新宋体" w:cs="新宋体"/>
                <w:color w:val="auto"/>
                <w:sz w:val="22"/>
                <w:szCs w:val="22"/>
                <w:highlight w:val="none"/>
              </w:rPr>
            </w:pPr>
          </w:p>
        </w:tc>
        <w:tc>
          <w:tcPr>
            <w:tcW w:w="1240" w:type="dxa"/>
          </w:tcPr>
          <w:p w14:paraId="3451C8A2">
            <w:pPr>
              <w:spacing w:line="400" w:lineRule="exact"/>
              <w:rPr>
                <w:rFonts w:ascii="新宋体" w:hAnsi="新宋体" w:eastAsia="新宋体" w:cs="新宋体"/>
                <w:color w:val="auto"/>
                <w:sz w:val="22"/>
                <w:szCs w:val="22"/>
                <w:highlight w:val="none"/>
              </w:rPr>
            </w:pPr>
          </w:p>
        </w:tc>
        <w:tc>
          <w:tcPr>
            <w:tcW w:w="1404" w:type="dxa"/>
          </w:tcPr>
          <w:p w14:paraId="00EBF255">
            <w:pPr>
              <w:spacing w:line="400" w:lineRule="exact"/>
              <w:rPr>
                <w:rFonts w:ascii="新宋体" w:hAnsi="新宋体" w:eastAsia="新宋体" w:cs="新宋体"/>
                <w:color w:val="auto"/>
                <w:sz w:val="22"/>
                <w:szCs w:val="22"/>
                <w:highlight w:val="none"/>
              </w:rPr>
            </w:pPr>
          </w:p>
        </w:tc>
        <w:tc>
          <w:tcPr>
            <w:tcW w:w="796" w:type="dxa"/>
          </w:tcPr>
          <w:p w14:paraId="4DFA3652">
            <w:pPr>
              <w:spacing w:line="400" w:lineRule="exact"/>
              <w:rPr>
                <w:rFonts w:ascii="新宋体" w:hAnsi="新宋体" w:eastAsia="新宋体" w:cs="新宋体"/>
                <w:color w:val="auto"/>
                <w:sz w:val="22"/>
                <w:szCs w:val="22"/>
                <w:highlight w:val="none"/>
              </w:rPr>
            </w:pPr>
          </w:p>
        </w:tc>
        <w:tc>
          <w:tcPr>
            <w:tcW w:w="3704" w:type="dxa"/>
          </w:tcPr>
          <w:p w14:paraId="37463E24">
            <w:pPr>
              <w:spacing w:line="400" w:lineRule="exact"/>
              <w:rPr>
                <w:rFonts w:ascii="新宋体" w:hAnsi="新宋体" w:eastAsia="新宋体" w:cs="新宋体"/>
                <w:color w:val="auto"/>
                <w:sz w:val="22"/>
                <w:szCs w:val="22"/>
                <w:highlight w:val="none"/>
              </w:rPr>
            </w:pPr>
          </w:p>
        </w:tc>
        <w:tc>
          <w:tcPr>
            <w:tcW w:w="1568" w:type="dxa"/>
          </w:tcPr>
          <w:p w14:paraId="1F0B3C4A">
            <w:pPr>
              <w:spacing w:line="400" w:lineRule="exact"/>
              <w:rPr>
                <w:rFonts w:ascii="新宋体" w:hAnsi="新宋体" w:eastAsia="新宋体" w:cs="新宋体"/>
                <w:color w:val="auto"/>
                <w:sz w:val="22"/>
                <w:szCs w:val="22"/>
                <w:highlight w:val="none"/>
              </w:rPr>
            </w:pPr>
          </w:p>
        </w:tc>
      </w:tr>
      <w:tr w14:paraId="2B08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3C5601D">
            <w:pPr>
              <w:spacing w:line="400" w:lineRule="exact"/>
              <w:jc w:val="center"/>
              <w:rPr>
                <w:rFonts w:ascii="新宋体" w:hAnsi="新宋体" w:eastAsia="新宋体" w:cs="新宋体"/>
                <w:color w:val="auto"/>
                <w:sz w:val="22"/>
                <w:szCs w:val="22"/>
                <w:highlight w:val="none"/>
              </w:rPr>
            </w:pPr>
          </w:p>
        </w:tc>
        <w:tc>
          <w:tcPr>
            <w:tcW w:w="1240" w:type="dxa"/>
          </w:tcPr>
          <w:p w14:paraId="201D77FA">
            <w:pPr>
              <w:spacing w:line="400" w:lineRule="exact"/>
              <w:rPr>
                <w:rFonts w:ascii="新宋体" w:hAnsi="新宋体" w:eastAsia="新宋体" w:cs="新宋体"/>
                <w:color w:val="auto"/>
                <w:sz w:val="22"/>
                <w:szCs w:val="22"/>
                <w:highlight w:val="none"/>
              </w:rPr>
            </w:pPr>
          </w:p>
        </w:tc>
        <w:tc>
          <w:tcPr>
            <w:tcW w:w="1404" w:type="dxa"/>
          </w:tcPr>
          <w:p w14:paraId="39BA6CFA">
            <w:pPr>
              <w:spacing w:line="400" w:lineRule="exact"/>
              <w:rPr>
                <w:rFonts w:ascii="新宋体" w:hAnsi="新宋体" w:eastAsia="新宋体" w:cs="新宋体"/>
                <w:color w:val="auto"/>
                <w:sz w:val="22"/>
                <w:szCs w:val="22"/>
                <w:highlight w:val="none"/>
              </w:rPr>
            </w:pPr>
          </w:p>
        </w:tc>
        <w:tc>
          <w:tcPr>
            <w:tcW w:w="796" w:type="dxa"/>
          </w:tcPr>
          <w:p w14:paraId="53858591">
            <w:pPr>
              <w:spacing w:line="400" w:lineRule="exact"/>
              <w:rPr>
                <w:rFonts w:ascii="新宋体" w:hAnsi="新宋体" w:eastAsia="新宋体" w:cs="新宋体"/>
                <w:color w:val="auto"/>
                <w:sz w:val="22"/>
                <w:szCs w:val="22"/>
                <w:highlight w:val="none"/>
              </w:rPr>
            </w:pPr>
          </w:p>
        </w:tc>
        <w:tc>
          <w:tcPr>
            <w:tcW w:w="3704" w:type="dxa"/>
          </w:tcPr>
          <w:p w14:paraId="10411DC9">
            <w:pPr>
              <w:spacing w:line="400" w:lineRule="exact"/>
              <w:rPr>
                <w:rFonts w:ascii="新宋体" w:hAnsi="新宋体" w:eastAsia="新宋体" w:cs="新宋体"/>
                <w:color w:val="auto"/>
                <w:sz w:val="22"/>
                <w:szCs w:val="22"/>
                <w:highlight w:val="none"/>
              </w:rPr>
            </w:pPr>
          </w:p>
        </w:tc>
        <w:tc>
          <w:tcPr>
            <w:tcW w:w="1568" w:type="dxa"/>
          </w:tcPr>
          <w:p w14:paraId="408CEB07">
            <w:pPr>
              <w:spacing w:line="400" w:lineRule="exact"/>
              <w:rPr>
                <w:rFonts w:ascii="新宋体" w:hAnsi="新宋体" w:eastAsia="新宋体" w:cs="新宋体"/>
                <w:color w:val="auto"/>
                <w:sz w:val="22"/>
                <w:szCs w:val="22"/>
                <w:highlight w:val="none"/>
              </w:rPr>
            </w:pPr>
          </w:p>
        </w:tc>
      </w:tr>
      <w:tr w14:paraId="09A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348AE32">
            <w:pPr>
              <w:spacing w:line="400" w:lineRule="exact"/>
              <w:jc w:val="center"/>
              <w:rPr>
                <w:rFonts w:ascii="新宋体" w:hAnsi="新宋体" w:eastAsia="新宋体" w:cs="新宋体"/>
                <w:color w:val="auto"/>
                <w:sz w:val="22"/>
                <w:szCs w:val="22"/>
                <w:highlight w:val="none"/>
              </w:rPr>
            </w:pPr>
          </w:p>
        </w:tc>
        <w:tc>
          <w:tcPr>
            <w:tcW w:w="1240" w:type="dxa"/>
          </w:tcPr>
          <w:p w14:paraId="267939A2">
            <w:pPr>
              <w:spacing w:line="400" w:lineRule="exact"/>
              <w:rPr>
                <w:rFonts w:ascii="新宋体" w:hAnsi="新宋体" w:eastAsia="新宋体" w:cs="新宋体"/>
                <w:color w:val="auto"/>
                <w:sz w:val="22"/>
                <w:szCs w:val="22"/>
                <w:highlight w:val="none"/>
              </w:rPr>
            </w:pPr>
          </w:p>
        </w:tc>
        <w:tc>
          <w:tcPr>
            <w:tcW w:w="1404" w:type="dxa"/>
          </w:tcPr>
          <w:p w14:paraId="3535D5A6">
            <w:pPr>
              <w:spacing w:line="400" w:lineRule="exact"/>
              <w:rPr>
                <w:rFonts w:ascii="新宋体" w:hAnsi="新宋体" w:eastAsia="新宋体" w:cs="新宋体"/>
                <w:color w:val="auto"/>
                <w:sz w:val="22"/>
                <w:szCs w:val="22"/>
                <w:highlight w:val="none"/>
              </w:rPr>
            </w:pPr>
          </w:p>
        </w:tc>
        <w:tc>
          <w:tcPr>
            <w:tcW w:w="796" w:type="dxa"/>
          </w:tcPr>
          <w:p w14:paraId="428A2EF0">
            <w:pPr>
              <w:spacing w:line="400" w:lineRule="exact"/>
              <w:rPr>
                <w:rFonts w:ascii="新宋体" w:hAnsi="新宋体" w:eastAsia="新宋体" w:cs="新宋体"/>
                <w:color w:val="auto"/>
                <w:sz w:val="22"/>
                <w:szCs w:val="22"/>
                <w:highlight w:val="none"/>
              </w:rPr>
            </w:pPr>
          </w:p>
        </w:tc>
        <w:tc>
          <w:tcPr>
            <w:tcW w:w="3704" w:type="dxa"/>
          </w:tcPr>
          <w:p w14:paraId="342329D1">
            <w:pPr>
              <w:spacing w:line="400" w:lineRule="exact"/>
              <w:rPr>
                <w:rFonts w:ascii="新宋体" w:hAnsi="新宋体" w:eastAsia="新宋体" w:cs="新宋体"/>
                <w:color w:val="auto"/>
                <w:sz w:val="22"/>
                <w:szCs w:val="22"/>
                <w:highlight w:val="none"/>
              </w:rPr>
            </w:pPr>
          </w:p>
        </w:tc>
        <w:tc>
          <w:tcPr>
            <w:tcW w:w="1568" w:type="dxa"/>
          </w:tcPr>
          <w:p w14:paraId="2F23534D">
            <w:pPr>
              <w:spacing w:line="400" w:lineRule="exact"/>
              <w:rPr>
                <w:rFonts w:ascii="新宋体" w:hAnsi="新宋体" w:eastAsia="新宋体" w:cs="新宋体"/>
                <w:color w:val="auto"/>
                <w:sz w:val="22"/>
                <w:szCs w:val="22"/>
                <w:highlight w:val="none"/>
              </w:rPr>
            </w:pPr>
          </w:p>
        </w:tc>
      </w:tr>
      <w:tr w14:paraId="71AF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7D3090B">
            <w:pPr>
              <w:spacing w:line="400" w:lineRule="exact"/>
              <w:jc w:val="center"/>
              <w:rPr>
                <w:rFonts w:ascii="新宋体" w:hAnsi="新宋体" w:eastAsia="新宋体" w:cs="新宋体"/>
                <w:color w:val="auto"/>
                <w:sz w:val="22"/>
                <w:szCs w:val="22"/>
                <w:highlight w:val="none"/>
              </w:rPr>
            </w:pPr>
          </w:p>
        </w:tc>
        <w:tc>
          <w:tcPr>
            <w:tcW w:w="1240" w:type="dxa"/>
          </w:tcPr>
          <w:p w14:paraId="745754B8">
            <w:pPr>
              <w:spacing w:line="400" w:lineRule="exact"/>
              <w:rPr>
                <w:rFonts w:ascii="新宋体" w:hAnsi="新宋体" w:eastAsia="新宋体" w:cs="新宋体"/>
                <w:color w:val="auto"/>
                <w:sz w:val="22"/>
                <w:szCs w:val="22"/>
                <w:highlight w:val="none"/>
              </w:rPr>
            </w:pPr>
          </w:p>
        </w:tc>
        <w:tc>
          <w:tcPr>
            <w:tcW w:w="1404" w:type="dxa"/>
          </w:tcPr>
          <w:p w14:paraId="4E993941">
            <w:pPr>
              <w:spacing w:line="400" w:lineRule="exact"/>
              <w:rPr>
                <w:rFonts w:ascii="新宋体" w:hAnsi="新宋体" w:eastAsia="新宋体" w:cs="新宋体"/>
                <w:color w:val="auto"/>
                <w:sz w:val="22"/>
                <w:szCs w:val="22"/>
                <w:highlight w:val="none"/>
              </w:rPr>
            </w:pPr>
          </w:p>
        </w:tc>
        <w:tc>
          <w:tcPr>
            <w:tcW w:w="796" w:type="dxa"/>
          </w:tcPr>
          <w:p w14:paraId="4E1831B0">
            <w:pPr>
              <w:spacing w:line="400" w:lineRule="exact"/>
              <w:rPr>
                <w:rFonts w:ascii="新宋体" w:hAnsi="新宋体" w:eastAsia="新宋体" w:cs="新宋体"/>
                <w:color w:val="auto"/>
                <w:sz w:val="22"/>
                <w:szCs w:val="22"/>
                <w:highlight w:val="none"/>
              </w:rPr>
            </w:pPr>
          </w:p>
        </w:tc>
        <w:tc>
          <w:tcPr>
            <w:tcW w:w="3704" w:type="dxa"/>
          </w:tcPr>
          <w:p w14:paraId="4E586D45">
            <w:pPr>
              <w:spacing w:line="400" w:lineRule="exact"/>
              <w:rPr>
                <w:rFonts w:ascii="新宋体" w:hAnsi="新宋体" w:eastAsia="新宋体" w:cs="新宋体"/>
                <w:color w:val="auto"/>
                <w:sz w:val="22"/>
                <w:szCs w:val="22"/>
                <w:highlight w:val="none"/>
              </w:rPr>
            </w:pPr>
          </w:p>
        </w:tc>
        <w:tc>
          <w:tcPr>
            <w:tcW w:w="1568" w:type="dxa"/>
          </w:tcPr>
          <w:p w14:paraId="723E5BBC">
            <w:pPr>
              <w:spacing w:line="400" w:lineRule="exact"/>
              <w:rPr>
                <w:rFonts w:ascii="新宋体" w:hAnsi="新宋体" w:eastAsia="新宋体" w:cs="新宋体"/>
                <w:color w:val="auto"/>
                <w:sz w:val="22"/>
                <w:szCs w:val="22"/>
                <w:highlight w:val="none"/>
              </w:rPr>
            </w:pPr>
          </w:p>
        </w:tc>
      </w:tr>
      <w:tr w14:paraId="55A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277E8889">
            <w:pPr>
              <w:spacing w:line="400" w:lineRule="exact"/>
              <w:jc w:val="center"/>
              <w:rPr>
                <w:rFonts w:ascii="新宋体" w:hAnsi="新宋体" w:eastAsia="新宋体" w:cs="新宋体"/>
                <w:color w:val="auto"/>
                <w:sz w:val="22"/>
                <w:szCs w:val="22"/>
                <w:highlight w:val="none"/>
              </w:rPr>
            </w:pPr>
          </w:p>
        </w:tc>
        <w:tc>
          <w:tcPr>
            <w:tcW w:w="1240" w:type="dxa"/>
          </w:tcPr>
          <w:p w14:paraId="58CD6B7E">
            <w:pPr>
              <w:spacing w:line="400" w:lineRule="exact"/>
              <w:rPr>
                <w:rFonts w:ascii="新宋体" w:hAnsi="新宋体" w:eastAsia="新宋体" w:cs="新宋体"/>
                <w:color w:val="auto"/>
                <w:sz w:val="22"/>
                <w:szCs w:val="22"/>
                <w:highlight w:val="none"/>
              </w:rPr>
            </w:pPr>
          </w:p>
        </w:tc>
        <w:tc>
          <w:tcPr>
            <w:tcW w:w="1404" w:type="dxa"/>
          </w:tcPr>
          <w:p w14:paraId="1A40DEA5">
            <w:pPr>
              <w:spacing w:line="400" w:lineRule="exact"/>
              <w:rPr>
                <w:rFonts w:ascii="新宋体" w:hAnsi="新宋体" w:eastAsia="新宋体" w:cs="新宋体"/>
                <w:color w:val="auto"/>
                <w:sz w:val="22"/>
                <w:szCs w:val="22"/>
                <w:highlight w:val="none"/>
              </w:rPr>
            </w:pPr>
          </w:p>
        </w:tc>
        <w:tc>
          <w:tcPr>
            <w:tcW w:w="796" w:type="dxa"/>
          </w:tcPr>
          <w:p w14:paraId="58C3F265">
            <w:pPr>
              <w:spacing w:line="400" w:lineRule="exact"/>
              <w:rPr>
                <w:rFonts w:ascii="新宋体" w:hAnsi="新宋体" w:eastAsia="新宋体" w:cs="新宋体"/>
                <w:color w:val="auto"/>
                <w:sz w:val="22"/>
                <w:szCs w:val="22"/>
                <w:highlight w:val="none"/>
              </w:rPr>
            </w:pPr>
          </w:p>
        </w:tc>
        <w:tc>
          <w:tcPr>
            <w:tcW w:w="3704" w:type="dxa"/>
          </w:tcPr>
          <w:p w14:paraId="6FF3E671">
            <w:pPr>
              <w:spacing w:line="400" w:lineRule="exact"/>
              <w:rPr>
                <w:rFonts w:ascii="新宋体" w:hAnsi="新宋体" w:eastAsia="新宋体" w:cs="新宋体"/>
                <w:color w:val="auto"/>
                <w:sz w:val="22"/>
                <w:szCs w:val="22"/>
                <w:highlight w:val="none"/>
              </w:rPr>
            </w:pPr>
          </w:p>
        </w:tc>
        <w:tc>
          <w:tcPr>
            <w:tcW w:w="1568" w:type="dxa"/>
          </w:tcPr>
          <w:p w14:paraId="0CAB1423">
            <w:pPr>
              <w:spacing w:line="400" w:lineRule="exact"/>
              <w:rPr>
                <w:rFonts w:ascii="新宋体" w:hAnsi="新宋体" w:eastAsia="新宋体" w:cs="新宋体"/>
                <w:color w:val="auto"/>
                <w:sz w:val="22"/>
                <w:szCs w:val="22"/>
                <w:highlight w:val="none"/>
              </w:rPr>
            </w:pPr>
          </w:p>
        </w:tc>
      </w:tr>
      <w:tr w14:paraId="5890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5EF0FA9">
            <w:pPr>
              <w:spacing w:line="400" w:lineRule="exact"/>
              <w:jc w:val="center"/>
              <w:rPr>
                <w:rFonts w:ascii="新宋体" w:hAnsi="新宋体" w:eastAsia="新宋体" w:cs="新宋体"/>
                <w:color w:val="auto"/>
                <w:sz w:val="22"/>
                <w:szCs w:val="22"/>
                <w:highlight w:val="none"/>
              </w:rPr>
            </w:pPr>
          </w:p>
        </w:tc>
        <w:tc>
          <w:tcPr>
            <w:tcW w:w="1240" w:type="dxa"/>
          </w:tcPr>
          <w:p w14:paraId="345B3541">
            <w:pPr>
              <w:spacing w:line="400" w:lineRule="exact"/>
              <w:rPr>
                <w:rFonts w:ascii="新宋体" w:hAnsi="新宋体" w:eastAsia="新宋体" w:cs="新宋体"/>
                <w:color w:val="auto"/>
                <w:sz w:val="22"/>
                <w:szCs w:val="22"/>
                <w:highlight w:val="none"/>
              </w:rPr>
            </w:pPr>
          </w:p>
        </w:tc>
        <w:tc>
          <w:tcPr>
            <w:tcW w:w="1404" w:type="dxa"/>
          </w:tcPr>
          <w:p w14:paraId="7A4BFB54">
            <w:pPr>
              <w:spacing w:line="400" w:lineRule="exact"/>
              <w:rPr>
                <w:rFonts w:ascii="新宋体" w:hAnsi="新宋体" w:eastAsia="新宋体" w:cs="新宋体"/>
                <w:color w:val="auto"/>
                <w:sz w:val="22"/>
                <w:szCs w:val="22"/>
                <w:highlight w:val="none"/>
              </w:rPr>
            </w:pPr>
          </w:p>
        </w:tc>
        <w:tc>
          <w:tcPr>
            <w:tcW w:w="796" w:type="dxa"/>
          </w:tcPr>
          <w:p w14:paraId="46EB39C0">
            <w:pPr>
              <w:spacing w:line="400" w:lineRule="exact"/>
              <w:rPr>
                <w:rFonts w:ascii="新宋体" w:hAnsi="新宋体" w:eastAsia="新宋体" w:cs="新宋体"/>
                <w:color w:val="auto"/>
                <w:sz w:val="22"/>
                <w:szCs w:val="22"/>
                <w:highlight w:val="none"/>
              </w:rPr>
            </w:pPr>
          </w:p>
        </w:tc>
        <w:tc>
          <w:tcPr>
            <w:tcW w:w="3704" w:type="dxa"/>
          </w:tcPr>
          <w:p w14:paraId="1B7A19D7">
            <w:pPr>
              <w:spacing w:line="400" w:lineRule="exact"/>
              <w:rPr>
                <w:rFonts w:ascii="新宋体" w:hAnsi="新宋体" w:eastAsia="新宋体" w:cs="新宋体"/>
                <w:color w:val="auto"/>
                <w:sz w:val="22"/>
                <w:szCs w:val="22"/>
                <w:highlight w:val="none"/>
              </w:rPr>
            </w:pPr>
          </w:p>
        </w:tc>
        <w:tc>
          <w:tcPr>
            <w:tcW w:w="1568" w:type="dxa"/>
          </w:tcPr>
          <w:p w14:paraId="3000552C">
            <w:pPr>
              <w:spacing w:line="400" w:lineRule="exact"/>
              <w:rPr>
                <w:rFonts w:ascii="新宋体" w:hAnsi="新宋体" w:eastAsia="新宋体" w:cs="新宋体"/>
                <w:color w:val="auto"/>
                <w:sz w:val="22"/>
                <w:szCs w:val="22"/>
                <w:highlight w:val="none"/>
              </w:rPr>
            </w:pPr>
          </w:p>
        </w:tc>
      </w:tr>
      <w:tr w14:paraId="3CD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BE6AE05">
            <w:pPr>
              <w:spacing w:line="400" w:lineRule="exact"/>
              <w:jc w:val="center"/>
              <w:rPr>
                <w:rFonts w:ascii="新宋体" w:hAnsi="新宋体" w:eastAsia="新宋体" w:cs="新宋体"/>
                <w:color w:val="auto"/>
                <w:sz w:val="22"/>
                <w:szCs w:val="22"/>
                <w:highlight w:val="none"/>
              </w:rPr>
            </w:pPr>
          </w:p>
        </w:tc>
        <w:tc>
          <w:tcPr>
            <w:tcW w:w="1240" w:type="dxa"/>
          </w:tcPr>
          <w:p w14:paraId="1B351815">
            <w:pPr>
              <w:spacing w:line="400" w:lineRule="exact"/>
              <w:rPr>
                <w:rFonts w:ascii="新宋体" w:hAnsi="新宋体" w:eastAsia="新宋体" w:cs="新宋体"/>
                <w:color w:val="auto"/>
                <w:sz w:val="22"/>
                <w:szCs w:val="22"/>
                <w:highlight w:val="none"/>
              </w:rPr>
            </w:pPr>
          </w:p>
        </w:tc>
        <w:tc>
          <w:tcPr>
            <w:tcW w:w="1404" w:type="dxa"/>
          </w:tcPr>
          <w:p w14:paraId="0A6D8F4C">
            <w:pPr>
              <w:spacing w:line="400" w:lineRule="exact"/>
              <w:rPr>
                <w:rFonts w:ascii="新宋体" w:hAnsi="新宋体" w:eastAsia="新宋体" w:cs="新宋体"/>
                <w:color w:val="auto"/>
                <w:sz w:val="22"/>
                <w:szCs w:val="22"/>
                <w:highlight w:val="none"/>
              </w:rPr>
            </w:pPr>
          </w:p>
        </w:tc>
        <w:tc>
          <w:tcPr>
            <w:tcW w:w="796" w:type="dxa"/>
          </w:tcPr>
          <w:p w14:paraId="339E5148">
            <w:pPr>
              <w:spacing w:line="400" w:lineRule="exact"/>
              <w:rPr>
                <w:rFonts w:ascii="新宋体" w:hAnsi="新宋体" w:eastAsia="新宋体" w:cs="新宋体"/>
                <w:color w:val="auto"/>
                <w:sz w:val="22"/>
                <w:szCs w:val="22"/>
                <w:highlight w:val="none"/>
              </w:rPr>
            </w:pPr>
          </w:p>
        </w:tc>
        <w:tc>
          <w:tcPr>
            <w:tcW w:w="3704" w:type="dxa"/>
          </w:tcPr>
          <w:p w14:paraId="0A8B159E">
            <w:pPr>
              <w:spacing w:line="400" w:lineRule="exact"/>
              <w:rPr>
                <w:rFonts w:ascii="新宋体" w:hAnsi="新宋体" w:eastAsia="新宋体" w:cs="新宋体"/>
                <w:color w:val="auto"/>
                <w:sz w:val="22"/>
                <w:szCs w:val="22"/>
                <w:highlight w:val="none"/>
              </w:rPr>
            </w:pPr>
          </w:p>
        </w:tc>
        <w:tc>
          <w:tcPr>
            <w:tcW w:w="1568" w:type="dxa"/>
          </w:tcPr>
          <w:p w14:paraId="5D53F2EC">
            <w:pPr>
              <w:spacing w:line="400" w:lineRule="exact"/>
              <w:rPr>
                <w:rFonts w:ascii="新宋体" w:hAnsi="新宋体" w:eastAsia="新宋体" w:cs="新宋体"/>
                <w:color w:val="auto"/>
                <w:sz w:val="22"/>
                <w:szCs w:val="22"/>
                <w:highlight w:val="none"/>
              </w:rPr>
            </w:pPr>
          </w:p>
        </w:tc>
      </w:tr>
      <w:tr w14:paraId="1F9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713AC5D">
            <w:pPr>
              <w:spacing w:line="400" w:lineRule="exact"/>
              <w:jc w:val="center"/>
              <w:rPr>
                <w:rFonts w:ascii="新宋体" w:hAnsi="新宋体" w:eastAsia="新宋体" w:cs="新宋体"/>
                <w:color w:val="auto"/>
                <w:sz w:val="22"/>
                <w:szCs w:val="22"/>
                <w:highlight w:val="none"/>
              </w:rPr>
            </w:pPr>
          </w:p>
        </w:tc>
        <w:tc>
          <w:tcPr>
            <w:tcW w:w="1240" w:type="dxa"/>
          </w:tcPr>
          <w:p w14:paraId="5D89FA25">
            <w:pPr>
              <w:spacing w:line="400" w:lineRule="exact"/>
              <w:rPr>
                <w:rFonts w:ascii="新宋体" w:hAnsi="新宋体" w:eastAsia="新宋体" w:cs="新宋体"/>
                <w:color w:val="auto"/>
                <w:sz w:val="22"/>
                <w:szCs w:val="22"/>
                <w:highlight w:val="none"/>
              </w:rPr>
            </w:pPr>
          </w:p>
        </w:tc>
        <w:tc>
          <w:tcPr>
            <w:tcW w:w="1404" w:type="dxa"/>
          </w:tcPr>
          <w:p w14:paraId="7F086C70">
            <w:pPr>
              <w:spacing w:line="400" w:lineRule="exact"/>
              <w:rPr>
                <w:rFonts w:ascii="新宋体" w:hAnsi="新宋体" w:eastAsia="新宋体" w:cs="新宋体"/>
                <w:color w:val="auto"/>
                <w:sz w:val="22"/>
                <w:szCs w:val="22"/>
                <w:highlight w:val="none"/>
              </w:rPr>
            </w:pPr>
          </w:p>
        </w:tc>
        <w:tc>
          <w:tcPr>
            <w:tcW w:w="796" w:type="dxa"/>
          </w:tcPr>
          <w:p w14:paraId="4D2DED4E">
            <w:pPr>
              <w:spacing w:line="400" w:lineRule="exact"/>
              <w:rPr>
                <w:rFonts w:ascii="新宋体" w:hAnsi="新宋体" w:eastAsia="新宋体" w:cs="新宋体"/>
                <w:color w:val="auto"/>
                <w:sz w:val="22"/>
                <w:szCs w:val="22"/>
                <w:highlight w:val="none"/>
              </w:rPr>
            </w:pPr>
          </w:p>
        </w:tc>
        <w:tc>
          <w:tcPr>
            <w:tcW w:w="3704" w:type="dxa"/>
          </w:tcPr>
          <w:p w14:paraId="061D8503">
            <w:pPr>
              <w:spacing w:line="400" w:lineRule="exact"/>
              <w:rPr>
                <w:rFonts w:ascii="新宋体" w:hAnsi="新宋体" w:eastAsia="新宋体" w:cs="新宋体"/>
                <w:color w:val="auto"/>
                <w:sz w:val="22"/>
                <w:szCs w:val="22"/>
                <w:highlight w:val="none"/>
              </w:rPr>
            </w:pPr>
          </w:p>
        </w:tc>
        <w:tc>
          <w:tcPr>
            <w:tcW w:w="1568" w:type="dxa"/>
          </w:tcPr>
          <w:p w14:paraId="5D382511">
            <w:pPr>
              <w:spacing w:line="400" w:lineRule="exact"/>
              <w:rPr>
                <w:rFonts w:ascii="新宋体" w:hAnsi="新宋体" w:eastAsia="新宋体" w:cs="新宋体"/>
                <w:color w:val="auto"/>
                <w:sz w:val="22"/>
                <w:szCs w:val="22"/>
                <w:highlight w:val="none"/>
              </w:rPr>
            </w:pPr>
          </w:p>
        </w:tc>
      </w:tr>
      <w:tr w14:paraId="5A0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6E6BEB44">
            <w:pPr>
              <w:spacing w:line="400" w:lineRule="exact"/>
              <w:jc w:val="center"/>
              <w:rPr>
                <w:rFonts w:ascii="新宋体" w:hAnsi="新宋体" w:eastAsia="新宋体" w:cs="新宋体"/>
                <w:color w:val="auto"/>
                <w:sz w:val="22"/>
                <w:szCs w:val="22"/>
                <w:highlight w:val="none"/>
              </w:rPr>
            </w:pPr>
          </w:p>
        </w:tc>
        <w:tc>
          <w:tcPr>
            <w:tcW w:w="1240" w:type="dxa"/>
          </w:tcPr>
          <w:p w14:paraId="105F7D82">
            <w:pPr>
              <w:spacing w:line="400" w:lineRule="exact"/>
              <w:rPr>
                <w:rFonts w:ascii="新宋体" w:hAnsi="新宋体" w:eastAsia="新宋体" w:cs="新宋体"/>
                <w:color w:val="auto"/>
                <w:sz w:val="22"/>
                <w:szCs w:val="22"/>
                <w:highlight w:val="none"/>
              </w:rPr>
            </w:pPr>
          </w:p>
        </w:tc>
        <w:tc>
          <w:tcPr>
            <w:tcW w:w="1404" w:type="dxa"/>
          </w:tcPr>
          <w:p w14:paraId="10BEF3F4">
            <w:pPr>
              <w:spacing w:line="400" w:lineRule="exact"/>
              <w:rPr>
                <w:rFonts w:ascii="新宋体" w:hAnsi="新宋体" w:eastAsia="新宋体" w:cs="新宋体"/>
                <w:color w:val="auto"/>
                <w:sz w:val="22"/>
                <w:szCs w:val="22"/>
                <w:highlight w:val="none"/>
              </w:rPr>
            </w:pPr>
          </w:p>
        </w:tc>
        <w:tc>
          <w:tcPr>
            <w:tcW w:w="796" w:type="dxa"/>
          </w:tcPr>
          <w:p w14:paraId="7397BE27">
            <w:pPr>
              <w:spacing w:line="400" w:lineRule="exact"/>
              <w:rPr>
                <w:rFonts w:ascii="新宋体" w:hAnsi="新宋体" w:eastAsia="新宋体" w:cs="新宋体"/>
                <w:color w:val="auto"/>
                <w:sz w:val="22"/>
                <w:szCs w:val="22"/>
                <w:highlight w:val="none"/>
              </w:rPr>
            </w:pPr>
          </w:p>
        </w:tc>
        <w:tc>
          <w:tcPr>
            <w:tcW w:w="3704" w:type="dxa"/>
          </w:tcPr>
          <w:p w14:paraId="74538611">
            <w:pPr>
              <w:spacing w:line="400" w:lineRule="exact"/>
              <w:rPr>
                <w:rFonts w:ascii="新宋体" w:hAnsi="新宋体" w:eastAsia="新宋体" w:cs="新宋体"/>
                <w:color w:val="auto"/>
                <w:sz w:val="22"/>
                <w:szCs w:val="22"/>
                <w:highlight w:val="none"/>
              </w:rPr>
            </w:pPr>
          </w:p>
        </w:tc>
        <w:tc>
          <w:tcPr>
            <w:tcW w:w="1568" w:type="dxa"/>
          </w:tcPr>
          <w:p w14:paraId="1B8E13CB">
            <w:pPr>
              <w:spacing w:line="400" w:lineRule="exact"/>
              <w:rPr>
                <w:rFonts w:ascii="新宋体" w:hAnsi="新宋体" w:eastAsia="新宋体" w:cs="新宋体"/>
                <w:color w:val="auto"/>
                <w:sz w:val="22"/>
                <w:szCs w:val="22"/>
                <w:highlight w:val="none"/>
              </w:rPr>
            </w:pPr>
          </w:p>
        </w:tc>
      </w:tr>
      <w:tr w14:paraId="307D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7851DF9">
            <w:pPr>
              <w:spacing w:line="400" w:lineRule="exact"/>
              <w:jc w:val="center"/>
              <w:rPr>
                <w:rFonts w:ascii="新宋体" w:hAnsi="新宋体" w:eastAsia="新宋体" w:cs="新宋体"/>
                <w:color w:val="auto"/>
                <w:sz w:val="22"/>
                <w:szCs w:val="22"/>
                <w:highlight w:val="none"/>
              </w:rPr>
            </w:pPr>
          </w:p>
        </w:tc>
        <w:tc>
          <w:tcPr>
            <w:tcW w:w="1240" w:type="dxa"/>
          </w:tcPr>
          <w:p w14:paraId="4416CF2D">
            <w:pPr>
              <w:spacing w:line="400" w:lineRule="exact"/>
              <w:rPr>
                <w:rFonts w:ascii="新宋体" w:hAnsi="新宋体" w:eastAsia="新宋体" w:cs="新宋体"/>
                <w:color w:val="auto"/>
                <w:sz w:val="22"/>
                <w:szCs w:val="22"/>
                <w:highlight w:val="none"/>
              </w:rPr>
            </w:pPr>
          </w:p>
        </w:tc>
        <w:tc>
          <w:tcPr>
            <w:tcW w:w="1404" w:type="dxa"/>
          </w:tcPr>
          <w:p w14:paraId="2BFB5419">
            <w:pPr>
              <w:spacing w:line="400" w:lineRule="exact"/>
              <w:rPr>
                <w:rFonts w:ascii="新宋体" w:hAnsi="新宋体" w:eastAsia="新宋体" w:cs="新宋体"/>
                <w:color w:val="auto"/>
                <w:sz w:val="22"/>
                <w:szCs w:val="22"/>
                <w:highlight w:val="none"/>
              </w:rPr>
            </w:pPr>
          </w:p>
        </w:tc>
        <w:tc>
          <w:tcPr>
            <w:tcW w:w="796" w:type="dxa"/>
          </w:tcPr>
          <w:p w14:paraId="0B3C1B59">
            <w:pPr>
              <w:spacing w:line="400" w:lineRule="exact"/>
              <w:rPr>
                <w:rFonts w:ascii="新宋体" w:hAnsi="新宋体" w:eastAsia="新宋体" w:cs="新宋体"/>
                <w:color w:val="auto"/>
                <w:sz w:val="22"/>
                <w:szCs w:val="22"/>
                <w:highlight w:val="none"/>
              </w:rPr>
            </w:pPr>
          </w:p>
        </w:tc>
        <w:tc>
          <w:tcPr>
            <w:tcW w:w="3704" w:type="dxa"/>
          </w:tcPr>
          <w:p w14:paraId="315EA673">
            <w:pPr>
              <w:spacing w:line="400" w:lineRule="exact"/>
              <w:rPr>
                <w:rFonts w:ascii="新宋体" w:hAnsi="新宋体" w:eastAsia="新宋体" w:cs="新宋体"/>
                <w:color w:val="auto"/>
                <w:sz w:val="22"/>
                <w:szCs w:val="22"/>
                <w:highlight w:val="none"/>
              </w:rPr>
            </w:pPr>
          </w:p>
        </w:tc>
        <w:tc>
          <w:tcPr>
            <w:tcW w:w="1568" w:type="dxa"/>
          </w:tcPr>
          <w:p w14:paraId="7E466C7D">
            <w:pPr>
              <w:spacing w:line="400" w:lineRule="exact"/>
              <w:rPr>
                <w:rFonts w:ascii="新宋体" w:hAnsi="新宋体" w:eastAsia="新宋体" w:cs="新宋体"/>
                <w:color w:val="auto"/>
                <w:sz w:val="22"/>
                <w:szCs w:val="22"/>
                <w:highlight w:val="none"/>
              </w:rPr>
            </w:pPr>
          </w:p>
        </w:tc>
      </w:tr>
      <w:tr w14:paraId="4E6E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20F98D6">
            <w:pPr>
              <w:spacing w:line="400" w:lineRule="exact"/>
              <w:jc w:val="center"/>
              <w:rPr>
                <w:rFonts w:ascii="新宋体" w:hAnsi="新宋体" w:eastAsia="新宋体" w:cs="新宋体"/>
                <w:color w:val="auto"/>
                <w:sz w:val="22"/>
                <w:szCs w:val="22"/>
                <w:highlight w:val="none"/>
              </w:rPr>
            </w:pPr>
          </w:p>
        </w:tc>
        <w:tc>
          <w:tcPr>
            <w:tcW w:w="1240" w:type="dxa"/>
          </w:tcPr>
          <w:p w14:paraId="3239DEF0">
            <w:pPr>
              <w:spacing w:line="400" w:lineRule="exact"/>
              <w:rPr>
                <w:rFonts w:ascii="新宋体" w:hAnsi="新宋体" w:eastAsia="新宋体" w:cs="新宋体"/>
                <w:color w:val="auto"/>
                <w:sz w:val="22"/>
                <w:szCs w:val="22"/>
                <w:highlight w:val="none"/>
              </w:rPr>
            </w:pPr>
          </w:p>
        </w:tc>
        <w:tc>
          <w:tcPr>
            <w:tcW w:w="1404" w:type="dxa"/>
          </w:tcPr>
          <w:p w14:paraId="08ACF5C2">
            <w:pPr>
              <w:spacing w:line="400" w:lineRule="exact"/>
              <w:rPr>
                <w:rFonts w:ascii="新宋体" w:hAnsi="新宋体" w:eastAsia="新宋体" w:cs="新宋体"/>
                <w:color w:val="auto"/>
                <w:sz w:val="22"/>
                <w:szCs w:val="22"/>
                <w:highlight w:val="none"/>
              </w:rPr>
            </w:pPr>
          </w:p>
        </w:tc>
        <w:tc>
          <w:tcPr>
            <w:tcW w:w="796" w:type="dxa"/>
          </w:tcPr>
          <w:p w14:paraId="3AAB560A">
            <w:pPr>
              <w:spacing w:line="400" w:lineRule="exact"/>
              <w:rPr>
                <w:rFonts w:ascii="新宋体" w:hAnsi="新宋体" w:eastAsia="新宋体" w:cs="新宋体"/>
                <w:color w:val="auto"/>
                <w:sz w:val="22"/>
                <w:szCs w:val="22"/>
                <w:highlight w:val="none"/>
              </w:rPr>
            </w:pPr>
          </w:p>
        </w:tc>
        <w:tc>
          <w:tcPr>
            <w:tcW w:w="3704" w:type="dxa"/>
          </w:tcPr>
          <w:p w14:paraId="02C178B1">
            <w:pPr>
              <w:spacing w:line="400" w:lineRule="exact"/>
              <w:rPr>
                <w:rFonts w:ascii="新宋体" w:hAnsi="新宋体" w:eastAsia="新宋体" w:cs="新宋体"/>
                <w:color w:val="auto"/>
                <w:sz w:val="22"/>
                <w:szCs w:val="22"/>
                <w:highlight w:val="none"/>
              </w:rPr>
            </w:pPr>
          </w:p>
        </w:tc>
        <w:tc>
          <w:tcPr>
            <w:tcW w:w="1568" w:type="dxa"/>
          </w:tcPr>
          <w:p w14:paraId="490DF41A">
            <w:pPr>
              <w:spacing w:line="400" w:lineRule="exact"/>
              <w:rPr>
                <w:rFonts w:ascii="新宋体" w:hAnsi="新宋体" w:eastAsia="新宋体" w:cs="新宋体"/>
                <w:color w:val="auto"/>
                <w:sz w:val="22"/>
                <w:szCs w:val="22"/>
                <w:highlight w:val="none"/>
              </w:rPr>
            </w:pPr>
          </w:p>
        </w:tc>
      </w:tr>
    </w:tbl>
    <w:p w14:paraId="0ABA2187">
      <w:pPr>
        <w:tabs>
          <w:tab w:val="left" w:pos="360"/>
        </w:tabs>
        <w:spacing w:line="460" w:lineRule="exact"/>
        <w:ind w:firstLine="552" w:firstLineChars="2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  1、此表仅提供了表格形式，投标人可按此表格复制。</w:t>
      </w:r>
    </w:p>
    <w:p w14:paraId="532CE2A0">
      <w:pPr>
        <w:tabs>
          <w:tab w:val="left" w:pos="360"/>
        </w:tabs>
        <w:spacing w:line="460" w:lineRule="exact"/>
        <w:ind w:firstLine="1436" w:firstLineChars="6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2、如果无此内容，投标时需说明。</w:t>
      </w:r>
    </w:p>
    <w:p w14:paraId="31E32F9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D1F2C3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956B5E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3A86782">
      <w:pPr>
        <w:spacing w:line="360" w:lineRule="auto"/>
        <w:jc w:val="left"/>
        <w:rPr>
          <w:rFonts w:hint="eastAsia" w:ascii="宋体" w:hAnsi="宋体" w:cs="Courier New"/>
          <w:bCs/>
          <w:sz w:val="24"/>
          <w:szCs w:val="24"/>
          <w:highlight w:val="none"/>
        </w:rPr>
      </w:pPr>
    </w:p>
    <w:p w14:paraId="60E6DF86">
      <w:pPr>
        <w:spacing w:line="360" w:lineRule="auto"/>
        <w:jc w:val="left"/>
        <w:rPr>
          <w:rFonts w:hint="eastAsia" w:ascii="宋体" w:hAnsi="宋体" w:cs="Courier New"/>
          <w:bCs/>
          <w:sz w:val="24"/>
          <w:szCs w:val="24"/>
          <w:highlight w:val="none"/>
        </w:rPr>
      </w:pPr>
    </w:p>
    <w:p w14:paraId="79517685">
      <w:pPr>
        <w:spacing w:line="360" w:lineRule="auto"/>
        <w:jc w:val="left"/>
        <w:rPr>
          <w:rFonts w:hint="eastAsia" w:ascii="宋体" w:hAnsi="宋体" w:cs="Courier New"/>
          <w:bCs/>
          <w:sz w:val="24"/>
          <w:szCs w:val="24"/>
          <w:highlight w:val="none"/>
        </w:rPr>
      </w:pPr>
    </w:p>
    <w:p w14:paraId="24336DE3">
      <w:pPr>
        <w:spacing w:line="360" w:lineRule="auto"/>
        <w:jc w:val="left"/>
        <w:rPr>
          <w:rFonts w:hint="eastAsia" w:ascii="宋体" w:hAnsi="宋体" w:cs="Courier New"/>
          <w:bCs/>
          <w:sz w:val="24"/>
          <w:szCs w:val="24"/>
          <w:highlight w:val="none"/>
        </w:rPr>
      </w:pPr>
    </w:p>
    <w:p w14:paraId="77547905">
      <w:pPr>
        <w:spacing w:line="360" w:lineRule="auto"/>
        <w:jc w:val="left"/>
        <w:rPr>
          <w:rFonts w:hint="eastAsia" w:ascii="宋体" w:hAnsi="宋体" w:cs="Courier New"/>
          <w:bCs/>
          <w:sz w:val="24"/>
          <w:szCs w:val="24"/>
          <w:highlight w:val="none"/>
        </w:rPr>
      </w:pPr>
    </w:p>
    <w:p w14:paraId="613E5F3E">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附件五</w:t>
      </w:r>
    </w:p>
    <w:p w14:paraId="44E748F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en-US" w:eastAsia="zh-CN"/>
        </w:rPr>
        <w:t>其他必要提供的资料</w:t>
      </w:r>
    </w:p>
    <w:p w14:paraId="5EEA06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7986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vAlign w:val="top"/>
          </w:tcPr>
          <w:p w14:paraId="3A143B81">
            <w:pPr>
              <w:pStyle w:val="27"/>
              <w:spacing w:after="0" w:line="460" w:lineRule="exact"/>
              <w:jc w:val="center"/>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u w:val="single"/>
                <w:lang w:val="en-US" w:eastAsia="zh-CN"/>
              </w:rPr>
              <w:t>根据</w:t>
            </w:r>
            <w:r>
              <w:rPr>
                <w:rFonts w:hint="eastAsia" w:ascii="新宋体" w:hAnsi="新宋体" w:eastAsia="新宋体" w:cs="新宋体"/>
                <w:b/>
                <w:bCs/>
                <w:color w:val="auto"/>
                <w:sz w:val="22"/>
                <w:szCs w:val="22"/>
                <w:highlight w:val="none"/>
                <w:u w:val="single"/>
              </w:rPr>
              <w:t>评</w:t>
            </w:r>
            <w:r>
              <w:rPr>
                <w:rFonts w:hint="eastAsia" w:ascii="新宋体" w:hAnsi="新宋体" w:eastAsia="新宋体" w:cs="新宋体"/>
                <w:b/>
                <w:bCs/>
                <w:color w:val="auto"/>
                <w:sz w:val="22"/>
                <w:szCs w:val="22"/>
                <w:highlight w:val="none"/>
                <w:u w:val="single"/>
                <w:lang w:val="en-US" w:eastAsia="zh-CN"/>
              </w:rPr>
              <w:t>分</w:t>
            </w:r>
            <w:r>
              <w:rPr>
                <w:rFonts w:hint="eastAsia" w:ascii="新宋体" w:hAnsi="新宋体" w:eastAsia="新宋体" w:cs="新宋体"/>
                <w:b/>
                <w:bCs/>
                <w:color w:val="auto"/>
                <w:sz w:val="22"/>
                <w:szCs w:val="22"/>
                <w:highlight w:val="none"/>
                <w:u w:val="single"/>
              </w:rPr>
              <w:t>标准</w:t>
            </w:r>
            <w:r>
              <w:rPr>
                <w:rFonts w:hint="eastAsia" w:ascii="新宋体" w:hAnsi="新宋体" w:eastAsia="新宋体" w:cs="新宋体"/>
                <w:b/>
                <w:bCs/>
                <w:color w:val="auto"/>
                <w:sz w:val="22"/>
                <w:szCs w:val="22"/>
                <w:highlight w:val="none"/>
                <w:u w:val="single"/>
                <w:lang w:val="en-US" w:eastAsia="zh-CN"/>
              </w:rPr>
              <w:t>自行提供</w:t>
            </w:r>
          </w:p>
        </w:tc>
      </w:tr>
    </w:tbl>
    <w:p w14:paraId="232A90C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4D153C8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382772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41592C3">
      <w:pPr>
        <w:bidi w:val="0"/>
        <w:rPr>
          <w:color w:val="auto"/>
          <w:highlight w:val="none"/>
        </w:rPr>
      </w:pPr>
    </w:p>
    <w:p w14:paraId="35A828A1">
      <w:pPr>
        <w:rPr>
          <w:rFonts w:ascii="新宋体" w:hAnsi="新宋体" w:eastAsia="新宋体" w:cs="新宋体"/>
          <w:color w:val="auto"/>
          <w:highlight w:val="none"/>
        </w:rPr>
      </w:pPr>
    </w:p>
    <w:p w14:paraId="7172E3D2">
      <w:pPr>
        <w:spacing w:line="460" w:lineRule="exact"/>
        <w:ind w:firstLine="689" w:firstLineChars="245"/>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8"/>
          <w:szCs w:val="28"/>
          <w:highlight w:val="none"/>
          <w:lang w:val="zh-CN"/>
        </w:rPr>
        <w:br w:type="page"/>
      </w: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六</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cs="Arial"/>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0"/>
        <w:gridCol w:w="1419"/>
        <w:gridCol w:w="1191"/>
        <w:gridCol w:w="1236"/>
        <w:gridCol w:w="1582"/>
        <w:gridCol w:w="1440"/>
      </w:tblGrid>
      <w:tr w14:paraId="24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61D8CD0D">
            <w:pPr>
              <w:tabs>
                <w:tab w:val="left" w:pos="1418"/>
              </w:tabs>
              <w:snapToGrid w:val="0"/>
              <w:spacing w:before="50" w:after="50"/>
              <w:jc w:val="center"/>
              <w:rPr>
                <w:spacing w:val="20"/>
                <w:sz w:val="24"/>
              </w:rPr>
            </w:pPr>
            <w:r>
              <w:rPr>
                <w:sz w:val="24"/>
              </w:rPr>
              <w:t>序号</w:t>
            </w:r>
          </w:p>
        </w:tc>
        <w:tc>
          <w:tcPr>
            <w:tcW w:w="1530" w:type="dxa"/>
            <w:noWrap w:val="0"/>
            <w:vAlign w:val="center"/>
          </w:tcPr>
          <w:p w14:paraId="376A8D3B">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货物名称</w:t>
            </w:r>
          </w:p>
        </w:tc>
        <w:tc>
          <w:tcPr>
            <w:tcW w:w="1419" w:type="dxa"/>
            <w:noWrap w:val="0"/>
            <w:vAlign w:val="center"/>
          </w:tcPr>
          <w:p w14:paraId="0619D701">
            <w:pPr>
              <w:tabs>
                <w:tab w:val="left" w:pos="1418"/>
              </w:tabs>
              <w:snapToGrid w:val="0"/>
              <w:spacing w:before="50" w:after="50"/>
              <w:jc w:val="both"/>
              <w:rPr>
                <w:rFonts w:hint="eastAsia"/>
                <w:spacing w:val="20"/>
                <w:sz w:val="24"/>
                <w:lang w:val="en-US" w:eastAsia="zh-CN"/>
              </w:rPr>
            </w:pPr>
            <w:r>
              <w:rPr>
                <w:rFonts w:hint="eastAsia"/>
                <w:spacing w:val="20"/>
                <w:sz w:val="24"/>
                <w:lang w:val="en-US" w:eastAsia="zh-CN"/>
              </w:rPr>
              <w:t>品牌、型号、规格</w:t>
            </w:r>
          </w:p>
        </w:tc>
        <w:tc>
          <w:tcPr>
            <w:tcW w:w="1191" w:type="dxa"/>
            <w:shd w:val="clear" w:color="auto" w:fill="auto"/>
            <w:noWrap w:val="0"/>
            <w:vAlign w:val="center"/>
          </w:tcPr>
          <w:p w14:paraId="4B0F69FE">
            <w:pPr>
              <w:tabs>
                <w:tab w:val="left" w:pos="1418"/>
              </w:tabs>
              <w:snapToGrid w:val="0"/>
              <w:spacing w:before="50" w:after="50"/>
              <w:ind w:firstLine="280" w:firstLineChars="100"/>
              <w:jc w:val="both"/>
              <w:rPr>
                <w:rFonts w:hint="eastAsia"/>
                <w:spacing w:val="20"/>
                <w:sz w:val="24"/>
                <w:lang w:val="en-US" w:eastAsia="zh-CN"/>
              </w:rPr>
            </w:pPr>
            <w:r>
              <w:rPr>
                <w:rFonts w:hint="eastAsia"/>
                <w:spacing w:val="20"/>
                <w:sz w:val="24"/>
                <w:lang w:val="en-US" w:eastAsia="zh-CN"/>
              </w:rPr>
              <w:t>数量</w:t>
            </w:r>
          </w:p>
        </w:tc>
        <w:tc>
          <w:tcPr>
            <w:tcW w:w="1236" w:type="dxa"/>
            <w:shd w:val="clear" w:color="auto" w:fill="auto"/>
            <w:noWrap w:val="0"/>
            <w:vAlign w:val="center"/>
          </w:tcPr>
          <w:p w14:paraId="7EC16924">
            <w:pPr>
              <w:tabs>
                <w:tab w:val="left" w:pos="1418"/>
              </w:tabs>
              <w:snapToGrid w:val="0"/>
              <w:spacing w:before="50" w:after="50"/>
              <w:jc w:val="center"/>
              <w:rPr>
                <w:rFonts w:ascii="Times New Roman" w:hAnsi="Times New Roman" w:eastAsia="宋体" w:cs="Times New Roman"/>
                <w:spacing w:val="20"/>
                <w:kern w:val="2"/>
                <w:sz w:val="24"/>
                <w:szCs w:val="24"/>
                <w:lang w:val="en-US" w:eastAsia="zh-CN" w:bidi="ar-SA"/>
              </w:rPr>
            </w:pPr>
            <w:r>
              <w:rPr>
                <w:sz w:val="24"/>
              </w:rPr>
              <w:t>单价</w:t>
            </w:r>
          </w:p>
        </w:tc>
        <w:tc>
          <w:tcPr>
            <w:tcW w:w="1582" w:type="dxa"/>
            <w:noWrap w:val="0"/>
            <w:vAlign w:val="center"/>
          </w:tcPr>
          <w:p w14:paraId="47E17600">
            <w:pPr>
              <w:tabs>
                <w:tab w:val="left" w:pos="1418"/>
              </w:tabs>
              <w:snapToGrid w:val="0"/>
              <w:spacing w:before="50" w:after="50"/>
              <w:jc w:val="center"/>
              <w:rPr>
                <w:rFonts w:hint="eastAsia" w:eastAsia="宋体"/>
                <w:spacing w:val="20"/>
                <w:sz w:val="24"/>
                <w:lang w:eastAsia="zh-CN"/>
              </w:rPr>
            </w:pPr>
            <w:r>
              <w:rPr>
                <w:rFonts w:hint="eastAsia"/>
                <w:spacing w:val="20"/>
                <w:sz w:val="24"/>
                <w:lang w:eastAsia="zh-CN"/>
              </w:rPr>
              <w:t>金额</w:t>
            </w:r>
          </w:p>
        </w:tc>
        <w:tc>
          <w:tcPr>
            <w:tcW w:w="1440" w:type="dxa"/>
            <w:noWrap w:val="0"/>
            <w:vAlign w:val="center"/>
          </w:tcPr>
          <w:p w14:paraId="5B918BE1">
            <w:pPr>
              <w:tabs>
                <w:tab w:val="left" w:pos="1418"/>
              </w:tabs>
              <w:snapToGrid w:val="0"/>
              <w:spacing w:before="50" w:after="50"/>
              <w:jc w:val="center"/>
              <w:rPr>
                <w:rFonts w:hint="eastAsia" w:eastAsia="宋体"/>
                <w:spacing w:val="20"/>
                <w:sz w:val="24"/>
                <w:lang w:eastAsia="zh-CN"/>
              </w:rPr>
            </w:pPr>
            <w:r>
              <w:rPr>
                <w:rFonts w:hint="eastAsia"/>
                <w:sz w:val="24"/>
                <w:lang w:eastAsia="zh-CN"/>
              </w:rPr>
              <w:t>备注</w:t>
            </w:r>
          </w:p>
        </w:tc>
      </w:tr>
      <w:tr w14:paraId="3E6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noWrap w:val="0"/>
            <w:vAlign w:val="center"/>
          </w:tcPr>
          <w:p w14:paraId="234E4803">
            <w:pPr>
              <w:tabs>
                <w:tab w:val="left" w:pos="1418"/>
              </w:tabs>
              <w:snapToGrid w:val="0"/>
              <w:spacing w:before="50" w:after="50"/>
              <w:jc w:val="center"/>
              <w:rPr>
                <w:spacing w:val="20"/>
                <w:sz w:val="24"/>
              </w:rPr>
            </w:pPr>
            <w:r>
              <w:rPr>
                <w:spacing w:val="20"/>
                <w:sz w:val="24"/>
              </w:rPr>
              <w:t>1</w:t>
            </w:r>
          </w:p>
        </w:tc>
        <w:tc>
          <w:tcPr>
            <w:tcW w:w="1530" w:type="dxa"/>
            <w:noWrap w:val="0"/>
            <w:vAlign w:val="center"/>
          </w:tcPr>
          <w:p w14:paraId="1F85939B">
            <w:pPr>
              <w:tabs>
                <w:tab w:val="left" w:pos="1418"/>
              </w:tabs>
              <w:snapToGrid w:val="0"/>
              <w:spacing w:before="50" w:after="50"/>
              <w:jc w:val="center"/>
              <w:rPr>
                <w:sz w:val="24"/>
              </w:rPr>
            </w:pPr>
          </w:p>
        </w:tc>
        <w:tc>
          <w:tcPr>
            <w:tcW w:w="1419" w:type="dxa"/>
            <w:noWrap w:val="0"/>
            <w:vAlign w:val="center"/>
          </w:tcPr>
          <w:p w14:paraId="34E81B0B">
            <w:pPr>
              <w:tabs>
                <w:tab w:val="left" w:pos="1418"/>
              </w:tabs>
              <w:snapToGrid w:val="0"/>
              <w:spacing w:before="50" w:after="50"/>
              <w:jc w:val="center"/>
              <w:rPr>
                <w:sz w:val="24"/>
              </w:rPr>
            </w:pPr>
          </w:p>
        </w:tc>
        <w:tc>
          <w:tcPr>
            <w:tcW w:w="1191" w:type="dxa"/>
            <w:noWrap w:val="0"/>
            <w:vAlign w:val="center"/>
          </w:tcPr>
          <w:p w14:paraId="05B27CCF">
            <w:pPr>
              <w:tabs>
                <w:tab w:val="left" w:pos="1418"/>
              </w:tabs>
              <w:snapToGrid w:val="0"/>
              <w:spacing w:before="50" w:after="50"/>
              <w:jc w:val="center"/>
              <w:rPr>
                <w:sz w:val="24"/>
              </w:rPr>
            </w:pPr>
          </w:p>
        </w:tc>
        <w:tc>
          <w:tcPr>
            <w:tcW w:w="1236" w:type="dxa"/>
            <w:noWrap w:val="0"/>
            <w:vAlign w:val="center"/>
          </w:tcPr>
          <w:p w14:paraId="3F32F17A">
            <w:pPr>
              <w:tabs>
                <w:tab w:val="left" w:pos="1418"/>
              </w:tabs>
              <w:snapToGrid w:val="0"/>
              <w:spacing w:before="50" w:after="50"/>
              <w:jc w:val="center"/>
              <w:rPr>
                <w:sz w:val="24"/>
              </w:rPr>
            </w:pPr>
          </w:p>
        </w:tc>
        <w:tc>
          <w:tcPr>
            <w:tcW w:w="1582" w:type="dxa"/>
            <w:noWrap w:val="0"/>
            <w:vAlign w:val="center"/>
          </w:tcPr>
          <w:p w14:paraId="14B61508">
            <w:pPr>
              <w:tabs>
                <w:tab w:val="left" w:pos="1418"/>
              </w:tabs>
              <w:snapToGrid w:val="0"/>
              <w:spacing w:before="50" w:after="50"/>
              <w:jc w:val="center"/>
              <w:rPr>
                <w:sz w:val="24"/>
              </w:rPr>
            </w:pPr>
          </w:p>
        </w:tc>
        <w:tc>
          <w:tcPr>
            <w:tcW w:w="1440" w:type="dxa"/>
            <w:noWrap w:val="0"/>
            <w:vAlign w:val="center"/>
          </w:tcPr>
          <w:p w14:paraId="33E5A84A">
            <w:pPr>
              <w:tabs>
                <w:tab w:val="left" w:pos="1418"/>
              </w:tabs>
              <w:snapToGrid w:val="0"/>
              <w:spacing w:before="50" w:after="50"/>
              <w:jc w:val="center"/>
              <w:rPr>
                <w:spacing w:val="20"/>
                <w:sz w:val="24"/>
              </w:rPr>
            </w:pPr>
          </w:p>
        </w:tc>
      </w:tr>
      <w:tr w14:paraId="65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0" w:type="dxa"/>
            <w:noWrap w:val="0"/>
            <w:vAlign w:val="center"/>
          </w:tcPr>
          <w:p w14:paraId="43566701">
            <w:pPr>
              <w:tabs>
                <w:tab w:val="left" w:pos="1418"/>
              </w:tabs>
              <w:snapToGrid w:val="0"/>
              <w:spacing w:before="50" w:after="50"/>
              <w:jc w:val="center"/>
              <w:rPr>
                <w:spacing w:val="20"/>
                <w:sz w:val="24"/>
              </w:rPr>
            </w:pPr>
            <w:r>
              <w:rPr>
                <w:spacing w:val="20"/>
                <w:sz w:val="24"/>
              </w:rPr>
              <w:t>2</w:t>
            </w:r>
          </w:p>
        </w:tc>
        <w:tc>
          <w:tcPr>
            <w:tcW w:w="1530" w:type="dxa"/>
            <w:noWrap w:val="0"/>
            <w:vAlign w:val="center"/>
          </w:tcPr>
          <w:p w14:paraId="61EDDE2E">
            <w:pPr>
              <w:tabs>
                <w:tab w:val="left" w:pos="1418"/>
              </w:tabs>
              <w:snapToGrid w:val="0"/>
              <w:spacing w:before="50" w:after="50"/>
              <w:jc w:val="center"/>
              <w:rPr>
                <w:sz w:val="24"/>
              </w:rPr>
            </w:pPr>
          </w:p>
        </w:tc>
        <w:tc>
          <w:tcPr>
            <w:tcW w:w="1419" w:type="dxa"/>
            <w:noWrap w:val="0"/>
            <w:vAlign w:val="center"/>
          </w:tcPr>
          <w:p w14:paraId="5597031E">
            <w:pPr>
              <w:tabs>
                <w:tab w:val="left" w:pos="1418"/>
              </w:tabs>
              <w:snapToGrid w:val="0"/>
              <w:spacing w:before="50" w:after="50"/>
              <w:jc w:val="center"/>
              <w:rPr>
                <w:sz w:val="24"/>
              </w:rPr>
            </w:pPr>
          </w:p>
        </w:tc>
        <w:tc>
          <w:tcPr>
            <w:tcW w:w="1191" w:type="dxa"/>
            <w:noWrap w:val="0"/>
            <w:vAlign w:val="center"/>
          </w:tcPr>
          <w:p w14:paraId="1620F465">
            <w:pPr>
              <w:tabs>
                <w:tab w:val="left" w:pos="1418"/>
              </w:tabs>
              <w:snapToGrid w:val="0"/>
              <w:spacing w:before="50" w:after="50"/>
              <w:jc w:val="center"/>
              <w:rPr>
                <w:sz w:val="24"/>
              </w:rPr>
            </w:pPr>
          </w:p>
        </w:tc>
        <w:tc>
          <w:tcPr>
            <w:tcW w:w="1236" w:type="dxa"/>
            <w:noWrap w:val="0"/>
            <w:vAlign w:val="center"/>
          </w:tcPr>
          <w:p w14:paraId="798569D4">
            <w:pPr>
              <w:tabs>
                <w:tab w:val="left" w:pos="1418"/>
              </w:tabs>
              <w:snapToGrid w:val="0"/>
              <w:spacing w:before="50" w:after="50"/>
              <w:jc w:val="center"/>
              <w:rPr>
                <w:sz w:val="24"/>
              </w:rPr>
            </w:pPr>
          </w:p>
        </w:tc>
        <w:tc>
          <w:tcPr>
            <w:tcW w:w="1582" w:type="dxa"/>
            <w:noWrap w:val="0"/>
            <w:vAlign w:val="center"/>
          </w:tcPr>
          <w:p w14:paraId="76BB8EA0">
            <w:pPr>
              <w:tabs>
                <w:tab w:val="left" w:pos="1418"/>
              </w:tabs>
              <w:snapToGrid w:val="0"/>
              <w:spacing w:before="50" w:after="50"/>
              <w:jc w:val="center"/>
              <w:rPr>
                <w:sz w:val="24"/>
              </w:rPr>
            </w:pPr>
          </w:p>
        </w:tc>
        <w:tc>
          <w:tcPr>
            <w:tcW w:w="1440" w:type="dxa"/>
            <w:noWrap w:val="0"/>
            <w:vAlign w:val="center"/>
          </w:tcPr>
          <w:p w14:paraId="4586CB6D">
            <w:pPr>
              <w:tabs>
                <w:tab w:val="left" w:pos="1418"/>
              </w:tabs>
              <w:snapToGrid w:val="0"/>
              <w:spacing w:before="50" w:after="50"/>
              <w:jc w:val="center"/>
              <w:rPr>
                <w:spacing w:val="20"/>
                <w:sz w:val="24"/>
              </w:rPr>
            </w:pPr>
          </w:p>
        </w:tc>
      </w:tr>
      <w:tr w14:paraId="592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noWrap w:val="0"/>
            <w:vAlign w:val="center"/>
          </w:tcPr>
          <w:p w14:paraId="6797BCBD">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3</w:t>
            </w:r>
          </w:p>
        </w:tc>
        <w:tc>
          <w:tcPr>
            <w:tcW w:w="1530" w:type="dxa"/>
            <w:noWrap w:val="0"/>
            <w:vAlign w:val="center"/>
          </w:tcPr>
          <w:p w14:paraId="2E038652">
            <w:pPr>
              <w:tabs>
                <w:tab w:val="left" w:pos="1418"/>
              </w:tabs>
              <w:snapToGrid w:val="0"/>
              <w:spacing w:before="50" w:after="50"/>
              <w:jc w:val="center"/>
              <w:rPr>
                <w:sz w:val="24"/>
              </w:rPr>
            </w:pPr>
          </w:p>
        </w:tc>
        <w:tc>
          <w:tcPr>
            <w:tcW w:w="1419" w:type="dxa"/>
            <w:noWrap w:val="0"/>
            <w:vAlign w:val="center"/>
          </w:tcPr>
          <w:p w14:paraId="1A5EF85A">
            <w:pPr>
              <w:tabs>
                <w:tab w:val="left" w:pos="1418"/>
              </w:tabs>
              <w:snapToGrid w:val="0"/>
              <w:spacing w:before="50" w:after="50"/>
              <w:jc w:val="center"/>
              <w:rPr>
                <w:sz w:val="24"/>
              </w:rPr>
            </w:pPr>
          </w:p>
        </w:tc>
        <w:tc>
          <w:tcPr>
            <w:tcW w:w="1191" w:type="dxa"/>
            <w:noWrap w:val="0"/>
            <w:vAlign w:val="center"/>
          </w:tcPr>
          <w:p w14:paraId="63B6FBAA">
            <w:pPr>
              <w:tabs>
                <w:tab w:val="left" w:pos="1418"/>
              </w:tabs>
              <w:snapToGrid w:val="0"/>
              <w:spacing w:before="50" w:after="50"/>
              <w:jc w:val="center"/>
              <w:rPr>
                <w:sz w:val="24"/>
              </w:rPr>
            </w:pPr>
          </w:p>
        </w:tc>
        <w:tc>
          <w:tcPr>
            <w:tcW w:w="1236" w:type="dxa"/>
            <w:noWrap w:val="0"/>
            <w:vAlign w:val="center"/>
          </w:tcPr>
          <w:p w14:paraId="1F11A8A2">
            <w:pPr>
              <w:tabs>
                <w:tab w:val="left" w:pos="1418"/>
              </w:tabs>
              <w:snapToGrid w:val="0"/>
              <w:spacing w:before="50" w:after="50"/>
              <w:jc w:val="center"/>
              <w:rPr>
                <w:sz w:val="24"/>
              </w:rPr>
            </w:pPr>
          </w:p>
        </w:tc>
        <w:tc>
          <w:tcPr>
            <w:tcW w:w="1582" w:type="dxa"/>
            <w:noWrap w:val="0"/>
            <w:vAlign w:val="center"/>
          </w:tcPr>
          <w:p w14:paraId="05878F17">
            <w:pPr>
              <w:tabs>
                <w:tab w:val="left" w:pos="1418"/>
              </w:tabs>
              <w:snapToGrid w:val="0"/>
              <w:spacing w:before="50" w:after="50"/>
              <w:jc w:val="center"/>
              <w:rPr>
                <w:sz w:val="24"/>
              </w:rPr>
            </w:pPr>
          </w:p>
        </w:tc>
        <w:tc>
          <w:tcPr>
            <w:tcW w:w="1440" w:type="dxa"/>
            <w:noWrap w:val="0"/>
            <w:vAlign w:val="center"/>
          </w:tcPr>
          <w:p w14:paraId="6C1381A0">
            <w:pPr>
              <w:tabs>
                <w:tab w:val="left" w:pos="1418"/>
              </w:tabs>
              <w:snapToGrid w:val="0"/>
              <w:spacing w:before="50" w:after="50"/>
              <w:jc w:val="center"/>
              <w:rPr>
                <w:spacing w:val="20"/>
                <w:sz w:val="24"/>
              </w:rPr>
            </w:pPr>
          </w:p>
        </w:tc>
      </w:tr>
      <w:tr w14:paraId="3C8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noWrap w:val="0"/>
            <w:vAlign w:val="center"/>
          </w:tcPr>
          <w:p w14:paraId="2ABB7A1E">
            <w:pPr>
              <w:tabs>
                <w:tab w:val="left" w:pos="1418"/>
              </w:tabs>
              <w:snapToGrid w:val="0"/>
              <w:spacing w:before="50" w:after="50"/>
              <w:jc w:val="center"/>
              <w:rPr>
                <w:rFonts w:hint="default"/>
                <w:spacing w:val="20"/>
                <w:sz w:val="24"/>
                <w:lang w:val="en-US" w:eastAsia="zh-CN"/>
              </w:rPr>
            </w:pPr>
            <w:r>
              <w:rPr>
                <w:rFonts w:hint="eastAsia"/>
                <w:spacing w:val="20"/>
                <w:sz w:val="24"/>
                <w:lang w:val="en-US" w:eastAsia="zh-CN"/>
              </w:rPr>
              <w:t>4</w:t>
            </w:r>
          </w:p>
        </w:tc>
        <w:tc>
          <w:tcPr>
            <w:tcW w:w="1530" w:type="dxa"/>
            <w:noWrap w:val="0"/>
            <w:vAlign w:val="center"/>
          </w:tcPr>
          <w:p w14:paraId="2BED81DA">
            <w:pPr>
              <w:tabs>
                <w:tab w:val="left" w:pos="1418"/>
              </w:tabs>
              <w:snapToGrid w:val="0"/>
              <w:spacing w:before="50" w:after="50"/>
              <w:jc w:val="center"/>
              <w:rPr>
                <w:sz w:val="24"/>
              </w:rPr>
            </w:pPr>
          </w:p>
        </w:tc>
        <w:tc>
          <w:tcPr>
            <w:tcW w:w="1419" w:type="dxa"/>
            <w:noWrap w:val="0"/>
            <w:vAlign w:val="center"/>
          </w:tcPr>
          <w:p w14:paraId="0F790071">
            <w:pPr>
              <w:tabs>
                <w:tab w:val="left" w:pos="1418"/>
              </w:tabs>
              <w:snapToGrid w:val="0"/>
              <w:spacing w:before="50" w:after="50"/>
              <w:jc w:val="center"/>
              <w:rPr>
                <w:sz w:val="24"/>
              </w:rPr>
            </w:pPr>
          </w:p>
        </w:tc>
        <w:tc>
          <w:tcPr>
            <w:tcW w:w="1191" w:type="dxa"/>
            <w:noWrap w:val="0"/>
            <w:vAlign w:val="center"/>
          </w:tcPr>
          <w:p w14:paraId="0C29432E">
            <w:pPr>
              <w:tabs>
                <w:tab w:val="left" w:pos="1418"/>
              </w:tabs>
              <w:snapToGrid w:val="0"/>
              <w:spacing w:before="50" w:after="50"/>
              <w:jc w:val="center"/>
              <w:rPr>
                <w:sz w:val="24"/>
              </w:rPr>
            </w:pPr>
          </w:p>
        </w:tc>
        <w:tc>
          <w:tcPr>
            <w:tcW w:w="1236" w:type="dxa"/>
            <w:noWrap w:val="0"/>
            <w:vAlign w:val="center"/>
          </w:tcPr>
          <w:p w14:paraId="0C7FFC6E">
            <w:pPr>
              <w:tabs>
                <w:tab w:val="left" w:pos="1418"/>
              </w:tabs>
              <w:snapToGrid w:val="0"/>
              <w:spacing w:before="50" w:after="50"/>
              <w:jc w:val="center"/>
              <w:rPr>
                <w:sz w:val="24"/>
              </w:rPr>
            </w:pPr>
          </w:p>
        </w:tc>
        <w:tc>
          <w:tcPr>
            <w:tcW w:w="1582" w:type="dxa"/>
            <w:noWrap w:val="0"/>
            <w:vAlign w:val="center"/>
          </w:tcPr>
          <w:p w14:paraId="2112A9FD">
            <w:pPr>
              <w:tabs>
                <w:tab w:val="left" w:pos="1418"/>
              </w:tabs>
              <w:snapToGrid w:val="0"/>
              <w:spacing w:before="50" w:after="50"/>
              <w:jc w:val="center"/>
              <w:rPr>
                <w:sz w:val="24"/>
              </w:rPr>
            </w:pPr>
          </w:p>
        </w:tc>
        <w:tc>
          <w:tcPr>
            <w:tcW w:w="1440" w:type="dxa"/>
            <w:noWrap w:val="0"/>
            <w:vAlign w:val="center"/>
          </w:tcPr>
          <w:p w14:paraId="47AF723A">
            <w:pPr>
              <w:tabs>
                <w:tab w:val="left" w:pos="1418"/>
              </w:tabs>
              <w:snapToGrid w:val="0"/>
              <w:spacing w:before="50" w:after="50"/>
              <w:jc w:val="center"/>
              <w:rPr>
                <w:spacing w:val="20"/>
                <w:sz w:val="24"/>
              </w:rPr>
            </w:pPr>
          </w:p>
        </w:tc>
      </w:tr>
      <w:tr w14:paraId="34A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noWrap w:val="0"/>
            <w:vAlign w:val="center"/>
          </w:tcPr>
          <w:p w14:paraId="37FEFBCE">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5</w:t>
            </w:r>
          </w:p>
        </w:tc>
        <w:tc>
          <w:tcPr>
            <w:tcW w:w="1530" w:type="dxa"/>
            <w:noWrap w:val="0"/>
            <w:vAlign w:val="center"/>
          </w:tcPr>
          <w:p w14:paraId="2A743DFD">
            <w:pPr>
              <w:tabs>
                <w:tab w:val="left" w:pos="1418"/>
              </w:tabs>
              <w:snapToGrid w:val="0"/>
              <w:spacing w:before="50" w:after="50"/>
              <w:jc w:val="center"/>
              <w:rPr>
                <w:sz w:val="24"/>
              </w:rPr>
            </w:pPr>
          </w:p>
        </w:tc>
        <w:tc>
          <w:tcPr>
            <w:tcW w:w="1419" w:type="dxa"/>
            <w:noWrap w:val="0"/>
            <w:vAlign w:val="center"/>
          </w:tcPr>
          <w:p w14:paraId="4FC383B3">
            <w:pPr>
              <w:tabs>
                <w:tab w:val="left" w:pos="1418"/>
              </w:tabs>
              <w:snapToGrid w:val="0"/>
              <w:spacing w:before="50" w:after="50"/>
              <w:jc w:val="center"/>
              <w:rPr>
                <w:sz w:val="24"/>
              </w:rPr>
            </w:pPr>
          </w:p>
        </w:tc>
        <w:tc>
          <w:tcPr>
            <w:tcW w:w="1191" w:type="dxa"/>
            <w:noWrap w:val="0"/>
            <w:vAlign w:val="center"/>
          </w:tcPr>
          <w:p w14:paraId="1E059684">
            <w:pPr>
              <w:tabs>
                <w:tab w:val="left" w:pos="1418"/>
              </w:tabs>
              <w:snapToGrid w:val="0"/>
              <w:spacing w:before="50" w:after="50"/>
              <w:jc w:val="center"/>
              <w:rPr>
                <w:sz w:val="24"/>
              </w:rPr>
            </w:pPr>
          </w:p>
        </w:tc>
        <w:tc>
          <w:tcPr>
            <w:tcW w:w="1236" w:type="dxa"/>
            <w:noWrap w:val="0"/>
            <w:vAlign w:val="center"/>
          </w:tcPr>
          <w:p w14:paraId="6E7E7F87">
            <w:pPr>
              <w:tabs>
                <w:tab w:val="left" w:pos="1418"/>
              </w:tabs>
              <w:snapToGrid w:val="0"/>
              <w:spacing w:before="50" w:after="50"/>
              <w:jc w:val="center"/>
              <w:rPr>
                <w:sz w:val="24"/>
              </w:rPr>
            </w:pPr>
          </w:p>
        </w:tc>
        <w:tc>
          <w:tcPr>
            <w:tcW w:w="1582" w:type="dxa"/>
            <w:noWrap w:val="0"/>
            <w:vAlign w:val="center"/>
          </w:tcPr>
          <w:p w14:paraId="306B3D8E">
            <w:pPr>
              <w:tabs>
                <w:tab w:val="left" w:pos="1418"/>
              </w:tabs>
              <w:snapToGrid w:val="0"/>
              <w:spacing w:before="50" w:after="50"/>
              <w:jc w:val="center"/>
              <w:rPr>
                <w:sz w:val="24"/>
              </w:rPr>
            </w:pPr>
          </w:p>
        </w:tc>
        <w:tc>
          <w:tcPr>
            <w:tcW w:w="1440" w:type="dxa"/>
            <w:noWrap w:val="0"/>
            <w:vAlign w:val="center"/>
          </w:tcPr>
          <w:p w14:paraId="5109D08D">
            <w:pPr>
              <w:tabs>
                <w:tab w:val="left" w:pos="1418"/>
              </w:tabs>
              <w:snapToGrid w:val="0"/>
              <w:spacing w:before="50" w:after="50"/>
              <w:jc w:val="center"/>
              <w:rPr>
                <w:spacing w:val="20"/>
                <w:sz w:val="24"/>
              </w:rPr>
            </w:pPr>
          </w:p>
        </w:tc>
      </w:tr>
      <w:tr w14:paraId="3A4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38" w:type="dxa"/>
            <w:gridSpan w:val="7"/>
            <w:noWrap w:val="0"/>
            <w:vAlign w:val="center"/>
          </w:tcPr>
          <w:p w14:paraId="1AD81A9E">
            <w:pPr>
              <w:tabs>
                <w:tab w:val="left" w:pos="1418"/>
              </w:tabs>
              <w:snapToGrid w:val="0"/>
              <w:spacing w:before="50" w:after="50"/>
              <w:jc w:val="center"/>
              <w:rPr>
                <w:spacing w:val="20"/>
                <w:sz w:val="24"/>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1AE67D0D">
      <w:pPr>
        <w:spacing w:line="360" w:lineRule="auto"/>
        <w:rPr>
          <w:rFonts w:ascii="宋体" w:hAnsi="宋体" w:cs="Arial"/>
          <w:sz w:val="24"/>
          <w:szCs w:val="24"/>
          <w:highlight w:val="none"/>
        </w:rPr>
      </w:pPr>
    </w:p>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69424633">
      <w:pPr>
        <w:spacing w:line="360" w:lineRule="auto"/>
        <w:rPr>
          <w:rFonts w:ascii="宋体" w:hAnsi="宋体" w:cs="Arial"/>
          <w:b/>
          <w:bCs/>
          <w:sz w:val="24"/>
          <w:szCs w:val="24"/>
          <w:highlight w:val="none"/>
        </w:rPr>
      </w:pPr>
    </w:p>
    <w:p w14:paraId="7EBBDB43">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9F60538"/>
    <w:multiLevelType w:val="multilevel"/>
    <w:tmpl w:val="39F605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7326FB"/>
    <w:multiLevelType w:val="singleLevel"/>
    <w:tmpl w:val="777326FB"/>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32594"/>
    <w:rsid w:val="00164318"/>
    <w:rsid w:val="003D4B84"/>
    <w:rsid w:val="008F65FF"/>
    <w:rsid w:val="00C30909"/>
    <w:rsid w:val="012744AB"/>
    <w:rsid w:val="01735F55"/>
    <w:rsid w:val="01920F12"/>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61195D"/>
    <w:rsid w:val="08A43261"/>
    <w:rsid w:val="08DA7138"/>
    <w:rsid w:val="09181A0E"/>
    <w:rsid w:val="09414AC1"/>
    <w:rsid w:val="09554A11"/>
    <w:rsid w:val="09682EB8"/>
    <w:rsid w:val="09701596"/>
    <w:rsid w:val="09EF276F"/>
    <w:rsid w:val="0A247666"/>
    <w:rsid w:val="0A6673CE"/>
    <w:rsid w:val="0ABB16FD"/>
    <w:rsid w:val="0B280B93"/>
    <w:rsid w:val="0B9E1294"/>
    <w:rsid w:val="0C0F6D61"/>
    <w:rsid w:val="0C3E373D"/>
    <w:rsid w:val="0C48260B"/>
    <w:rsid w:val="0C811679"/>
    <w:rsid w:val="0C88659A"/>
    <w:rsid w:val="0C9814B5"/>
    <w:rsid w:val="0CB67574"/>
    <w:rsid w:val="0CD74F4E"/>
    <w:rsid w:val="0D625D59"/>
    <w:rsid w:val="0DC61851"/>
    <w:rsid w:val="0DCF4D92"/>
    <w:rsid w:val="0DD57DA6"/>
    <w:rsid w:val="0E17302F"/>
    <w:rsid w:val="0E1D50C2"/>
    <w:rsid w:val="0E1E3623"/>
    <w:rsid w:val="0E2B3F92"/>
    <w:rsid w:val="0F763FD2"/>
    <w:rsid w:val="0FC6104D"/>
    <w:rsid w:val="0FDA5C70"/>
    <w:rsid w:val="102743E1"/>
    <w:rsid w:val="102D3FF1"/>
    <w:rsid w:val="104D5C31"/>
    <w:rsid w:val="10F33C6E"/>
    <w:rsid w:val="10F36FE9"/>
    <w:rsid w:val="110E0BAC"/>
    <w:rsid w:val="114C494B"/>
    <w:rsid w:val="11CB32F9"/>
    <w:rsid w:val="122338FE"/>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F6595A"/>
    <w:rsid w:val="173845ED"/>
    <w:rsid w:val="17FD24FB"/>
    <w:rsid w:val="180C0217"/>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8A3B96"/>
    <w:rsid w:val="22C500B9"/>
    <w:rsid w:val="23696C97"/>
    <w:rsid w:val="236E69A3"/>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2F01183"/>
    <w:rsid w:val="33395E7A"/>
    <w:rsid w:val="3345781A"/>
    <w:rsid w:val="33950813"/>
    <w:rsid w:val="33B91786"/>
    <w:rsid w:val="33D60378"/>
    <w:rsid w:val="33EA7980"/>
    <w:rsid w:val="34C04897"/>
    <w:rsid w:val="352C3FC8"/>
    <w:rsid w:val="356419B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CF065E"/>
    <w:rsid w:val="41D138C8"/>
    <w:rsid w:val="41DF2AEE"/>
    <w:rsid w:val="42162BD2"/>
    <w:rsid w:val="423A5616"/>
    <w:rsid w:val="426923B8"/>
    <w:rsid w:val="426B299D"/>
    <w:rsid w:val="42A338A7"/>
    <w:rsid w:val="42CE4911"/>
    <w:rsid w:val="42E12896"/>
    <w:rsid w:val="42E303BC"/>
    <w:rsid w:val="42E859D2"/>
    <w:rsid w:val="436B215F"/>
    <w:rsid w:val="43703F00"/>
    <w:rsid w:val="43CA4CEF"/>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D25472"/>
    <w:rsid w:val="4BF1634C"/>
    <w:rsid w:val="4C1A1186"/>
    <w:rsid w:val="4C1E4213"/>
    <w:rsid w:val="4C714C8A"/>
    <w:rsid w:val="4C7240D0"/>
    <w:rsid w:val="4C8C2F4B"/>
    <w:rsid w:val="4CA3296A"/>
    <w:rsid w:val="4D4C6D24"/>
    <w:rsid w:val="4D8412CA"/>
    <w:rsid w:val="4D9F09A7"/>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4840EF"/>
    <w:rsid w:val="51B21297"/>
    <w:rsid w:val="51DE50A5"/>
    <w:rsid w:val="51E97071"/>
    <w:rsid w:val="523302EC"/>
    <w:rsid w:val="524547A9"/>
    <w:rsid w:val="525613B6"/>
    <w:rsid w:val="52741FD4"/>
    <w:rsid w:val="52B43B6C"/>
    <w:rsid w:val="53C00335"/>
    <w:rsid w:val="54557083"/>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0FD56EE"/>
    <w:rsid w:val="6171498D"/>
    <w:rsid w:val="61AC3A51"/>
    <w:rsid w:val="61E6537B"/>
    <w:rsid w:val="621E2D67"/>
    <w:rsid w:val="62AA45FB"/>
    <w:rsid w:val="63604C33"/>
    <w:rsid w:val="63653CAD"/>
    <w:rsid w:val="637A5CCC"/>
    <w:rsid w:val="638723FE"/>
    <w:rsid w:val="63F7532D"/>
    <w:rsid w:val="643407A7"/>
    <w:rsid w:val="647B1A55"/>
    <w:rsid w:val="64DB0A9B"/>
    <w:rsid w:val="651E2200"/>
    <w:rsid w:val="65530F79"/>
    <w:rsid w:val="65561E5B"/>
    <w:rsid w:val="6573295C"/>
    <w:rsid w:val="6582360D"/>
    <w:rsid w:val="65931DA1"/>
    <w:rsid w:val="65B5026D"/>
    <w:rsid w:val="65C14135"/>
    <w:rsid w:val="65D17642"/>
    <w:rsid w:val="661701F9"/>
    <w:rsid w:val="66292968"/>
    <w:rsid w:val="667761EE"/>
    <w:rsid w:val="669D6869"/>
    <w:rsid w:val="66EB7B2A"/>
    <w:rsid w:val="67201A8D"/>
    <w:rsid w:val="673E0C66"/>
    <w:rsid w:val="6750082E"/>
    <w:rsid w:val="675170DC"/>
    <w:rsid w:val="675F33B7"/>
    <w:rsid w:val="67A71109"/>
    <w:rsid w:val="68103152"/>
    <w:rsid w:val="68A25790"/>
    <w:rsid w:val="69643755"/>
    <w:rsid w:val="69DC26B1"/>
    <w:rsid w:val="6A184540"/>
    <w:rsid w:val="6A2151A2"/>
    <w:rsid w:val="6A575068"/>
    <w:rsid w:val="6A8B575C"/>
    <w:rsid w:val="6A8F490E"/>
    <w:rsid w:val="6AF74490"/>
    <w:rsid w:val="6B144E28"/>
    <w:rsid w:val="6B6431C6"/>
    <w:rsid w:val="6BFC46B2"/>
    <w:rsid w:val="6C6D4A58"/>
    <w:rsid w:val="6D154D66"/>
    <w:rsid w:val="6D905053"/>
    <w:rsid w:val="6DD469CF"/>
    <w:rsid w:val="6E542593"/>
    <w:rsid w:val="6E573888"/>
    <w:rsid w:val="6ECD3B4B"/>
    <w:rsid w:val="6ED8429D"/>
    <w:rsid w:val="6EED5F9B"/>
    <w:rsid w:val="6F190B3E"/>
    <w:rsid w:val="6F556684"/>
    <w:rsid w:val="6F9E54E7"/>
    <w:rsid w:val="70134ABB"/>
    <w:rsid w:val="70271038"/>
    <w:rsid w:val="70377E36"/>
    <w:rsid w:val="706C5B73"/>
    <w:rsid w:val="70A703CB"/>
    <w:rsid w:val="70B3479D"/>
    <w:rsid w:val="70B56D97"/>
    <w:rsid w:val="70F75741"/>
    <w:rsid w:val="712029B9"/>
    <w:rsid w:val="715A71EC"/>
    <w:rsid w:val="715E6CDC"/>
    <w:rsid w:val="7174432C"/>
    <w:rsid w:val="71AF3F93"/>
    <w:rsid w:val="72276C94"/>
    <w:rsid w:val="728C5ACB"/>
    <w:rsid w:val="7298621E"/>
    <w:rsid w:val="72B76A57"/>
    <w:rsid w:val="73267CCD"/>
    <w:rsid w:val="73565C82"/>
    <w:rsid w:val="737547B1"/>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4E57F6"/>
    <w:rsid w:val="797D43BF"/>
    <w:rsid w:val="79972073"/>
    <w:rsid w:val="79BE0C60"/>
    <w:rsid w:val="79BF70EF"/>
    <w:rsid w:val="7A195E96"/>
    <w:rsid w:val="7A3E58FC"/>
    <w:rsid w:val="7A434CC1"/>
    <w:rsid w:val="7A9A058E"/>
    <w:rsid w:val="7AB6266E"/>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5560C2"/>
    <w:rsid w:val="7F7D6EC7"/>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numPr>
        <w:ilvl w:val="0"/>
        <w:numId w:val="1"/>
      </w:numPr>
      <w:jc w:val="center"/>
      <w:outlineLvl w:val="0"/>
    </w:pPr>
    <w:rPr>
      <w:rFonts w:eastAsia="黑体"/>
      <w:b/>
      <w:sz w:val="32"/>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w:basedOn w:val="2"/>
    <w:qFormat/>
    <w:uiPriority w:val="0"/>
    <w:pPr>
      <w:ind w:firstLine="420" w:firstLineChars="100"/>
    </w:pPr>
    <w:rPr>
      <w:b/>
      <w:bCs/>
      <w:szCs w:val="24"/>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annotation text"/>
    <w:basedOn w:val="1"/>
    <w:qFormat/>
    <w:uiPriority w:val="0"/>
    <w:pPr>
      <w:jc w:val="left"/>
    </w:p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style>
  <w:style w:type="paragraph" w:styleId="16">
    <w:name w:val="toc 6"/>
    <w:basedOn w:val="1"/>
    <w:next w:val="1"/>
    <w:qFormat/>
    <w:uiPriority w:val="0"/>
    <w:pPr>
      <w:ind w:left="2100" w:leftChars="1000"/>
    </w:pPr>
    <w:rPr>
      <w:rFonts w:ascii="Calibri" w:hAnsi="Calibri"/>
      <w:szCs w:val="22"/>
    </w:rPr>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9"/>
    <w:qFormat/>
    <w:uiPriority w:val="0"/>
    <w:pPr>
      <w:spacing w:after="120"/>
      <w:ind w:left="420" w:leftChars="200" w:firstLine="420"/>
    </w:pPr>
    <w:rPr>
      <w:rFonts w:cs="宋体"/>
      <w:sz w:val="21"/>
      <w:szCs w:val="21"/>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4"/>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2"/>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9"/>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5298</Words>
  <Characters>5603</Characters>
  <Lines>0</Lines>
  <Paragraphs>0</Paragraphs>
  <TotalTime>43</TotalTime>
  <ScaleCrop>false</ScaleCrop>
  <LinksUpToDate>false</LinksUpToDate>
  <CharactersWithSpaces>6257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季善飞</cp:lastModifiedBy>
  <dcterms:modified xsi:type="dcterms:W3CDTF">2026-07-06T07:29:04Z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eyJoZGlkIjoiNDAwYjA4Y2MwN2RhNDFlNTA3OGQwYWU5NTZkNWY2NjciLCJ1c2VySWQiOiIxODQxMzQxMTkwIn0=</vt:lpwstr>
  </property>
</Properties>
</file>